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 PURSUANT TO</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13 OR 15(d) OF THE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SPECTRUM BRANDS HOLDINGS, INC.</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136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66" w:lineRule="exact"/>
        <w:rPr>
          <w:sz w:val="24"/>
          <w:szCs w:val="24"/>
          <w:color w:val="auto"/>
        </w:rPr>
      </w:pPr>
    </w:p>
    <w:tbl>
      <w:tblPr>
        <w:tblLayout w:type="fixed"/>
        <w:tblInd w:w="880" w:type="dxa"/>
        <w:tblCellMar>
          <w:top w:w="0" w:type="dxa"/>
          <w:left w:w="0" w:type="dxa"/>
          <w:bottom w:w="0" w:type="dxa"/>
          <w:right w:w="0" w:type="dxa"/>
        </w:tblCellMar>
      </w:tblPr>
      <w:tr>
        <w:trPr>
          <w:trHeight w:val="243"/>
        </w:trPr>
        <w:tc>
          <w:tcPr>
            <w:tcW w:w="2620" w:type="dxa"/>
            <w:vAlign w:val="bottom"/>
          </w:tcPr>
          <w:p>
            <w:pPr>
              <w:jc w:val="center"/>
              <w:ind w:right="57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4340" w:type="dxa"/>
            <w:vAlign w:val="bottom"/>
          </w:tcPr>
          <w:p>
            <w:pPr>
              <w:jc w:val="center"/>
              <w:ind w:right="28"/>
              <w:spacing w:after="0"/>
              <w:rPr>
                <w:sz w:val="20"/>
                <w:szCs w:val="20"/>
                <w:color w:val="auto"/>
              </w:rPr>
            </w:pPr>
            <w:r>
              <w:rPr>
                <w:rFonts w:ascii="Times New Roman" w:cs="Times New Roman" w:eastAsia="Times New Roman" w:hAnsi="Times New Roman"/>
                <w:sz w:val="17"/>
                <w:szCs w:val="17"/>
                <w:b w:val="1"/>
                <w:bCs w:val="1"/>
                <w:color w:val="auto"/>
              </w:rPr>
              <w:t>001-4219</w:t>
            </w:r>
          </w:p>
        </w:tc>
        <w:tc>
          <w:tcPr>
            <w:tcW w:w="2340" w:type="dxa"/>
            <w:vAlign w:val="bottom"/>
          </w:tcPr>
          <w:p>
            <w:pPr>
              <w:jc w:val="right"/>
              <w:ind w:right="310"/>
              <w:spacing w:after="0"/>
              <w:rPr>
                <w:sz w:val="20"/>
                <w:szCs w:val="20"/>
                <w:color w:val="auto"/>
              </w:rPr>
            </w:pPr>
            <w:r>
              <w:rPr>
                <w:rFonts w:ascii="Times New Roman" w:cs="Times New Roman" w:eastAsia="Times New Roman" w:hAnsi="Times New Roman"/>
                <w:sz w:val="17"/>
                <w:szCs w:val="17"/>
                <w:b w:val="1"/>
                <w:bCs w:val="1"/>
                <w:color w:val="auto"/>
              </w:rPr>
              <w:t>74-1339132</w:t>
            </w:r>
          </w:p>
        </w:tc>
      </w:tr>
      <w:tr>
        <w:trPr>
          <w:trHeight w:val="164"/>
        </w:trPr>
        <w:tc>
          <w:tcPr>
            <w:tcW w:w="2620" w:type="dxa"/>
            <w:vAlign w:val="bottom"/>
          </w:tcPr>
          <w:p>
            <w:pPr>
              <w:jc w:val="center"/>
              <w:ind w:right="570"/>
              <w:spacing w:after="0"/>
              <w:rPr>
                <w:sz w:val="20"/>
                <w:szCs w:val="20"/>
                <w:color w:val="auto"/>
              </w:rPr>
            </w:pPr>
            <w:r>
              <w:rPr>
                <w:rFonts w:ascii="Times New Roman" w:cs="Times New Roman" w:eastAsia="Times New Roman" w:hAnsi="Times New Roman"/>
                <w:sz w:val="10"/>
                <w:szCs w:val="10"/>
                <w:b w:val="1"/>
                <w:bCs w:val="1"/>
                <w:color w:val="auto"/>
              </w:rPr>
              <w:t>(State or other jurisdiction of incorporation)</w:t>
            </w:r>
          </w:p>
        </w:tc>
        <w:tc>
          <w:tcPr>
            <w:tcW w:w="4340" w:type="dxa"/>
            <w:vAlign w:val="bottom"/>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rPr>
              <w:t>(Commission File Number)</w:t>
            </w:r>
          </w:p>
        </w:tc>
        <w:tc>
          <w:tcPr>
            <w:tcW w:w="2340" w:type="dxa"/>
            <w:vAlign w:val="bottom"/>
          </w:tcPr>
          <w:p>
            <w:pPr>
              <w:jc w:val="center"/>
              <w:ind w:left="650"/>
              <w:spacing w:after="0"/>
              <w:rPr>
                <w:sz w:val="20"/>
                <w:szCs w:val="20"/>
                <w:color w:val="auto"/>
              </w:rPr>
            </w:pPr>
            <w:r>
              <w:rPr>
                <w:rFonts w:ascii="Times New Roman" w:cs="Times New Roman" w:eastAsia="Times New Roman" w:hAnsi="Times New Roman"/>
                <w:sz w:val="10"/>
                <w:szCs w:val="10"/>
                <w:b w:val="1"/>
                <w:bCs w:val="1"/>
                <w:color w:val="auto"/>
              </w:rPr>
              <w:t>(I.R.S. Employer Identification No.)</w:t>
            </w:r>
          </w:p>
        </w:tc>
      </w:tr>
      <w:tr>
        <w:trPr>
          <w:trHeight w:val="380"/>
        </w:trPr>
        <w:tc>
          <w:tcPr>
            <w:tcW w:w="2620" w:type="dxa"/>
            <w:vAlign w:val="bottom"/>
          </w:tcPr>
          <w:p>
            <w:pPr>
              <w:spacing w:after="0"/>
              <w:rPr>
                <w:sz w:val="24"/>
                <w:szCs w:val="24"/>
                <w:color w:val="auto"/>
              </w:rPr>
            </w:pPr>
          </w:p>
        </w:tc>
        <w:tc>
          <w:tcPr>
            <w:tcW w:w="4340" w:type="dxa"/>
            <w:vAlign w:val="bottom"/>
          </w:tcPr>
          <w:p>
            <w:pPr>
              <w:jc w:val="center"/>
              <w:ind w:right="28"/>
              <w:spacing w:after="0"/>
              <w:rPr>
                <w:sz w:val="20"/>
                <w:szCs w:val="20"/>
                <w:color w:val="auto"/>
              </w:rPr>
            </w:pPr>
            <w:r>
              <w:rPr>
                <w:rFonts w:ascii="Times New Roman" w:cs="Times New Roman" w:eastAsia="Times New Roman" w:hAnsi="Times New Roman"/>
                <w:sz w:val="17"/>
                <w:szCs w:val="17"/>
                <w:b w:val="1"/>
                <w:bCs w:val="1"/>
                <w:color w:val="auto"/>
              </w:rPr>
              <w:t>3001 Deming Way</w:t>
            </w:r>
          </w:p>
        </w:tc>
        <w:tc>
          <w:tcPr>
            <w:tcW w:w="2340" w:type="dxa"/>
            <w:vAlign w:val="bottom"/>
          </w:tcPr>
          <w:p>
            <w:pPr>
              <w:spacing w:after="0"/>
              <w:rPr>
                <w:sz w:val="24"/>
                <w:szCs w:val="24"/>
                <w:color w:val="auto"/>
              </w:rPr>
            </w:pPr>
          </w:p>
        </w:tc>
      </w:tr>
      <w:tr>
        <w:trPr>
          <w:trHeight w:val="215"/>
        </w:trPr>
        <w:tc>
          <w:tcPr>
            <w:tcW w:w="2620" w:type="dxa"/>
            <w:vAlign w:val="bottom"/>
          </w:tcPr>
          <w:p>
            <w:pPr>
              <w:spacing w:after="0"/>
              <w:rPr>
                <w:sz w:val="18"/>
                <w:szCs w:val="18"/>
                <w:color w:val="auto"/>
              </w:rPr>
            </w:pPr>
          </w:p>
        </w:tc>
        <w:tc>
          <w:tcPr>
            <w:tcW w:w="4340" w:type="dxa"/>
            <w:vAlign w:val="bottom"/>
          </w:tcPr>
          <w:p>
            <w:pPr>
              <w:jc w:val="center"/>
              <w:ind w:right="28"/>
              <w:spacing w:after="0"/>
              <w:rPr>
                <w:sz w:val="20"/>
                <w:szCs w:val="20"/>
                <w:color w:val="auto"/>
              </w:rPr>
            </w:pPr>
            <w:r>
              <w:rPr>
                <w:rFonts w:ascii="Times New Roman" w:cs="Times New Roman" w:eastAsia="Times New Roman" w:hAnsi="Times New Roman"/>
                <w:sz w:val="17"/>
                <w:szCs w:val="17"/>
                <w:b w:val="1"/>
                <w:bCs w:val="1"/>
                <w:color w:val="auto"/>
              </w:rPr>
              <w:t>Middleton, Wisconsin 53562</w:t>
            </w:r>
          </w:p>
        </w:tc>
        <w:tc>
          <w:tcPr>
            <w:tcW w:w="2340" w:type="dxa"/>
            <w:vAlign w:val="bottom"/>
          </w:tcPr>
          <w:p>
            <w:pPr>
              <w:spacing w:after="0"/>
              <w:rPr>
                <w:sz w:val="18"/>
                <w:szCs w:val="18"/>
                <w:color w:val="auto"/>
              </w:rPr>
            </w:pPr>
          </w:p>
        </w:tc>
      </w:tr>
      <w:tr>
        <w:trPr>
          <w:trHeight w:val="139"/>
        </w:trPr>
        <w:tc>
          <w:tcPr>
            <w:tcW w:w="2620" w:type="dxa"/>
            <w:vAlign w:val="bottom"/>
          </w:tcPr>
          <w:p>
            <w:pPr>
              <w:spacing w:after="0"/>
              <w:rPr>
                <w:sz w:val="12"/>
                <w:szCs w:val="12"/>
                <w:color w:val="auto"/>
              </w:rPr>
            </w:pPr>
          </w:p>
        </w:tc>
        <w:tc>
          <w:tcPr>
            <w:tcW w:w="4340" w:type="dxa"/>
            <w:vAlign w:val="bottom"/>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2340" w:type="dxa"/>
            <w:vAlign w:val="bottom"/>
          </w:tcPr>
          <w:p>
            <w:pPr>
              <w:spacing w:after="0"/>
              <w:rPr>
                <w:sz w:val="12"/>
                <w:szCs w:val="12"/>
                <w:color w:val="auto"/>
              </w:rPr>
            </w:pPr>
          </w:p>
        </w:tc>
      </w:tr>
      <w:tr>
        <w:trPr>
          <w:trHeight w:val="306"/>
        </w:trPr>
        <w:tc>
          <w:tcPr>
            <w:tcW w:w="2620" w:type="dxa"/>
            <w:vAlign w:val="bottom"/>
          </w:tcPr>
          <w:p>
            <w:pPr>
              <w:spacing w:after="0"/>
              <w:rPr>
                <w:sz w:val="24"/>
                <w:szCs w:val="24"/>
                <w:color w:val="auto"/>
              </w:rPr>
            </w:pPr>
          </w:p>
        </w:tc>
        <w:tc>
          <w:tcPr>
            <w:tcW w:w="4340" w:type="dxa"/>
            <w:vAlign w:val="bottom"/>
          </w:tcPr>
          <w:p>
            <w:pPr>
              <w:jc w:val="center"/>
              <w:ind w:right="8"/>
              <w:spacing w:after="0"/>
              <w:rPr>
                <w:sz w:val="20"/>
                <w:szCs w:val="20"/>
                <w:color w:val="auto"/>
              </w:rPr>
            </w:pPr>
            <w:r>
              <w:rPr>
                <w:rFonts w:ascii="Times New Roman" w:cs="Times New Roman" w:eastAsia="Times New Roman" w:hAnsi="Times New Roman"/>
                <w:sz w:val="17"/>
                <w:szCs w:val="17"/>
                <w:b w:val="1"/>
                <w:bCs w:val="1"/>
                <w:color w:val="auto"/>
              </w:rPr>
              <w:t>(608) 275-3340</w:t>
            </w:r>
          </w:p>
        </w:tc>
        <w:tc>
          <w:tcPr>
            <w:tcW w:w="2340" w:type="dxa"/>
            <w:vAlign w:val="bottom"/>
          </w:tcPr>
          <w:p>
            <w:pPr>
              <w:spacing w:after="0"/>
              <w:rPr>
                <w:sz w:val="24"/>
                <w:szCs w:val="24"/>
                <w:color w:val="auto"/>
              </w:rPr>
            </w:pPr>
          </w:p>
        </w:tc>
      </w:tr>
      <w:tr>
        <w:trPr>
          <w:trHeight w:val="139"/>
        </w:trPr>
        <w:tc>
          <w:tcPr>
            <w:tcW w:w="2620" w:type="dxa"/>
            <w:vAlign w:val="bottom"/>
          </w:tcPr>
          <w:p>
            <w:pPr>
              <w:spacing w:after="0"/>
              <w:rPr>
                <w:sz w:val="12"/>
                <w:szCs w:val="12"/>
                <w:color w:val="auto"/>
              </w:rPr>
            </w:pPr>
          </w:p>
        </w:tc>
        <w:tc>
          <w:tcPr>
            <w:tcW w:w="4340" w:type="dxa"/>
            <w:vAlign w:val="bottom"/>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tc>
        <w:tc>
          <w:tcPr>
            <w:tcW w:w="2340" w:type="dxa"/>
            <w:vAlign w:val="bottom"/>
          </w:tcPr>
          <w:p>
            <w:pPr>
              <w:spacing w:after="0"/>
              <w:rPr>
                <w:sz w:val="12"/>
                <w:szCs w:val="12"/>
                <w:color w:val="auto"/>
              </w:rPr>
            </w:pPr>
          </w:p>
        </w:tc>
      </w:tr>
      <w:tr>
        <w:trPr>
          <w:trHeight w:val="306"/>
        </w:trPr>
        <w:tc>
          <w:tcPr>
            <w:tcW w:w="2620" w:type="dxa"/>
            <w:vAlign w:val="bottom"/>
          </w:tcPr>
          <w:p>
            <w:pPr>
              <w:spacing w:after="0"/>
              <w:rPr>
                <w:sz w:val="24"/>
                <w:szCs w:val="24"/>
                <w:color w:val="auto"/>
              </w:rPr>
            </w:pPr>
          </w:p>
        </w:tc>
        <w:tc>
          <w:tcPr>
            <w:tcW w:w="4340" w:type="dxa"/>
            <w:vAlign w:val="bottom"/>
          </w:tcPr>
          <w:p>
            <w:pPr>
              <w:jc w:val="center"/>
              <w:ind w:right="28"/>
              <w:spacing w:after="0"/>
              <w:rPr>
                <w:sz w:val="20"/>
                <w:szCs w:val="20"/>
                <w:color w:val="auto"/>
              </w:rPr>
            </w:pPr>
            <w:r>
              <w:rPr>
                <w:rFonts w:ascii="Times New Roman" w:cs="Times New Roman" w:eastAsia="Times New Roman" w:hAnsi="Times New Roman"/>
                <w:sz w:val="17"/>
                <w:szCs w:val="17"/>
                <w:b w:val="1"/>
                <w:bCs w:val="1"/>
                <w:color w:val="auto"/>
              </w:rPr>
              <w:t>Not applicable</w:t>
            </w:r>
          </w:p>
        </w:tc>
        <w:tc>
          <w:tcPr>
            <w:tcW w:w="2340" w:type="dxa"/>
            <w:vAlign w:val="bottom"/>
          </w:tcPr>
          <w:p>
            <w:pPr>
              <w:spacing w:after="0"/>
              <w:rPr>
                <w:sz w:val="24"/>
                <w:szCs w:val="24"/>
                <w:color w:val="auto"/>
              </w:rPr>
            </w:pPr>
          </w:p>
        </w:tc>
      </w:tr>
      <w:tr>
        <w:trPr>
          <w:trHeight w:val="139"/>
        </w:trPr>
        <w:tc>
          <w:tcPr>
            <w:tcW w:w="2620" w:type="dxa"/>
            <w:vAlign w:val="bottom"/>
          </w:tcPr>
          <w:p>
            <w:pPr>
              <w:spacing w:after="0"/>
              <w:rPr>
                <w:sz w:val="12"/>
                <w:szCs w:val="12"/>
                <w:color w:val="auto"/>
              </w:rPr>
            </w:pPr>
          </w:p>
        </w:tc>
        <w:tc>
          <w:tcPr>
            <w:tcW w:w="4340" w:type="dxa"/>
            <w:vAlign w:val="bottom"/>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tc>
        <w:tc>
          <w:tcPr>
            <w:tcW w:w="234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18" w:lineRule="exact"/>
        <w:rPr>
          <w:sz w:val="24"/>
          <w:szCs w:val="24"/>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740" w:hanging="718"/>
        <w:spacing w:after="0"/>
        <w:tabs>
          <w:tab w:leader="none" w:pos="7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7" w:lineRule="exact"/>
        <w:rPr>
          <w:rFonts w:ascii="MS PGothic" w:cs="MS PGothic" w:eastAsia="MS PGothic" w:hAnsi="MS PGothic"/>
          <w:sz w:val="17"/>
          <w:szCs w:val="17"/>
          <w:color w:val="auto"/>
        </w:rPr>
      </w:pPr>
    </w:p>
    <w:p>
      <w:pPr>
        <w:ind w:left="740" w:hanging="718"/>
        <w:spacing w:after="0"/>
        <w:tabs>
          <w:tab w:leader="none" w:pos="7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7" w:lineRule="exact"/>
        <w:rPr>
          <w:rFonts w:ascii="MS PGothic" w:cs="MS PGothic" w:eastAsia="MS PGothic" w:hAnsi="MS PGothic"/>
          <w:sz w:val="17"/>
          <w:szCs w:val="17"/>
          <w:color w:val="auto"/>
        </w:rPr>
      </w:pPr>
    </w:p>
    <w:p>
      <w:pPr>
        <w:ind w:left="740" w:hanging="718"/>
        <w:spacing w:after="0"/>
        <w:tabs>
          <w:tab w:leader="none" w:pos="7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7" w:lineRule="exact"/>
        <w:rPr>
          <w:rFonts w:ascii="MS PGothic" w:cs="MS PGothic" w:eastAsia="MS PGothic" w:hAnsi="MS PGothic"/>
          <w:sz w:val="17"/>
          <w:szCs w:val="17"/>
          <w:color w:val="auto"/>
        </w:rPr>
      </w:pPr>
    </w:p>
    <w:p>
      <w:pPr>
        <w:ind w:left="740" w:hanging="718"/>
        <w:spacing w:after="0"/>
        <w:tabs>
          <w:tab w:leader="none" w:pos="7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Exchange Act:</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354"/>
        </w:trPr>
        <w:tc>
          <w:tcPr>
            <w:tcW w:w="4880" w:type="dxa"/>
            <w:vAlign w:val="bottom"/>
            <w:gridSpan w:val="3"/>
          </w:tcPr>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680" w:type="dxa"/>
            <w:vAlign w:val="bottom"/>
            <w:gridSpan w:val="2"/>
          </w:tcPr>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Trading 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Exchange On Which Registered</w:t>
            </w:r>
          </w:p>
        </w:tc>
      </w:tr>
      <w:tr>
        <w:trPr>
          <w:trHeight w:val="221"/>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8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tcPr>
          <w:p>
            <w:pPr>
              <w:jc w:val="center"/>
              <w:ind w:right="1033"/>
              <w:spacing w:after="0"/>
              <w:rPr>
                <w:sz w:val="20"/>
                <w:szCs w:val="20"/>
                <w:color w:val="auto"/>
              </w:rPr>
            </w:pPr>
            <w:r>
              <w:rPr>
                <w:rFonts w:ascii="Times New Roman" w:cs="Times New Roman" w:eastAsia="Times New Roman" w:hAnsi="Times New Roman"/>
                <w:sz w:val="17"/>
                <w:szCs w:val="17"/>
                <w:color w:val="auto"/>
                <w:w w:val="99"/>
              </w:rPr>
              <w:t>SPB</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60"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an emerging growth company as defined in Rule 405 of the Securities Act of 1933 (§232.405 of this chapter) or Rule 12b-2 of the Securities Exchange Act of 1934 (§240.12b-2 of this chapter). </w:t>
      </w:r>
      <w:r>
        <w:rPr>
          <w:rFonts w:ascii="MS PGothic" w:cs="MS PGothic" w:eastAsia="MS PGothic" w:hAnsi="MS PGothic"/>
          <w:sz w:val="17"/>
          <w:szCs w:val="17"/>
          <w:color w:val="auto"/>
        </w:rPr>
        <w:t>☐</w:t>
      </w:r>
    </w:p>
    <w:p>
      <w:pPr>
        <w:spacing w:after="0" w:line="60"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861695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Results of Operations and Financial Condition.</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information, including the Exhibit 99.1 referenced in this Item 2.02 to the extent the Exhibit discusses financial results of Spectrum Brands Holdings, Inc. (the “Company”) for the fiscal second quarter ended March 29, 2026 is being furnished pursuant to this Item 2.02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6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On May 7, 2026, the Company issued a press release (the “Earnings Press Release”) discussing, among other things, its financial results for its fiscal second quarter ended March 29, 2026. A copy of the Earnings Press Release is furnished as Exhibit 99.1 to this report.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 Looking Information</w:t>
      </w:r>
    </w:p>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have made or implied certain forward-looking statements in this document. Statements or expectations regarding our business and M&amp;A strategy, macroeconomic headwinds, U.S. trade policy, our use of share repurchase plans, ERP platform transformation and productivity expectations, evaluating acquisition targets and entering into strategic partnerships, future operations and operating model, financial condition, estimated revenues, projected costs, inventory management, supply chain and supply chain relocation efforts, earnings power, project synergies, prospects, plans and strategic objectives of management, the geopolitical environment, and information concerning expected actions of third parties are forward-looking statements. When used in this report, the words future, anticipate, pro forma, seek, intend, plan, envision, estimate, believe, belief, expect, project, forecast, outlook, earnings framework, goal, target, could, would, will, can, should, may and similar expressions are intended to identify forward-looking statements, although not all forward-looking statements contain such identifying words.</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Because these forward-looking statements are based upon our current expectations of future events and projections and are subject to a number of risks and uncertainties, many of which are beyond our control and some of which may change rapidly, actual results or outcomes may differ materially from those expressed or implied herein, and you should not place undue reliance on these statements. Important factors that could cause our actual results to differ materially from those expressed or implied herein include, without limitation: (1) the economic, social and political conditions, civil unrest, terrorist attacks, acts of war, natural disasters or other public health concerns in the U.S. or the international markets that impact our business, customers, employees (including our ability to retain and attract key personnel), manufacturing facilities, suppliers, capital markets or financial condition and results of operations, which may amplify the other risks and uncertainties we face; (2) the number of local, regional and global uncertainties could negatively impact our business; (3) the negative effect of the Russia-Ukraine war, the Israel-Hamas war and the U.S.-Iran war and their impact on those regions and surrounding regions, including the Middle East and disruptions to international trade, supply chain and shipping routes and pricing, and on our operations and those operations of our customers, suppliers and other stakeholders; (4) our reliance on third-party partners, suppliers and distributors that are outside our control to achieve our business objectives; (5) the impact of government intervention with or influence on the operations of our suppliers, including in China; (6) the impact of expenses resulting from the implementation of new business strategies, divestitures or current and proposed restructuring and optimization activities, including changes in inventory and distribution center changes which are complicated and involve coordination among a number of stakeholders, including our suppliers and transportation and logistics handlers; (7) the impact of our indebtedness and financial leverage position on our business, financial condition and results of operations; (8) the impact of restrictions in our debt instruments on our ability to operate our business, finance our capital needs or pursue or expand business strategies; (9) any failure to comply with financial covenants and other provisions and restrictions of our debt instruments; (10) the effects of interest rate fluctuations or general economic conditions, including the impact of, uncertainty around and changes to, tariffs and trade policies, including the tariffs and trade agreements announced by the Trump Administration in 2025, the tariff refunds announced in 2026 and any further changes that may be announced in the future, tariff mitigation efforts (including supply chain relocation efforts), inflation, recession or fears of a recession, depression or fears of a depression, labor costs and stock market volatility or monetary or fiscal policies in the countries where we do business; (11) the impact of fluctuations in transportation and shipment costs, fuel costs, commodity prices, costs or availability of raw materials or terms and conditions available from suppliers, including suppliers’ willingness to advance credit; (12) changes in foreign currency exchange rates that may impact our purchasing power, pricing and margin realization within international jurisdictions;</w:t>
      </w:r>
    </w:p>
    <w:p>
      <w:pPr>
        <w:spacing w:after="0" w:line="11" w:lineRule="exact"/>
        <w:rPr>
          <w:sz w:val="20"/>
          <w:szCs w:val="20"/>
          <w:color w:val="auto"/>
        </w:rPr>
      </w:pPr>
    </w:p>
    <w:p>
      <w:pPr>
        <w:jc w:val="both"/>
        <w:ind w:firstLine="5"/>
        <w:spacing w:after="0" w:line="259" w:lineRule="auto"/>
        <w:tabs>
          <w:tab w:leader="none" w:pos="34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significant reduction in, or dependence upon, sales to any significant retail customer(s), including their changes in retail inventory levels and management thereof; (14) competitive promotional activity or spending by competitors, or price reductions by competitors; (15) the introduction of new product features or technological developments by competitors and/or the development of new competitors or competitive brands, including via private label manufacturers; (16) changes in consumer spending preferences, shopping trends, and demand for our products, particularly in light of economic stress; (17) our ability to develop and successfully introduce new products, protect intellectual property and avoid infringing the intellectual property of third parties; (18) our ability to successfully identify, implement, achieve and sustain productivity improvements, cost efficiencies (including at our manufacturing and distribution operations) and cost savings; (19) the seasonal nature of sales of certain of our products; (20) the impact weather conditions may have on the sales of certain of our products; (21) our ability to respond to unusual weather activity, natural disasters and pandemics; (22) the cost and effect of unanticipated legal, tax or regulatory proceedings or new laws or regulations (including environmental, public health and consumer protection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 w:name="page3"/>
    <w:bookmarkEnd w:id="2"/>
    <w:p>
      <w:pPr>
        <w:jc w:val="both"/>
        <w:spacing w:after="0" w:line="260" w:lineRule="auto"/>
        <w:rPr>
          <w:sz w:val="20"/>
          <w:szCs w:val="20"/>
          <w:color w:val="auto"/>
        </w:rPr>
      </w:pPr>
      <w:r>
        <w:rPr>
          <w:rFonts w:ascii="Times New Roman" w:cs="Times New Roman" w:eastAsia="Times New Roman" w:hAnsi="Times New Roman"/>
          <w:sz w:val="17"/>
          <w:szCs w:val="17"/>
          <w:color w:val="auto"/>
        </w:rPr>
        <w:t>regulations); (23) our ability to use social media platforms as effective marketing tools and to manage negative commentary regarding us, and the impact of rules governing the use of e-commerce and social media; (24) public perception regarding the safety of products that we manufacture and sell, including the potential for environmental liabilities, product liability claims, litigation and other claims related to products manufactured by us and third parties; (25) the impact of existing, pending or threatened litigation, government regulation or other requirements or operating standards applicable to our business; (26) the impact of cybersecurity breaches or our actual or perceived failure to protect company and personal data, including our failure to comply with new and increasingly complex global data privacy regulations; (27) changes in accounting policies applicable to our business; (28) our discretion to adopt, conduct, suspend or discontinue any share repurchase program or conduct any debt repayments, redemptions, repurchases or refinancing transactions (including our discretion to conduct purchases or repurchases, if any, in a variety of manners including open-market purchases, privately negotiated transactions, tender offers, redemptions, or otherwise); (29) our ability to utilize net operating loss carry-forwards to offset tax liabilities; (30) our ability to separate the Company’s Home and Personal Care (“HPC”) business and create an independent Global Appliances business on expected terms, and within the anticipated time period, or at all, and to realize the potential benefits of such business; (31) our ability to create a pure play consumer products company composed of our Global Pet Care (“GPC”) and Home &amp; Garden ("H&amp;G") businesses and to realize the expected benefits of such creation, and within the anticipated time period, or at all; (32) our ability to successfully implement and realize the benefits of acquisitions or dispositions and the impact of any such transactions on our financial performance; (33) the impact of actions taken by significant shareholders; (34) the unanticipated loss of key members of senior management and the transition of new members of our management teams to their new roles; and (35) the other risk factors set forth in Spectrum Brands Holdings, Inc. 2025 Annual Report on Form 10-K, subsequent Quarterly Reports on Form 10-Q and the other filings within the U.S. Securities and Exchange Commission (the "SEC").</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Some of the above-mentioned factors are described in further detail in the sections entitled Risk Factors in our annual and quarterly reports (including this report), as applicable. You should assume the information appearing in this report is accurate only as of the date hereof, or as otherwise specified, as our business, financial condition, results of operations and prospects may have changed since that date. Except as required by applicable law, including the securities laws of the U.S. and the rules and regulations of the SEC, we undertake no obligation to publicly update or revise any forward-looking statement, whether as a result of new information, future events or otherwise, to reflect actual results or changes in factors or assumptions affecting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00" w:lineRule="exact"/>
        <w:rPr>
          <w:sz w:val="20"/>
          <w:szCs w:val="20"/>
          <w:color w:val="auto"/>
        </w:rPr>
      </w:pPr>
    </w:p>
    <w:p>
      <w:pPr>
        <w:ind w:left="1040" w:hanging="288"/>
        <w:spacing w:after="0"/>
        <w:tabs>
          <w:tab w:leader="none" w:pos="10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32" w:lineRule="exact"/>
        <w:rPr>
          <w:rFonts w:ascii="Times New Roman" w:cs="Times New Roman" w:eastAsia="Times New Roman" w:hAnsi="Times New Roman"/>
          <w:sz w:val="17"/>
          <w:szCs w:val="17"/>
          <w:color w:val="auto"/>
        </w:rPr>
      </w:pPr>
    </w:p>
    <w:p>
      <w:pPr>
        <w:ind w:left="1040" w:hanging="288"/>
        <w:spacing w:after="0"/>
        <w:tabs>
          <w:tab w:leader="none" w:pos="10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14" w:lineRule="exact"/>
        <w:rPr>
          <w:rFonts w:ascii="Times New Roman" w:cs="Times New Roman" w:eastAsia="Times New Roman" w:hAnsi="Times New Roman"/>
          <w:sz w:val="17"/>
          <w:szCs w:val="17"/>
          <w:color w:val="auto"/>
        </w:rPr>
      </w:pPr>
    </w:p>
    <w:p>
      <w:pPr>
        <w:ind w:left="1040" w:hanging="288"/>
        <w:spacing w:after="0"/>
        <w:tabs>
          <w:tab w:leader="none" w:pos="10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applicable.</w:t>
      </w:r>
    </w:p>
    <w:p>
      <w:pPr>
        <w:spacing w:after="0" w:line="14" w:lineRule="exact"/>
        <w:rPr>
          <w:rFonts w:ascii="Times New Roman" w:cs="Times New Roman" w:eastAsia="Times New Roman" w:hAnsi="Times New Roman"/>
          <w:sz w:val="17"/>
          <w:szCs w:val="17"/>
          <w:color w:val="auto"/>
        </w:rPr>
      </w:pPr>
    </w:p>
    <w:p>
      <w:pPr>
        <w:ind w:left="1040" w:hanging="288"/>
        <w:spacing w:after="0"/>
        <w:tabs>
          <w:tab w:leader="none" w:pos="10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being filed with this Current Report on Form 8-K.</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6240" w:type="dxa"/>
            <w:vAlign w:val="bottom"/>
          </w:tcPr>
          <w:p>
            <w:pPr>
              <w:ind w:left="118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77"/>
        </w:trPr>
        <w:tc>
          <w:tcPr>
            <w:tcW w:w="1540" w:type="dxa"/>
            <w:vAlign w:val="bottom"/>
            <w:tcBorders>
              <w:top w:val="single" w:sz="8" w:color="auto"/>
            </w:tcBorders>
          </w:tcPr>
          <w:p>
            <w:pPr>
              <w:jc w:val="right"/>
              <w:ind w:right="533"/>
              <w:spacing w:after="0" w:line="177" w:lineRule="exact"/>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20" w:type="dxa"/>
            <w:vAlign w:val="bottom"/>
            <w:tcBorders>
              <w:top w:val="single" w:sz="8" w:color="auto"/>
              <w:bottom w:val="single" w:sz="8" w:color="0000FF"/>
            </w:tcBorders>
          </w:tcPr>
          <w:p>
            <w:pPr>
              <w:spacing w:after="0" w:line="177" w:lineRule="exact"/>
              <w:rPr>
                <w:sz w:val="20"/>
                <w:szCs w:val="20"/>
                <w:color w:val="auto"/>
              </w:rPr>
            </w:pPr>
            <w:r>
              <w:rPr>
                <w:rFonts w:ascii="Times New Roman" w:cs="Times New Roman" w:eastAsia="Times New Roman" w:hAnsi="Times New Roman"/>
                <w:sz w:val="17"/>
                <w:szCs w:val="17"/>
                <w:color w:val="0000FF"/>
              </w:rPr>
              <w:t>Earnings Press Release, dated May 7, 2026</w:t>
            </w:r>
          </w:p>
        </w:tc>
        <w:tc>
          <w:tcPr>
            <w:tcW w:w="6240" w:type="dxa"/>
            <w:vAlign w:val="bottom"/>
            <w:tcBorders>
              <w:top w:val="single" w:sz="8" w:color="auto"/>
            </w:tcBorders>
          </w:tcPr>
          <w:p>
            <w:pPr>
              <w:spacing w:after="0"/>
              <w:rPr>
                <w:sz w:val="15"/>
                <w:szCs w:val="15"/>
                <w:color w:val="auto"/>
              </w:rPr>
            </w:pPr>
          </w:p>
        </w:tc>
      </w:tr>
    </w:tbl>
    <w:p>
      <w:pPr>
        <w:spacing w:after="0" w:line="21" w:lineRule="exact"/>
        <w:rPr>
          <w:sz w:val="20"/>
          <w:szCs w:val="20"/>
          <w:color w:val="auto"/>
        </w:rPr>
      </w:pPr>
    </w:p>
    <w:p>
      <w:pPr>
        <w:jc w:val="center"/>
        <w:ind w:left="5580" w:right="1500" w:hanging="4742"/>
        <w:spacing w:after="0" w:line="574" w:lineRule="auto"/>
        <w:tabs>
          <w:tab w:leader="none" w:pos="185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(the cover page XBRL tags are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351790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919" w:right="459" w:bottom="1440" w:gutter="0" w:footer="0" w:header="0"/>
        </w:sectPr>
      </w:pPr>
    </w:p>
    <w:bookmarkStart w:id="4" w:name="page5"/>
    <w:bookmarkEnd w:id="4"/>
    <w:p>
      <w:pPr>
        <w:jc w:val="center"/>
        <w:ind w:right="-3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37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7, 2026</w:t>
      </w:r>
    </w:p>
    <w:p>
      <w:pPr>
        <w:spacing w:after="0" w:line="3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b w:val="1"/>
          <w:bCs w:val="1"/>
          <w:color w:val="auto"/>
        </w:rPr>
        <w:t>SPECTRUM BRANDS HOLDINGS, INC.</w:t>
      </w:r>
    </w:p>
    <w:p>
      <w:pPr>
        <w:spacing w:after="0" w:line="272" w:lineRule="exact"/>
        <w:rPr>
          <w:sz w:val="20"/>
          <w:szCs w:val="20"/>
          <w:color w:val="auto"/>
        </w:rPr>
      </w:pPr>
    </w:p>
    <w:p>
      <w:pPr>
        <w:ind w:left="4420"/>
        <w:spacing w:after="0"/>
        <w:tabs>
          <w:tab w:leader="none" w:pos="4900" w:val="left"/>
        </w:tabs>
        <w:rPr>
          <w:sz w:val="20"/>
          <w:szCs w:val="20"/>
          <w:color w:val="auto"/>
        </w:rPr>
      </w:pPr>
      <w:r>
        <w:rPr>
          <w:rFonts w:ascii="Times New Roman" w:cs="Times New Roman" w:eastAsia="Times New Roman" w:hAnsi="Times New Roman"/>
          <w:sz w:val="17"/>
          <w:szCs w:val="17"/>
          <w:color w:val="auto"/>
        </w:rPr>
        <w:t>By:</w:t>
        <w:tab/>
        <w:t>/s/ Faisal Qadir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20955</wp:posOffset>
            </wp:positionV>
            <wp:extent cx="40220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22090" cy="8255"/>
                    </a:xfrm>
                    <a:prstGeom prst="rect">
                      <a:avLst/>
                    </a:prstGeom>
                    <a:noFill/>
                  </pic:spPr>
                </pic:pic>
              </a:graphicData>
            </a:graphic>
          </wp:anchor>
        </w:drawing>
      </w:r>
    </w:p>
    <w:p>
      <w:pPr>
        <w:spacing w:after="0" w:line="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Name: Faisal Qadir</w:t>
      </w:r>
    </w:p>
    <w:p>
      <w:pPr>
        <w:spacing w:after="0" w:line="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Title: Executive Vice President and Chief Financial Officer</w:t>
      </w:r>
    </w:p>
    <w:p>
      <w:pPr>
        <w:spacing w:after="0" w:line="200" w:lineRule="exact"/>
        <w:rPr>
          <w:sz w:val="20"/>
          <w:szCs w:val="20"/>
          <w:color w:val="auto"/>
        </w:rPr>
      </w:pPr>
    </w:p>
    <w:p>
      <w:pPr>
        <w:spacing w:after="0" w:line="32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880"/>
          </w:cols>
          <w:pgMar w:left="320" w:top="749" w:right="699" w:bottom="1440" w:gutter="0" w:footer="0" w:header="0"/>
        </w:sectPr>
      </w:pPr>
    </w:p>
    <w:bookmarkStart w:id="5" w:name="page6"/>
    <w:bookmarkEnd w:id="5"/>
    <w:p>
      <w:pPr>
        <w:jc w:val="right"/>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822325</wp:posOffset>
            </wp:positionV>
            <wp:extent cx="1951990" cy="366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1990" cy="36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20"/>
        <w:spacing w:after="0"/>
        <w:rPr>
          <w:sz w:val="20"/>
          <w:szCs w:val="20"/>
          <w:color w:val="auto"/>
        </w:rPr>
      </w:pPr>
      <w:r>
        <w:rPr>
          <w:rFonts w:ascii="Georgia" w:cs="Georgia" w:eastAsia="Georgia" w:hAnsi="Georgia"/>
          <w:sz w:val="17"/>
          <w:szCs w:val="17"/>
          <w:color w:val="auto"/>
        </w:rPr>
        <w:t>3001 Deming Way</w:t>
      </w:r>
    </w:p>
    <w:p>
      <w:pPr>
        <w:spacing w:after="0" w:line="4" w:lineRule="exact"/>
        <w:rPr>
          <w:sz w:val="20"/>
          <w:szCs w:val="20"/>
          <w:color w:val="auto"/>
        </w:rPr>
      </w:pPr>
    </w:p>
    <w:p>
      <w:pPr>
        <w:ind w:left="1120"/>
        <w:spacing w:after="0"/>
        <w:rPr>
          <w:sz w:val="20"/>
          <w:szCs w:val="20"/>
          <w:color w:val="auto"/>
        </w:rPr>
      </w:pPr>
      <w:r>
        <w:rPr>
          <w:rFonts w:ascii="Georgia" w:cs="Georgia" w:eastAsia="Georgia" w:hAnsi="Georgia"/>
          <w:sz w:val="17"/>
          <w:szCs w:val="17"/>
          <w:color w:val="auto"/>
        </w:rPr>
        <w:t>Middleton, WI 53562-1431</w:t>
      </w:r>
    </w:p>
    <w:p>
      <w:pPr>
        <w:spacing w:after="0" w:line="17" w:lineRule="exact"/>
        <w:rPr>
          <w:sz w:val="20"/>
          <w:szCs w:val="20"/>
          <w:color w:val="auto"/>
        </w:rPr>
      </w:pPr>
    </w:p>
    <w:p>
      <w:pPr>
        <w:ind w:left="1120"/>
        <w:spacing w:after="0"/>
        <w:rPr>
          <w:sz w:val="20"/>
          <w:szCs w:val="20"/>
          <w:color w:val="auto"/>
        </w:rPr>
      </w:pPr>
      <w:r>
        <w:rPr>
          <w:rFonts w:ascii="Georgia" w:cs="Georgia" w:eastAsia="Georgia" w:hAnsi="Georgia"/>
          <w:sz w:val="17"/>
          <w:szCs w:val="17"/>
          <w:color w:val="auto"/>
        </w:rPr>
        <w:t>P.O. Box 620992</w:t>
      </w:r>
    </w:p>
    <w:p>
      <w:pPr>
        <w:spacing w:after="0" w:line="4" w:lineRule="exact"/>
        <w:rPr>
          <w:sz w:val="20"/>
          <w:szCs w:val="20"/>
          <w:color w:val="auto"/>
        </w:rPr>
      </w:pPr>
    </w:p>
    <w:p>
      <w:pPr>
        <w:ind w:left="1120"/>
        <w:spacing w:after="0"/>
        <w:rPr>
          <w:sz w:val="20"/>
          <w:szCs w:val="20"/>
          <w:color w:val="auto"/>
        </w:rPr>
      </w:pPr>
      <w:r>
        <w:rPr>
          <w:rFonts w:ascii="Georgia" w:cs="Georgia" w:eastAsia="Georgia" w:hAnsi="Georgia"/>
          <w:sz w:val="17"/>
          <w:szCs w:val="17"/>
          <w:color w:val="auto"/>
        </w:rPr>
        <w:t>Middleton, WI 53562-0992</w:t>
      </w:r>
    </w:p>
    <w:p>
      <w:pPr>
        <w:spacing w:after="0" w:line="4" w:lineRule="exact"/>
        <w:rPr>
          <w:sz w:val="20"/>
          <w:szCs w:val="20"/>
          <w:color w:val="auto"/>
        </w:rPr>
      </w:pPr>
    </w:p>
    <w:p>
      <w:pPr>
        <w:ind w:left="1120"/>
        <w:spacing w:after="0"/>
        <w:rPr>
          <w:sz w:val="20"/>
          <w:szCs w:val="20"/>
          <w:color w:val="auto"/>
        </w:rPr>
      </w:pPr>
      <w:r>
        <w:rPr>
          <w:rFonts w:ascii="Georgia" w:cs="Georgia" w:eastAsia="Georgia" w:hAnsi="Georgia"/>
          <w:sz w:val="17"/>
          <w:szCs w:val="17"/>
          <w:color w:val="auto"/>
        </w:rPr>
        <w:t>(608) 275-3340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wp:posOffset>
            </wp:positionH>
            <wp:positionV relativeFrom="paragraph">
              <wp:posOffset>29210</wp:posOffset>
            </wp:positionV>
            <wp:extent cx="6498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8590" cy="8255"/>
                    </a:xfrm>
                    <a:prstGeom prst="rect">
                      <a:avLst/>
                    </a:prstGeom>
                    <a:noFill/>
                  </pic:spPr>
                </pic:pic>
              </a:graphicData>
            </a:graphic>
          </wp:anchor>
        </w:drawing>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280" w:type="dxa"/>
            <w:vAlign w:val="bottom"/>
            <w:tcBorders>
              <w:bottom w:val="single" w:sz="8" w:color="auto"/>
            </w:tcBorders>
          </w:tcPr>
          <w:p>
            <w:pPr>
              <w:spacing w:after="0"/>
              <w:rPr>
                <w:sz w:val="20"/>
                <w:szCs w:val="20"/>
                <w:color w:val="auto"/>
              </w:rPr>
            </w:pPr>
            <w:r>
              <w:rPr>
                <w:rFonts w:ascii="Arial" w:cs="Arial" w:eastAsia="Arial" w:hAnsi="Arial"/>
                <w:sz w:val="21"/>
                <w:szCs w:val="21"/>
                <w:b w:val="1"/>
                <w:bCs w:val="1"/>
                <w:color w:val="auto"/>
                <w:w w:val="98"/>
              </w:rPr>
              <w:t>For Immediate Release</w:t>
            </w:r>
          </w:p>
        </w:tc>
        <w:tc>
          <w:tcPr>
            <w:tcW w:w="8900" w:type="dxa"/>
            <w:vAlign w:val="bottom"/>
          </w:tcPr>
          <w:p>
            <w:pPr>
              <w:jc w:val="right"/>
              <w:spacing w:after="0"/>
              <w:rPr>
                <w:sz w:val="20"/>
                <w:szCs w:val="20"/>
                <w:color w:val="auto"/>
              </w:rPr>
            </w:pPr>
            <w:r>
              <w:rPr>
                <w:rFonts w:ascii="Arial" w:cs="Arial" w:eastAsia="Arial" w:hAnsi="Arial"/>
                <w:sz w:val="21"/>
                <w:szCs w:val="21"/>
                <w:color w:val="auto"/>
              </w:rPr>
              <w:t>Investor/Media Contact:</w:t>
            </w:r>
          </w:p>
        </w:tc>
      </w:tr>
      <w:tr>
        <w:trPr>
          <w:trHeight w:val="269"/>
        </w:trPr>
        <w:tc>
          <w:tcPr>
            <w:tcW w:w="2280" w:type="dxa"/>
            <w:vAlign w:val="bottom"/>
          </w:tcPr>
          <w:p>
            <w:pPr>
              <w:spacing w:after="0"/>
              <w:rPr>
                <w:sz w:val="23"/>
                <w:szCs w:val="23"/>
                <w:color w:val="auto"/>
              </w:rPr>
            </w:pPr>
          </w:p>
        </w:tc>
        <w:tc>
          <w:tcPr>
            <w:tcW w:w="8900" w:type="dxa"/>
            <w:vAlign w:val="bottom"/>
          </w:tcPr>
          <w:p>
            <w:pPr>
              <w:jc w:val="right"/>
              <w:spacing w:after="0"/>
              <w:rPr>
                <w:sz w:val="20"/>
                <w:szCs w:val="20"/>
                <w:color w:val="auto"/>
              </w:rPr>
            </w:pPr>
            <w:r>
              <w:rPr>
                <w:rFonts w:ascii="Arial" w:cs="Arial" w:eastAsia="Arial" w:hAnsi="Arial"/>
                <w:sz w:val="21"/>
                <w:szCs w:val="21"/>
                <w:color w:val="auto"/>
              </w:rPr>
              <w:t>Jen Schultz 314-253-5923</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Spectrum Brands Holdings Reports Fiscal 2026 Second Quarter Results</w:t>
      </w:r>
    </w:p>
    <w:p>
      <w:pPr>
        <w:spacing w:after="0" w:line="113" w:lineRule="exact"/>
        <w:rPr>
          <w:sz w:val="20"/>
          <w:szCs w:val="20"/>
          <w:color w:val="auto"/>
        </w:rPr>
      </w:pPr>
    </w:p>
    <w:p>
      <w:pPr>
        <w:ind w:left="640" w:right="220" w:hanging="320"/>
        <w:spacing w:after="0" w:line="265" w:lineRule="auto"/>
        <w:tabs>
          <w:tab w:leader="none" w:pos="608"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color w:val="auto"/>
        </w:rPr>
        <w:t>Second Quarter Net Sales Increased 4.9% and Organic Net Sales Excluding Foreign Exchange Increased 1.5%</w:t>
      </w:r>
    </w:p>
    <w:p>
      <w:pPr>
        <w:ind w:left="640" w:right="340" w:hanging="320"/>
        <w:spacing w:after="0" w:line="247" w:lineRule="auto"/>
        <w:tabs>
          <w:tab w:leader="none" w:pos="608"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color w:val="auto"/>
        </w:rPr>
        <w:t>Second Quarter Net Income From Continuing Operations of $22.5 Million and Adjusted EBITDA of $84.0 Million Increased by $20.7 Million and $12.7 Million, Respectively</w:t>
      </w:r>
    </w:p>
    <w:p>
      <w:pPr>
        <w:spacing w:after="0" w:line="1" w:lineRule="exact"/>
        <w:rPr>
          <w:rFonts w:ascii="Arial" w:cs="Arial" w:eastAsia="Arial" w:hAnsi="Arial"/>
          <w:sz w:val="21"/>
          <w:szCs w:val="21"/>
          <w:b w:val="1"/>
          <w:bCs w:val="1"/>
          <w:color w:val="auto"/>
        </w:rPr>
      </w:pPr>
    </w:p>
    <w:p>
      <w:pPr>
        <w:ind w:left="600" w:hanging="280"/>
        <w:spacing w:after="0"/>
        <w:tabs>
          <w:tab w:leader="none" w:pos="600"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color w:val="auto"/>
        </w:rPr>
        <w:t>Ended Second Quarter with Net Debt Leverage of 1.66x Adjusted EBITDA</w:t>
      </w:r>
    </w:p>
    <w:p>
      <w:pPr>
        <w:spacing w:after="0" w:line="7" w:lineRule="exact"/>
        <w:rPr>
          <w:rFonts w:ascii="Arial" w:cs="Arial" w:eastAsia="Arial" w:hAnsi="Arial"/>
          <w:sz w:val="21"/>
          <w:szCs w:val="21"/>
          <w:b w:val="1"/>
          <w:bCs w:val="1"/>
          <w:color w:val="auto"/>
        </w:rPr>
      </w:pPr>
    </w:p>
    <w:p>
      <w:pPr>
        <w:ind w:left="640" w:right="240" w:hanging="320"/>
        <w:spacing w:after="0" w:line="247" w:lineRule="auto"/>
        <w:tabs>
          <w:tab w:leader="none" w:pos="608"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color w:val="auto"/>
        </w:rPr>
        <w:t>Executed a Strategic Partnership in the Home and Personal Care Segment, Designed to Accelerate Long Term Growth of the Business</w:t>
      </w:r>
    </w:p>
    <w:p>
      <w:pPr>
        <w:spacing w:after="0" w:line="1" w:lineRule="exact"/>
        <w:rPr>
          <w:rFonts w:ascii="Arial" w:cs="Arial" w:eastAsia="Arial" w:hAnsi="Arial"/>
          <w:sz w:val="21"/>
          <w:szCs w:val="21"/>
          <w:b w:val="1"/>
          <w:bCs w:val="1"/>
          <w:color w:val="auto"/>
        </w:rPr>
      </w:pPr>
    </w:p>
    <w:p>
      <w:pPr>
        <w:jc w:val="both"/>
        <w:ind w:left="640" w:right="480" w:hanging="320"/>
        <w:spacing w:after="0" w:line="267" w:lineRule="auto"/>
        <w:tabs>
          <w:tab w:leader="none" w:pos="608"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color w:val="auto"/>
        </w:rPr>
        <w:t>Updating Fiscal 2026 Framework, Continue to Expect Net Sales to be Flat to Up Low Single Digits and Approximately 50% Conversion of Adjusted EBITDA to Adjusted Free Cash Flow; Adjusted EBITDA is Now Expected to be Up Low to Mid Single Digits</w:t>
      </w:r>
    </w:p>
    <w:p>
      <w:pPr>
        <w:spacing w:after="0" w:line="276" w:lineRule="exact"/>
        <w:rPr>
          <w:sz w:val="20"/>
          <w:szCs w:val="20"/>
          <w:color w:val="auto"/>
        </w:rPr>
      </w:pPr>
    </w:p>
    <w:p>
      <w:pPr>
        <w:ind w:right="280"/>
        <w:spacing w:after="0" w:line="263" w:lineRule="auto"/>
        <w:rPr>
          <w:sz w:val="20"/>
          <w:szCs w:val="20"/>
          <w:color w:val="auto"/>
        </w:rPr>
      </w:pPr>
      <w:r>
        <w:rPr>
          <w:rFonts w:ascii="Arial" w:cs="Arial" w:eastAsia="Arial" w:hAnsi="Arial"/>
          <w:sz w:val="21"/>
          <w:szCs w:val="21"/>
          <w:color w:val="auto"/>
        </w:rPr>
        <w:t>Middleton, WI, May 7, 2026 - Spectrum Brands Holdings, Inc. (NYSE: SPB; “Spectrum Brands” or the “Company”), a leading global branded consumer products and home essentials company focused on driving innovation and providing exceptional customer service, today reported results from continuing operations for the second quarter of fiscal 2026 ended March 29, 2026.</w:t>
      </w:r>
    </w:p>
    <w:p>
      <w:pPr>
        <w:spacing w:after="0" w:line="43"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"We are pleased with our results this quarter, where we returned to top-line growth for the first time since first quarter of fiscal 2025. Our key brands across Global Pet Care and Home &amp; Garden continue to outperform the market driven by strong innovation and distribution gains. In Home &amp; Personal Care, while net sales declined, adjusted EBITDA increased, demonstrating the positive impact of the actions taken over the past year. These results continue to reinforce the effectiveness of our strategic initiatives and the strength of our team. Looking forward, while we remain focused on the dynamic macroeconomic environment, our first half results represent meaningful progress for the full fiscal year. We are updating our earnings framework and increasing our Adjusted EBITDA expectation to low to mid single digit growth while maintaining our net sales expectation of flat to low single digit growth in fiscal 26,” said David Maura, Chairman and Chief Executive Officer of Spectrum Brands.</w:t>
      </w:r>
    </w:p>
    <w:p>
      <w:pPr>
        <w:spacing w:after="0" w:line="199"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Mr. Maura continued, “on the strategic front, following quarter close, we entered into a partnership with Oaktree Capital Management on our Home &amp; Personal Care business. The transaction includes a strategic $127 million cash investment from Oaktree Capital in the form of preferred equity and debt, and we will continue to own approximately 73% of the Appliances business. Upon closing, which is expected to occur later this month, the HPC subsidiaries will be designated as unrestricted subsidiaries with their own capital structure that is non-recourse to Spectrum Brands Holdings. We believe that a partnership with Oaktree Capital, who has a strong track record in disciplined capital allocation, validates our vision for creating value in our Appliances business through both organic and inorganic growth initiatives. Importantly, this transaction represents a meaningful step in our previously announced strategy of separating the HPC business from our Pet and Home &amp; Garden businesses.”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24" w:right="339" w:bottom="1440" w:gutter="0" w:footer="0" w:header="0"/>
        </w:sectPr>
      </w:pPr>
    </w:p>
    <w:bookmarkStart w:id="6" w:name="page7"/>
    <w:bookmarkEnd w:id="6"/>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5186045</wp:posOffset>
            </wp:positionH>
            <wp:positionV relativeFrom="page">
              <wp:posOffset>88900</wp:posOffset>
            </wp:positionV>
            <wp:extent cx="2156460" cy="366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156460" cy="36639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b w:val="1"/>
          <w:bCs w:val="1"/>
          <w:color w:val="auto"/>
        </w:rPr>
        <w:t>Fiscal 2026 Second Quarter Highlights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00" w:type="dxa"/>
            <w:vAlign w:val="bottom"/>
            <w:gridSpan w:val="5"/>
          </w:tcPr>
          <w:p>
            <w:pPr>
              <w:ind w:left="800"/>
              <w:spacing w:after="0"/>
              <w:rPr>
                <w:sz w:val="20"/>
                <w:szCs w:val="20"/>
                <w:color w:val="auto"/>
              </w:rPr>
            </w:pPr>
            <w:r>
              <w:rPr>
                <w:rFonts w:ascii="Arial" w:cs="Arial" w:eastAsia="Arial" w:hAnsi="Arial"/>
                <w:sz w:val="17"/>
                <w:szCs w:val="17"/>
                <w:b w:val="1"/>
                <w:bCs w:val="1"/>
                <w:color w:val="auto"/>
              </w:rPr>
              <w:t>Three Month Periods Ended</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60" w:type="dxa"/>
            <w:vAlign w:val="bottom"/>
            <w:gridSpan w:val="2"/>
          </w:tcPr>
          <w:p>
            <w:pPr>
              <w:ind w:left="20"/>
              <w:spacing w:after="0"/>
              <w:rPr>
                <w:sz w:val="20"/>
                <w:szCs w:val="20"/>
                <w:color w:val="auto"/>
              </w:rPr>
            </w:pPr>
            <w:r>
              <w:rPr>
                <w:rFonts w:ascii="Arial" w:cs="Arial" w:eastAsia="Arial" w:hAnsi="Arial"/>
                <w:sz w:val="17"/>
                <w:szCs w:val="17"/>
                <w:b w:val="1"/>
                <w:bCs w:val="1"/>
                <w:color w:val="auto"/>
              </w:rPr>
              <w:t>(in millions, except per share and %)</w:t>
            </w:r>
          </w:p>
        </w:tc>
        <w:tc>
          <w:tcPr>
            <w:tcW w:w="30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March 29, 2026</w:t>
            </w:r>
          </w:p>
        </w:tc>
        <w:tc>
          <w:tcPr>
            <w:tcW w:w="3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March 30, 2025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gridSpan w:val="2"/>
          </w:tcPr>
          <w:p>
            <w:pPr>
              <w:jc w:val="right"/>
              <w:ind w:right="753"/>
              <w:spacing w:after="0"/>
              <w:rPr>
                <w:sz w:val="20"/>
                <w:szCs w:val="20"/>
                <w:color w:val="auto"/>
              </w:rPr>
            </w:pPr>
            <w:r>
              <w:rPr>
                <w:rFonts w:ascii="Arial" w:cs="Arial" w:eastAsia="Arial" w:hAnsi="Arial"/>
                <w:sz w:val="17"/>
                <w:szCs w:val="17"/>
                <w:b w:val="1"/>
                <w:bCs w:val="1"/>
                <w:color w:val="auto"/>
              </w:rPr>
              <w:t>Variance</w:t>
            </w:r>
          </w:p>
        </w:tc>
        <w:tc>
          <w:tcPr>
            <w:tcW w:w="0" w:type="dxa"/>
            <w:vAlign w:val="bottom"/>
          </w:tcPr>
          <w:p>
            <w:pPr>
              <w:spacing w:after="0"/>
              <w:rPr>
                <w:sz w:val="1"/>
                <w:szCs w:val="1"/>
                <w:color w:val="auto"/>
              </w:rPr>
            </w:pPr>
          </w:p>
        </w:tc>
      </w:tr>
      <w:tr>
        <w:trPr>
          <w:trHeight w:val="223"/>
        </w:trPr>
        <w:tc>
          <w:tcPr>
            <w:tcW w:w="4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9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708.9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9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675.7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4.9 %</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Pr>
          <w:p>
            <w:pPr>
              <w:spacing w:after="0"/>
              <w:rPr>
                <w:sz w:val="19"/>
                <w:szCs w:val="19"/>
                <w:color w:val="auto"/>
              </w:rPr>
            </w:pPr>
          </w:p>
        </w:tc>
        <w:tc>
          <w:tcPr>
            <w:tcW w:w="1900" w:type="dxa"/>
            <w:vAlign w:val="bottom"/>
          </w:tcPr>
          <w:p>
            <w:pPr>
              <w:jc w:val="right"/>
              <w:ind w:right="133"/>
              <w:spacing w:after="0"/>
              <w:rPr>
                <w:sz w:val="20"/>
                <w:szCs w:val="20"/>
                <w:color w:val="auto"/>
              </w:rPr>
            </w:pPr>
            <w:r>
              <w:rPr>
                <w:rFonts w:ascii="Arial" w:cs="Arial" w:eastAsia="Arial" w:hAnsi="Arial"/>
                <w:sz w:val="17"/>
                <w:szCs w:val="17"/>
                <w:color w:val="auto"/>
              </w:rPr>
              <w:t>270.3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jc w:val="right"/>
              <w:ind w:right="133"/>
              <w:spacing w:after="0"/>
              <w:rPr>
                <w:sz w:val="20"/>
                <w:szCs w:val="20"/>
                <w:color w:val="auto"/>
              </w:rPr>
            </w:pPr>
            <w:r>
              <w:rPr>
                <w:rFonts w:ascii="Arial" w:cs="Arial" w:eastAsia="Arial" w:hAnsi="Arial"/>
                <w:sz w:val="17"/>
                <w:szCs w:val="17"/>
                <w:color w:val="auto"/>
              </w:rPr>
              <w:t>253.4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16.9</w:t>
            </w:r>
          </w:p>
        </w:tc>
        <w:tc>
          <w:tcPr>
            <w:tcW w:w="1340" w:type="dxa"/>
            <w:vAlign w:val="bottom"/>
          </w:tcPr>
          <w:p>
            <w:pPr>
              <w:jc w:val="right"/>
              <w:spacing w:after="0"/>
              <w:rPr>
                <w:sz w:val="20"/>
                <w:szCs w:val="20"/>
                <w:color w:val="auto"/>
              </w:rPr>
            </w:pPr>
            <w:r>
              <w:rPr>
                <w:rFonts w:ascii="Arial" w:cs="Arial" w:eastAsia="Arial" w:hAnsi="Arial"/>
                <w:sz w:val="17"/>
                <w:szCs w:val="17"/>
                <w:color w:val="auto"/>
              </w:rPr>
              <w:t>6.7 %</w:t>
            </w: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profit margin</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340" w:type="dxa"/>
            <w:vAlign w:val="bottom"/>
            <w:shd w:val="clear" w:color="auto" w:fill="CCEEFF"/>
          </w:tcPr>
          <w:p>
            <w:pPr>
              <w:jc w:val="right"/>
              <w:ind w:right="913"/>
              <w:spacing w:after="0"/>
              <w:rPr>
                <w:sz w:val="20"/>
                <w:szCs w:val="20"/>
                <w:color w:val="auto"/>
              </w:rPr>
            </w:pPr>
            <w:r>
              <w:rPr>
                <w:rFonts w:ascii="Arial" w:cs="Arial" w:eastAsia="Arial" w:hAnsi="Arial"/>
                <w:sz w:val="17"/>
                <w:szCs w:val="17"/>
                <w:color w:val="auto"/>
              </w:rPr>
              <w:t>bps</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Arial" w:cs="Arial" w:eastAsia="Arial" w:hAnsi="Arial"/>
                <w:sz w:val="17"/>
                <w:szCs w:val="17"/>
                <w:color w:val="auto"/>
              </w:rPr>
              <w:t>Operating income</w:t>
            </w:r>
          </w:p>
        </w:tc>
        <w:tc>
          <w:tcPr>
            <w:tcW w:w="300" w:type="dxa"/>
            <w:vAlign w:val="bottom"/>
          </w:tcPr>
          <w:p>
            <w:pPr>
              <w:spacing w:after="0"/>
              <w:rPr>
                <w:sz w:val="19"/>
                <w:szCs w:val="19"/>
                <w:color w:val="auto"/>
              </w:rPr>
            </w:pPr>
          </w:p>
        </w:tc>
        <w:tc>
          <w:tcPr>
            <w:tcW w:w="1900" w:type="dxa"/>
            <w:vAlign w:val="bottom"/>
          </w:tcPr>
          <w:p>
            <w:pPr>
              <w:jc w:val="right"/>
              <w:ind w:right="133"/>
              <w:spacing w:after="0"/>
              <w:rPr>
                <w:sz w:val="20"/>
                <w:szCs w:val="20"/>
                <w:color w:val="auto"/>
              </w:rPr>
            </w:pPr>
            <w:r>
              <w:rPr>
                <w:rFonts w:ascii="Arial" w:cs="Arial" w:eastAsia="Arial" w:hAnsi="Arial"/>
                <w:sz w:val="17"/>
                <w:szCs w:val="17"/>
                <w:color w:val="auto"/>
              </w:rPr>
              <w:t>43.5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jc w:val="right"/>
              <w:ind w:right="133"/>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24.0</w:t>
            </w:r>
          </w:p>
        </w:tc>
        <w:tc>
          <w:tcPr>
            <w:tcW w:w="1340" w:type="dxa"/>
            <w:vAlign w:val="bottom"/>
          </w:tcPr>
          <w:p>
            <w:pPr>
              <w:jc w:val="right"/>
              <w:spacing w:after="0"/>
              <w:rPr>
                <w:sz w:val="20"/>
                <w:szCs w:val="20"/>
                <w:color w:val="auto"/>
              </w:rPr>
            </w:pPr>
            <w:r>
              <w:rPr>
                <w:rFonts w:ascii="Arial" w:cs="Arial" w:eastAsia="Arial" w:hAnsi="Arial"/>
                <w:sz w:val="17"/>
                <w:szCs w:val="17"/>
                <w:color w:val="auto"/>
              </w:rPr>
              <w:t>123.1 %</w:t>
            </w: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 from continuing operations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Arial" w:cs="Arial" w:eastAsia="Arial" w:hAnsi="Arial"/>
                <w:sz w:val="17"/>
                <w:szCs w:val="17"/>
                <w:color w:val="auto"/>
              </w:rPr>
              <w:t>Net income from continuing operations margin</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3.2 %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0.3 %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290</w:t>
            </w:r>
          </w:p>
        </w:tc>
        <w:tc>
          <w:tcPr>
            <w:tcW w:w="1340" w:type="dxa"/>
            <w:vAlign w:val="bottom"/>
          </w:tcPr>
          <w:p>
            <w:pPr>
              <w:jc w:val="right"/>
              <w:ind w:right="913"/>
              <w:spacing w:after="0"/>
              <w:rPr>
                <w:sz w:val="20"/>
                <w:szCs w:val="20"/>
                <w:color w:val="auto"/>
              </w:rPr>
            </w:pPr>
            <w:r>
              <w:rPr>
                <w:rFonts w:ascii="Arial" w:cs="Arial" w:eastAsia="Arial" w:hAnsi="Arial"/>
                <w:sz w:val="17"/>
                <w:szCs w:val="17"/>
                <w:color w:val="auto"/>
              </w:rPr>
              <w:t>bps</w:t>
            </w:r>
          </w:p>
        </w:tc>
        <w:tc>
          <w:tcPr>
            <w:tcW w:w="0" w:type="dxa"/>
            <w:vAlign w:val="bottom"/>
          </w:tcPr>
          <w:p>
            <w:pPr>
              <w:spacing w:after="0"/>
              <w:rPr>
                <w:sz w:val="1"/>
                <w:szCs w:val="1"/>
                <w:color w:val="auto"/>
              </w:rPr>
            </w:pPr>
          </w:p>
        </w:tc>
      </w:tr>
      <w:tr>
        <w:trPr>
          <w:trHeight w:val="180"/>
        </w:trPr>
        <w:tc>
          <w:tcPr>
            <w:tcW w:w="426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rPr>
              <w:t>Diluted earnings per share from continuing</w:t>
            </w:r>
          </w:p>
        </w:tc>
        <w:tc>
          <w:tcPr>
            <w:tcW w:w="300" w:type="dxa"/>
            <w:vAlign w:val="bottom"/>
            <w:vMerge w:val="restart"/>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900" w:type="dxa"/>
            <w:vAlign w:val="bottom"/>
            <w:vMerge w:val="restart"/>
            <w:shd w:val="clear" w:color="auto" w:fill="CCEEFF"/>
          </w:tcPr>
          <w:p>
            <w:pPr>
              <w:jc w:val="right"/>
              <w:ind w:right="133"/>
              <w:spacing w:after="0"/>
              <w:rPr>
                <w:sz w:val="20"/>
                <w:szCs w:val="20"/>
                <w:color w:val="auto"/>
              </w:rPr>
            </w:pPr>
            <w:r>
              <w:rPr>
                <w:rFonts w:ascii="Arial" w:cs="Arial" w:eastAsia="Arial" w:hAnsi="Arial"/>
                <w:sz w:val="17"/>
                <w:szCs w:val="17"/>
                <w:color w:val="auto"/>
              </w:rPr>
              <w:t>0.96</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900" w:type="dxa"/>
            <w:vAlign w:val="bottom"/>
            <w:vMerge w:val="restart"/>
            <w:shd w:val="clear" w:color="auto" w:fill="CCEEFF"/>
          </w:tcPr>
          <w:p>
            <w:pPr>
              <w:jc w:val="right"/>
              <w:ind w:right="133"/>
              <w:spacing w:after="0"/>
              <w:rPr>
                <w:sz w:val="20"/>
                <w:szCs w:val="20"/>
                <w:color w:val="auto"/>
              </w:rPr>
            </w:pPr>
            <w:r>
              <w:rPr>
                <w:rFonts w:ascii="Arial" w:cs="Arial" w:eastAsia="Arial" w:hAnsi="Arial"/>
                <w:sz w:val="17"/>
                <w:szCs w:val="17"/>
                <w:color w:val="auto"/>
              </w:rPr>
              <w:t>0.06</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7"/>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operations</w:t>
            </w:r>
          </w:p>
        </w:tc>
        <w:tc>
          <w:tcPr>
            <w:tcW w:w="300" w:type="dxa"/>
            <w:vAlign w:val="bottom"/>
            <w:vMerge w:val="continue"/>
            <w:shd w:val="clear" w:color="auto" w:fill="CCEEFF"/>
          </w:tcPr>
          <w:p>
            <w:pPr>
              <w:spacing w:after="0"/>
              <w:rPr>
                <w:sz w:val="19"/>
                <w:szCs w:val="19"/>
                <w:color w:val="auto"/>
              </w:rPr>
            </w:pPr>
          </w:p>
        </w:tc>
        <w:tc>
          <w:tcPr>
            <w:tcW w:w="1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Arial" w:cs="Arial" w:eastAsia="Arial" w:hAnsi="Arial"/>
                <w:sz w:val="17"/>
                <w:szCs w:val="17"/>
                <w:b w:val="1"/>
                <w:bCs w:val="1"/>
                <w:color w:val="auto"/>
              </w:rPr>
              <w:t>Non-GAAP Operating Metrics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EBITDA from continuing operations</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84.0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71.3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17.8 %</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Arial" w:cs="Arial" w:eastAsia="Arial" w:hAnsi="Arial"/>
                <w:sz w:val="17"/>
                <w:szCs w:val="17"/>
                <w:color w:val="auto"/>
              </w:rPr>
              <w:t>Adjusted EBITDA margin</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11.8 %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10.6 %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120</w:t>
            </w:r>
          </w:p>
        </w:tc>
        <w:tc>
          <w:tcPr>
            <w:tcW w:w="1340" w:type="dxa"/>
            <w:vAlign w:val="bottom"/>
          </w:tcPr>
          <w:p>
            <w:pPr>
              <w:jc w:val="right"/>
              <w:ind w:right="913"/>
              <w:spacing w:after="0"/>
              <w:rPr>
                <w:sz w:val="20"/>
                <w:szCs w:val="20"/>
                <w:color w:val="auto"/>
              </w:rPr>
            </w:pPr>
            <w:r>
              <w:rPr>
                <w:rFonts w:ascii="Arial" w:cs="Arial" w:eastAsia="Arial" w:hAnsi="Arial"/>
                <w:sz w:val="17"/>
                <w:szCs w:val="17"/>
                <w:color w:val="auto"/>
              </w:rPr>
              <w:t>bps</w:t>
            </w: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EPS from continuing operations</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0.68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0.57</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40" w:right="20" w:hanging="320"/>
        <w:spacing w:after="0" w:line="259" w:lineRule="auto"/>
        <w:tabs>
          <w:tab w:leader="none" w:pos="608" w:val="left"/>
        </w:tabs>
        <w:numPr>
          <w:ilvl w:val="0"/>
          <w:numId w:val="6"/>
        </w:numPr>
        <w:rPr>
          <w:rFonts w:ascii="Arial" w:cs="Arial" w:eastAsia="Arial" w:hAnsi="Arial"/>
          <w:sz w:val="21"/>
          <w:szCs w:val="21"/>
          <w:color w:val="auto"/>
        </w:rPr>
      </w:pPr>
      <w:r>
        <w:rPr>
          <w:rFonts w:ascii="Arial" w:cs="Arial" w:eastAsia="Arial" w:hAnsi="Arial"/>
          <w:sz w:val="21"/>
          <w:szCs w:val="21"/>
          <w:color w:val="auto"/>
        </w:rPr>
        <w:t>Net sales increased 4.9% with an increase in organic net sales of 1.5%, which excludes the impact of $22.9 million of favorable foreign exchange rates. The net sales increase was primarily due to strong performance in Global Pet Care and Home and Garden with market share gains across key brands. External factors including favorable weather and strategic order accelerations by certain retailers also contributed. This was partially offset by consumer demand softness in Home and Personal Care across both North America and Europe.</w:t>
      </w:r>
    </w:p>
    <w:p>
      <w:pPr>
        <w:spacing w:after="0" w:line="60" w:lineRule="exact"/>
        <w:rPr>
          <w:rFonts w:ascii="Arial" w:cs="Arial" w:eastAsia="Arial" w:hAnsi="Arial"/>
          <w:sz w:val="21"/>
          <w:szCs w:val="21"/>
          <w:color w:val="auto"/>
        </w:rPr>
      </w:pPr>
    </w:p>
    <w:p>
      <w:pPr>
        <w:ind w:left="640" w:right="340" w:hanging="320"/>
        <w:spacing w:after="0" w:line="281" w:lineRule="auto"/>
        <w:tabs>
          <w:tab w:leader="none" w:pos="608" w:val="left"/>
        </w:tabs>
        <w:numPr>
          <w:ilvl w:val="0"/>
          <w:numId w:val="6"/>
        </w:numPr>
        <w:rPr>
          <w:rFonts w:ascii="Arial" w:cs="Arial" w:eastAsia="Arial" w:hAnsi="Arial"/>
          <w:sz w:val="21"/>
          <w:szCs w:val="21"/>
          <w:color w:val="auto"/>
        </w:rPr>
      </w:pPr>
      <w:r>
        <w:rPr>
          <w:rFonts w:ascii="Arial" w:cs="Arial" w:eastAsia="Arial" w:hAnsi="Arial"/>
          <w:sz w:val="21"/>
          <w:szCs w:val="21"/>
          <w:color w:val="auto"/>
        </w:rPr>
        <w:t>Gross profit and margin increased driven by pricing, cost improvement actions, and favorable foreign exchange partially offset by higher trade spend and higher tariff cost.</w:t>
      </w:r>
    </w:p>
    <w:p>
      <w:pPr>
        <w:spacing w:after="0" w:line="50" w:lineRule="exact"/>
        <w:rPr>
          <w:rFonts w:ascii="Arial" w:cs="Arial" w:eastAsia="Arial" w:hAnsi="Arial"/>
          <w:sz w:val="21"/>
          <w:szCs w:val="21"/>
          <w:color w:val="auto"/>
        </w:rPr>
      </w:pPr>
    </w:p>
    <w:p>
      <w:pPr>
        <w:ind w:left="580" w:hanging="260"/>
        <w:spacing w:after="0"/>
        <w:tabs>
          <w:tab w:leader="none" w:pos="580" w:val="left"/>
        </w:tabs>
        <w:numPr>
          <w:ilvl w:val="0"/>
          <w:numId w:val="6"/>
        </w:numPr>
        <w:rPr>
          <w:rFonts w:ascii="Arial" w:cs="Arial" w:eastAsia="Arial" w:hAnsi="Arial"/>
          <w:sz w:val="24"/>
          <w:szCs w:val="24"/>
          <w:color w:val="auto"/>
        </w:rPr>
      </w:pPr>
      <w:r>
        <w:rPr>
          <w:rFonts w:ascii="Arial" w:cs="Arial" w:eastAsia="Arial" w:hAnsi="Arial"/>
          <w:sz w:val="21"/>
          <w:szCs w:val="21"/>
          <w:color w:val="auto"/>
        </w:rPr>
        <w:t>Operating income increased due to the increase in gross profit and lower operating expenses.</w:t>
      </w:r>
    </w:p>
    <w:p>
      <w:pPr>
        <w:spacing w:after="0" w:line="91" w:lineRule="exact"/>
        <w:rPr>
          <w:rFonts w:ascii="Arial" w:cs="Arial" w:eastAsia="Arial" w:hAnsi="Arial"/>
          <w:sz w:val="24"/>
          <w:szCs w:val="24"/>
          <w:color w:val="auto"/>
        </w:rPr>
      </w:pPr>
    </w:p>
    <w:p>
      <w:pPr>
        <w:ind w:left="640" w:right="700" w:hanging="320"/>
        <w:spacing w:after="0" w:line="281" w:lineRule="auto"/>
        <w:tabs>
          <w:tab w:leader="none" w:pos="608" w:val="left"/>
        </w:tabs>
        <w:numPr>
          <w:ilvl w:val="0"/>
          <w:numId w:val="6"/>
        </w:numPr>
        <w:rPr>
          <w:rFonts w:ascii="Arial" w:cs="Arial" w:eastAsia="Arial" w:hAnsi="Arial"/>
          <w:sz w:val="21"/>
          <w:szCs w:val="21"/>
          <w:color w:val="auto"/>
        </w:rPr>
      </w:pPr>
      <w:r>
        <w:rPr>
          <w:rFonts w:ascii="Arial" w:cs="Arial" w:eastAsia="Arial" w:hAnsi="Arial"/>
          <w:sz w:val="21"/>
          <w:szCs w:val="21"/>
          <w:color w:val="auto"/>
        </w:rPr>
        <w:t>Net income from continuing operations and diluted earnings per share increased driven by higher operating income. Diluted earnings per share also benefited from a lower share count.</w:t>
      </w:r>
    </w:p>
    <w:p>
      <w:pPr>
        <w:spacing w:after="0" w:line="37" w:lineRule="exact"/>
        <w:rPr>
          <w:rFonts w:ascii="Arial" w:cs="Arial" w:eastAsia="Arial" w:hAnsi="Arial"/>
          <w:sz w:val="21"/>
          <w:szCs w:val="21"/>
          <w:color w:val="auto"/>
        </w:rPr>
      </w:pPr>
    </w:p>
    <w:p>
      <w:pPr>
        <w:ind w:left="640" w:right="240" w:hanging="320"/>
        <w:spacing w:after="0" w:line="294" w:lineRule="auto"/>
        <w:tabs>
          <w:tab w:leader="none" w:pos="608" w:val="left"/>
        </w:tabs>
        <w:numPr>
          <w:ilvl w:val="0"/>
          <w:numId w:val="6"/>
        </w:numPr>
        <w:rPr>
          <w:rFonts w:ascii="Arial" w:cs="Arial" w:eastAsia="Arial" w:hAnsi="Arial"/>
          <w:sz w:val="21"/>
          <w:szCs w:val="21"/>
          <w:color w:val="auto"/>
        </w:rPr>
      </w:pPr>
      <w:r>
        <w:rPr>
          <w:rFonts w:ascii="Arial" w:cs="Arial" w:eastAsia="Arial" w:hAnsi="Arial"/>
          <w:sz w:val="21"/>
          <w:szCs w:val="21"/>
          <w:color w:val="auto"/>
        </w:rPr>
        <w:t>Adjusted EBITDA increased 17.8% and adjusted EBITDA margin increased 120 basis points driven by improved gross margins.</w:t>
      </w:r>
    </w:p>
    <w:p>
      <w:pPr>
        <w:spacing w:after="0" w:line="24" w:lineRule="exact"/>
        <w:rPr>
          <w:rFonts w:ascii="Arial" w:cs="Arial" w:eastAsia="Arial" w:hAnsi="Arial"/>
          <w:sz w:val="21"/>
          <w:szCs w:val="21"/>
          <w:color w:val="auto"/>
        </w:rPr>
      </w:pPr>
    </w:p>
    <w:p>
      <w:pPr>
        <w:ind w:left="600" w:hanging="280"/>
        <w:spacing w:after="0"/>
        <w:tabs>
          <w:tab w:leader="none" w:pos="600" w:val="left"/>
        </w:tabs>
        <w:numPr>
          <w:ilvl w:val="0"/>
          <w:numId w:val="6"/>
        </w:numPr>
        <w:rPr>
          <w:rFonts w:ascii="Arial" w:cs="Arial" w:eastAsia="Arial" w:hAnsi="Arial"/>
          <w:sz w:val="21"/>
          <w:szCs w:val="21"/>
          <w:color w:val="auto"/>
        </w:rPr>
      </w:pPr>
      <w:r>
        <w:rPr>
          <w:rFonts w:ascii="Arial" w:cs="Arial" w:eastAsia="Arial" w:hAnsi="Arial"/>
          <w:sz w:val="21"/>
          <w:szCs w:val="21"/>
          <w:color w:val="auto"/>
        </w:rPr>
        <w:t>Adjusted diluted EPS increased to $1.25 due to higher adjusted EBITDA and a reduction to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sectPr>
      </w:pPr>
    </w:p>
    <w:bookmarkStart w:id="7" w:name="page8"/>
    <w:bookmarkEnd w:id="7"/>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5186045</wp:posOffset>
            </wp:positionH>
            <wp:positionV relativeFrom="page">
              <wp:posOffset>88900</wp:posOffset>
            </wp:positionV>
            <wp:extent cx="2156460" cy="36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156460" cy="36639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b w:val="1"/>
          <w:bCs w:val="1"/>
          <w:color w:val="auto"/>
        </w:rPr>
        <w:t>Fiscal 2026 Second Quarter Segment Level Data</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Global Pet Care (GPC)</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7"/>
                <w:szCs w:val="17"/>
                <w:b w:val="1"/>
                <w:bCs w:val="1"/>
                <w:color w:val="auto"/>
              </w:rPr>
              <w:t>Three Month Periods Ended</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5"/>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(in millions, except %)</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March 29, 2026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March 30, 2025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jc w:val="right"/>
              <w:ind w:right="753"/>
              <w:spacing w:after="0"/>
              <w:rPr>
                <w:sz w:val="20"/>
                <w:szCs w:val="20"/>
                <w:color w:val="auto"/>
              </w:rPr>
            </w:pPr>
            <w:r>
              <w:rPr>
                <w:rFonts w:ascii="Arial" w:cs="Arial" w:eastAsia="Arial" w:hAnsi="Arial"/>
                <w:sz w:val="17"/>
                <w:szCs w:val="17"/>
                <w:b w:val="1"/>
                <w:bCs w:val="1"/>
                <w:color w:val="auto"/>
              </w:rPr>
              <w:t>Variance</w:t>
            </w:r>
          </w:p>
        </w:tc>
      </w:tr>
      <w:tr>
        <w:trPr>
          <w:trHeight w:val="262"/>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9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299.3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269.2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11.2 %</w:t>
            </w:r>
          </w:p>
        </w:tc>
      </w:tr>
      <w:tr>
        <w:trPr>
          <w:trHeight w:val="223"/>
        </w:trPr>
        <w:tc>
          <w:tcPr>
            <w:tcW w:w="4220" w:type="dxa"/>
            <w:vAlign w:val="bottom"/>
            <w:gridSpan w:val="2"/>
          </w:tcPr>
          <w:p>
            <w:pPr>
              <w:ind w:left="20"/>
              <w:spacing w:after="0"/>
              <w:rPr>
                <w:sz w:val="20"/>
                <w:szCs w:val="20"/>
                <w:color w:val="auto"/>
              </w:rPr>
            </w:pPr>
            <w:r>
              <w:rPr>
                <w:rFonts w:ascii="Arial" w:cs="Arial" w:eastAsia="Arial" w:hAnsi="Arial"/>
                <w:sz w:val="17"/>
                <w:szCs w:val="17"/>
                <w:color w:val="auto"/>
              </w:rPr>
              <w:t>Adjusted EBITDA</w:t>
            </w:r>
          </w:p>
        </w:tc>
        <w:tc>
          <w:tcPr>
            <w:tcW w:w="300" w:type="dxa"/>
            <w:vAlign w:val="bottom"/>
          </w:tcPr>
          <w:p>
            <w:pPr>
              <w:spacing w:after="0"/>
              <w:rPr>
                <w:sz w:val="19"/>
                <w:szCs w:val="19"/>
                <w:color w:val="auto"/>
              </w:rPr>
            </w:pPr>
          </w:p>
        </w:tc>
        <w:tc>
          <w:tcPr>
            <w:tcW w:w="1920" w:type="dxa"/>
            <w:vAlign w:val="bottom"/>
          </w:tcPr>
          <w:p>
            <w:pPr>
              <w:jc w:val="right"/>
              <w:ind w:right="153"/>
              <w:spacing w:after="0"/>
              <w:rPr>
                <w:sz w:val="20"/>
                <w:szCs w:val="20"/>
                <w:color w:val="auto"/>
              </w:rPr>
            </w:pPr>
            <w:r>
              <w:rPr>
                <w:rFonts w:ascii="Arial" w:cs="Arial" w:eastAsia="Arial" w:hAnsi="Arial"/>
                <w:sz w:val="17"/>
                <w:szCs w:val="17"/>
                <w:color w:val="auto"/>
              </w:rPr>
              <w:t>56.8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jc w:val="right"/>
              <w:ind w:right="153"/>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6.8</w:t>
            </w:r>
          </w:p>
        </w:tc>
        <w:tc>
          <w:tcPr>
            <w:tcW w:w="1340" w:type="dxa"/>
            <w:vAlign w:val="bottom"/>
          </w:tcPr>
          <w:p>
            <w:pPr>
              <w:jc w:val="right"/>
              <w:spacing w:after="0"/>
              <w:rPr>
                <w:sz w:val="20"/>
                <w:szCs w:val="20"/>
                <w:color w:val="auto"/>
              </w:rPr>
            </w:pPr>
            <w:r>
              <w:rPr>
                <w:rFonts w:ascii="Arial" w:cs="Arial" w:eastAsia="Arial" w:hAnsi="Arial"/>
                <w:sz w:val="17"/>
                <w:szCs w:val="17"/>
                <w:color w:val="auto"/>
              </w:rPr>
              <w:t>13.6 %</w:t>
            </w:r>
          </w:p>
        </w:tc>
      </w:tr>
      <w:tr>
        <w:trPr>
          <w:trHeight w:val="262"/>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EBITDA margin</w:t>
            </w:r>
          </w:p>
        </w:tc>
        <w:tc>
          <w:tcPr>
            <w:tcW w:w="30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19.0 %</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18.6 %</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340" w:type="dxa"/>
            <w:vAlign w:val="bottom"/>
            <w:shd w:val="clear" w:color="auto" w:fill="CCEEFF"/>
          </w:tcPr>
          <w:p>
            <w:pPr>
              <w:jc w:val="right"/>
              <w:ind w:right="913"/>
              <w:spacing w:after="0"/>
              <w:rPr>
                <w:sz w:val="20"/>
                <w:szCs w:val="20"/>
                <w:color w:val="auto"/>
              </w:rPr>
            </w:pPr>
            <w:r>
              <w:rPr>
                <w:rFonts w:ascii="Arial" w:cs="Arial" w:eastAsia="Arial" w:hAnsi="Arial"/>
                <w:sz w:val="17"/>
                <w:szCs w:val="17"/>
                <w:color w:val="auto"/>
              </w:rPr>
              <w:t>bps</w:t>
            </w:r>
          </w:p>
        </w:tc>
      </w:tr>
    </w:tbl>
    <w:p>
      <w:pPr>
        <w:spacing w:after="0" w:line="170"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Net sales increased 11.2%. Excluding favorable foreign currency impacts, organic net sales increased 7.6%. Reported net sales in Companion Animal increased low double digits while sales in Aquatics increased mid single digits. North American net sales increased primarily driven by market share gains across Companion Animal brands and E-commerce channel strength. Organic net sales in EMEA increased across both categories due to continued brand strength and expanded distribution as well as a strategic acceleration of orders by certain retailers in advance of the SAP S4/HANA ERP implementation.</w:t>
      </w:r>
    </w:p>
    <w:p>
      <w:pPr>
        <w:spacing w:after="0" w:line="75" w:lineRule="exact"/>
        <w:rPr>
          <w:sz w:val="20"/>
          <w:szCs w:val="20"/>
          <w:color w:val="auto"/>
        </w:rPr>
      </w:pPr>
    </w:p>
    <w:p>
      <w:pPr>
        <w:spacing w:after="0"/>
        <w:rPr>
          <w:sz w:val="20"/>
          <w:szCs w:val="20"/>
          <w:color w:val="auto"/>
        </w:rPr>
      </w:pPr>
      <w:r>
        <w:rPr>
          <w:rFonts w:ascii="Arial" w:cs="Arial" w:eastAsia="Arial" w:hAnsi="Arial"/>
          <w:sz w:val="21"/>
          <w:szCs w:val="21"/>
          <w:color w:val="auto"/>
        </w:rPr>
        <w:t>Adjusted EBITDA of $56.8 million increased from $50.0 million in the prior year, and adjusted EBITDA margins were</w:t>
      </w:r>
    </w:p>
    <w:p>
      <w:pPr>
        <w:spacing w:after="0" w:line="34" w:lineRule="exact"/>
        <w:rPr>
          <w:sz w:val="20"/>
          <w:szCs w:val="20"/>
          <w:color w:val="auto"/>
        </w:rPr>
      </w:pPr>
    </w:p>
    <w:p>
      <w:pPr>
        <w:ind w:right="100"/>
        <w:spacing w:after="0" w:line="293" w:lineRule="auto"/>
        <w:rPr>
          <w:sz w:val="20"/>
          <w:szCs w:val="20"/>
          <w:color w:val="auto"/>
        </w:rPr>
      </w:pPr>
      <w:r>
        <w:rPr>
          <w:rFonts w:ascii="Arial" w:cs="Arial" w:eastAsia="Arial" w:hAnsi="Arial"/>
          <w:sz w:val="20"/>
          <w:szCs w:val="20"/>
          <w:color w:val="auto"/>
        </w:rPr>
        <w:t>19.0% compared to 18.6% in the prior year. The increase in adjusted EBITDA and margin is due to higher sales volume, pricing and cost improvement actions partially offset by higher tariff cost and additional trade and investment spend.</w:t>
      </w:r>
    </w:p>
    <w:p>
      <w:pPr>
        <w:spacing w:after="0" w:line="3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Home &amp; Garden (H&amp;G)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7"/>
                <w:szCs w:val="17"/>
                <w:b w:val="1"/>
                <w:bCs w:val="1"/>
                <w:color w:val="auto"/>
              </w:rPr>
              <w:t>Three Month Periods Ended</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5"/>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(in millions, except %)</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March 29, 2026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March 30, 2025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jc w:val="right"/>
              <w:ind w:right="753"/>
              <w:spacing w:after="0"/>
              <w:rPr>
                <w:sz w:val="20"/>
                <w:szCs w:val="20"/>
                <w:color w:val="auto"/>
              </w:rPr>
            </w:pPr>
            <w:r>
              <w:rPr>
                <w:rFonts w:ascii="Arial" w:cs="Arial" w:eastAsia="Arial" w:hAnsi="Arial"/>
                <w:sz w:val="17"/>
                <w:szCs w:val="17"/>
                <w:b w:val="1"/>
                <w:bCs w:val="1"/>
                <w:color w:val="auto"/>
              </w:rPr>
              <w:t>Variance</w:t>
            </w:r>
          </w:p>
        </w:tc>
      </w:tr>
      <w:tr>
        <w:trPr>
          <w:trHeight w:val="262"/>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9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169.5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152.3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11.3 %</w:t>
            </w:r>
          </w:p>
        </w:tc>
      </w:tr>
      <w:tr>
        <w:trPr>
          <w:trHeight w:val="262"/>
        </w:trPr>
        <w:tc>
          <w:tcPr>
            <w:tcW w:w="4220" w:type="dxa"/>
            <w:vAlign w:val="bottom"/>
            <w:gridSpan w:val="2"/>
          </w:tcPr>
          <w:p>
            <w:pPr>
              <w:ind w:left="20"/>
              <w:spacing w:after="0"/>
              <w:rPr>
                <w:sz w:val="20"/>
                <w:szCs w:val="20"/>
                <w:color w:val="auto"/>
              </w:rPr>
            </w:pPr>
            <w:r>
              <w:rPr>
                <w:rFonts w:ascii="Arial" w:cs="Arial" w:eastAsia="Arial" w:hAnsi="Arial"/>
                <w:sz w:val="17"/>
                <w:szCs w:val="17"/>
                <w:color w:val="auto"/>
              </w:rPr>
              <w:t>Adjusted EBITDA</w:t>
            </w:r>
          </w:p>
        </w:tc>
        <w:tc>
          <w:tcPr>
            <w:tcW w:w="300" w:type="dxa"/>
            <w:vAlign w:val="bottom"/>
          </w:tcPr>
          <w:p>
            <w:pPr>
              <w:spacing w:after="0"/>
              <w:rPr>
                <w:sz w:val="22"/>
                <w:szCs w:val="22"/>
                <w:color w:val="auto"/>
              </w:rPr>
            </w:pPr>
          </w:p>
        </w:tc>
        <w:tc>
          <w:tcPr>
            <w:tcW w:w="1920" w:type="dxa"/>
            <w:vAlign w:val="bottom"/>
          </w:tcPr>
          <w:p>
            <w:pPr>
              <w:jc w:val="right"/>
              <w:ind w:right="153"/>
              <w:spacing w:after="0"/>
              <w:rPr>
                <w:sz w:val="20"/>
                <w:szCs w:val="20"/>
                <w:color w:val="auto"/>
              </w:rPr>
            </w:pPr>
            <w:r>
              <w:rPr>
                <w:rFonts w:ascii="Arial" w:cs="Arial" w:eastAsia="Arial" w:hAnsi="Arial"/>
                <w:sz w:val="17"/>
                <w:szCs w:val="17"/>
                <w:color w:val="auto"/>
              </w:rPr>
              <w:t>34.8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20" w:type="dxa"/>
            <w:vAlign w:val="bottom"/>
          </w:tcPr>
          <w:p>
            <w:pPr>
              <w:jc w:val="right"/>
              <w:ind w:right="153"/>
              <w:spacing w:after="0"/>
              <w:rPr>
                <w:sz w:val="20"/>
                <w:szCs w:val="20"/>
                <w:color w:val="auto"/>
              </w:rPr>
            </w:pPr>
            <w:r>
              <w:rPr>
                <w:rFonts w:ascii="Arial" w:cs="Arial" w:eastAsia="Arial" w:hAnsi="Arial"/>
                <w:sz w:val="17"/>
                <w:szCs w:val="17"/>
                <w:color w:val="auto"/>
              </w:rPr>
              <w:t>26.7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8.1</w:t>
            </w:r>
          </w:p>
        </w:tc>
        <w:tc>
          <w:tcPr>
            <w:tcW w:w="1340" w:type="dxa"/>
            <w:vAlign w:val="bottom"/>
          </w:tcPr>
          <w:p>
            <w:pPr>
              <w:jc w:val="right"/>
              <w:spacing w:after="0"/>
              <w:rPr>
                <w:sz w:val="20"/>
                <w:szCs w:val="20"/>
                <w:color w:val="auto"/>
              </w:rPr>
            </w:pPr>
            <w:r>
              <w:rPr>
                <w:rFonts w:ascii="Arial" w:cs="Arial" w:eastAsia="Arial" w:hAnsi="Arial"/>
                <w:sz w:val="17"/>
                <w:szCs w:val="17"/>
                <w:color w:val="auto"/>
              </w:rPr>
              <w:t>30.3 %</w:t>
            </w:r>
          </w:p>
        </w:tc>
      </w:tr>
      <w:tr>
        <w:trPr>
          <w:trHeight w:val="262"/>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EBITDA margin</w:t>
            </w:r>
          </w:p>
        </w:tc>
        <w:tc>
          <w:tcPr>
            <w:tcW w:w="30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20.5 %</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17.5 %</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340" w:type="dxa"/>
            <w:vAlign w:val="bottom"/>
            <w:shd w:val="clear" w:color="auto" w:fill="CCEEFF"/>
          </w:tcPr>
          <w:p>
            <w:pPr>
              <w:jc w:val="right"/>
              <w:ind w:right="913"/>
              <w:spacing w:after="0"/>
              <w:rPr>
                <w:sz w:val="20"/>
                <w:szCs w:val="20"/>
                <w:color w:val="auto"/>
              </w:rPr>
            </w:pPr>
            <w:r>
              <w:rPr>
                <w:rFonts w:ascii="Arial" w:cs="Arial" w:eastAsia="Arial" w:hAnsi="Arial"/>
                <w:sz w:val="17"/>
                <w:szCs w:val="17"/>
                <w:color w:val="auto"/>
              </w:rPr>
              <w:t>bps</w:t>
            </w:r>
          </w:p>
        </w:tc>
      </w:tr>
    </w:tbl>
    <w:p>
      <w:pPr>
        <w:spacing w:after="0" w:line="184" w:lineRule="exact"/>
        <w:rPr>
          <w:sz w:val="20"/>
          <w:szCs w:val="20"/>
          <w:color w:val="auto"/>
        </w:rPr>
      </w:pPr>
    </w:p>
    <w:p>
      <w:pPr>
        <w:ind w:right="800"/>
        <w:spacing w:after="0" w:line="281" w:lineRule="auto"/>
        <w:rPr>
          <w:sz w:val="20"/>
          <w:szCs w:val="20"/>
          <w:color w:val="auto"/>
        </w:rPr>
      </w:pPr>
      <w:r>
        <w:rPr>
          <w:rFonts w:ascii="Arial" w:cs="Arial" w:eastAsia="Arial" w:hAnsi="Arial"/>
          <w:sz w:val="21"/>
          <w:szCs w:val="21"/>
          <w:color w:val="auto"/>
        </w:rPr>
        <w:t>Net sales increased 11.3% and organic net sales increased 11.2% due to favorable weather conditions positively impacting POS and retailer order patterns, with above-market growth across key brands.</w:t>
      </w:r>
    </w:p>
    <w:p>
      <w:pPr>
        <w:spacing w:after="0" w:line="38" w:lineRule="exact"/>
        <w:rPr>
          <w:sz w:val="20"/>
          <w:szCs w:val="20"/>
          <w:color w:val="auto"/>
        </w:rPr>
      </w:pPr>
    </w:p>
    <w:p>
      <w:pPr>
        <w:jc w:val="both"/>
        <w:ind w:right="160"/>
        <w:spacing w:after="0" w:line="271" w:lineRule="auto"/>
        <w:rPr>
          <w:sz w:val="20"/>
          <w:szCs w:val="20"/>
          <w:color w:val="auto"/>
        </w:rPr>
      </w:pPr>
      <w:r>
        <w:rPr>
          <w:rFonts w:ascii="Arial" w:cs="Arial" w:eastAsia="Arial" w:hAnsi="Arial"/>
          <w:sz w:val="21"/>
          <w:szCs w:val="21"/>
          <w:color w:val="auto"/>
        </w:rPr>
        <w:t>Adjusted EBITDA of $34.8 million increased from $26.7 million in the prior year and adjusted EBITDA margins of 20.5% increased from 17.5% in the prior year primarily due to higher sales volume, productivity improvements and operational efficiencies partially offset by higher trade spend and unfavorable mix.</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8" w:name="page9"/>
    <w:bookmarkEnd w:id="8"/>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5186045</wp:posOffset>
            </wp:positionH>
            <wp:positionV relativeFrom="page">
              <wp:posOffset>88900</wp:posOffset>
            </wp:positionV>
            <wp:extent cx="2156460" cy="36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156460" cy="36639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b w:val="1"/>
          <w:bCs w:val="1"/>
          <w:color w:val="auto"/>
        </w:rPr>
        <w:t>Home &amp; Personal Care (HPC)</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40" w:type="dxa"/>
            <w:vAlign w:val="bottom"/>
            <w:gridSpan w:val="5"/>
          </w:tcPr>
          <w:p>
            <w:pPr>
              <w:ind w:left="800"/>
              <w:spacing w:after="0"/>
              <w:rPr>
                <w:sz w:val="20"/>
                <w:szCs w:val="20"/>
                <w:color w:val="auto"/>
              </w:rPr>
            </w:pPr>
            <w:r>
              <w:rPr>
                <w:rFonts w:ascii="Arial" w:cs="Arial" w:eastAsia="Arial" w:hAnsi="Arial"/>
                <w:sz w:val="17"/>
                <w:szCs w:val="17"/>
                <w:b w:val="1"/>
                <w:bCs w:val="1"/>
                <w:color w:val="auto"/>
              </w:rPr>
              <w:t>Three Month Periods Ended</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9"/>
        </w:trPr>
        <w:tc>
          <w:tcPr>
            <w:tcW w:w="4220" w:type="dxa"/>
            <w:vAlign w:val="bottom"/>
            <w:gridSpan w:val="2"/>
          </w:tcPr>
          <w:p>
            <w:pPr>
              <w:ind w:left="20"/>
              <w:spacing w:after="0"/>
              <w:rPr>
                <w:sz w:val="20"/>
                <w:szCs w:val="20"/>
                <w:color w:val="auto"/>
              </w:rPr>
            </w:pPr>
            <w:r>
              <w:rPr>
                <w:rFonts w:ascii="Arial" w:cs="Arial" w:eastAsia="Arial" w:hAnsi="Arial"/>
                <w:sz w:val="17"/>
                <w:szCs w:val="17"/>
                <w:b w:val="1"/>
                <w:bCs w:val="1"/>
                <w:color w:val="auto"/>
              </w:rPr>
              <w:t>(in millions, except %)</w:t>
            </w:r>
          </w:p>
        </w:tc>
        <w:tc>
          <w:tcPr>
            <w:tcW w:w="30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March 29, 2026</w:t>
            </w:r>
          </w:p>
        </w:tc>
        <w:tc>
          <w:tcPr>
            <w:tcW w:w="30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March 30, 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20" w:type="dxa"/>
            <w:vAlign w:val="bottom"/>
            <w:gridSpan w:val="2"/>
          </w:tcPr>
          <w:p>
            <w:pPr>
              <w:jc w:val="right"/>
              <w:ind w:right="753"/>
              <w:spacing w:after="0"/>
              <w:rPr>
                <w:sz w:val="20"/>
                <w:szCs w:val="20"/>
                <w:color w:val="auto"/>
              </w:rPr>
            </w:pPr>
            <w:r>
              <w:rPr>
                <w:rFonts w:ascii="Arial" w:cs="Arial" w:eastAsia="Arial" w:hAnsi="Arial"/>
                <w:sz w:val="17"/>
                <w:szCs w:val="17"/>
                <w:b w:val="1"/>
                <w:bCs w:val="1"/>
                <w:color w:val="auto"/>
              </w:rPr>
              <w:t>Variance</w:t>
            </w:r>
          </w:p>
        </w:tc>
      </w:tr>
      <w:tr>
        <w:trPr>
          <w:trHeight w:val="223"/>
        </w:trPr>
        <w:tc>
          <w:tcPr>
            <w:tcW w:w="4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92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240.1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92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254.2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r>
      <w:tr>
        <w:trPr>
          <w:trHeight w:val="223"/>
        </w:trPr>
        <w:tc>
          <w:tcPr>
            <w:tcW w:w="4220" w:type="dxa"/>
            <w:vAlign w:val="bottom"/>
            <w:gridSpan w:val="2"/>
          </w:tcPr>
          <w:p>
            <w:pPr>
              <w:ind w:left="20"/>
              <w:spacing w:after="0"/>
              <w:rPr>
                <w:sz w:val="20"/>
                <w:szCs w:val="20"/>
                <w:color w:val="auto"/>
              </w:rPr>
            </w:pPr>
            <w:r>
              <w:rPr>
                <w:rFonts w:ascii="Arial" w:cs="Arial" w:eastAsia="Arial" w:hAnsi="Arial"/>
                <w:sz w:val="17"/>
                <w:szCs w:val="17"/>
                <w:color w:val="auto"/>
              </w:rPr>
              <w:t>Adjusted EBITDA</w:t>
            </w:r>
          </w:p>
        </w:tc>
        <w:tc>
          <w:tcPr>
            <w:tcW w:w="300" w:type="dxa"/>
            <w:vAlign w:val="bottom"/>
          </w:tcPr>
          <w:p>
            <w:pPr>
              <w:spacing w:after="0"/>
              <w:rPr>
                <w:sz w:val="19"/>
                <w:szCs w:val="19"/>
                <w:color w:val="auto"/>
              </w:rPr>
            </w:pPr>
          </w:p>
        </w:tc>
        <w:tc>
          <w:tcPr>
            <w:tcW w:w="1920" w:type="dxa"/>
            <w:vAlign w:val="bottom"/>
          </w:tcPr>
          <w:p>
            <w:pPr>
              <w:jc w:val="right"/>
              <w:ind w:right="153"/>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jc w:val="right"/>
              <w:ind w:right="153"/>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0.8</w:t>
            </w:r>
          </w:p>
        </w:tc>
        <w:tc>
          <w:tcPr>
            <w:tcW w:w="1320" w:type="dxa"/>
            <w:vAlign w:val="bottom"/>
          </w:tcPr>
          <w:p>
            <w:pPr>
              <w:jc w:val="right"/>
              <w:spacing w:after="0"/>
              <w:rPr>
                <w:sz w:val="20"/>
                <w:szCs w:val="20"/>
                <w:color w:val="auto"/>
              </w:rPr>
            </w:pPr>
            <w:r>
              <w:rPr>
                <w:rFonts w:ascii="Arial" w:cs="Arial" w:eastAsia="Arial" w:hAnsi="Arial"/>
                <w:sz w:val="17"/>
                <w:szCs w:val="17"/>
                <w:color w:val="auto"/>
              </w:rPr>
              <w:t>11.0 %</w:t>
            </w:r>
          </w:p>
        </w:tc>
      </w:tr>
      <w:tr>
        <w:trPr>
          <w:trHeight w:val="223"/>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EBITDA margin</w:t>
            </w: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320" w:type="dxa"/>
            <w:vAlign w:val="bottom"/>
            <w:shd w:val="clear" w:color="auto" w:fill="CCEEFF"/>
          </w:tcPr>
          <w:p>
            <w:pPr>
              <w:jc w:val="right"/>
              <w:ind w:right="913"/>
              <w:spacing w:after="0"/>
              <w:rPr>
                <w:sz w:val="20"/>
                <w:szCs w:val="20"/>
                <w:color w:val="auto"/>
              </w:rPr>
            </w:pPr>
            <w:r>
              <w:rPr>
                <w:rFonts w:ascii="Arial" w:cs="Arial" w:eastAsia="Arial" w:hAnsi="Arial"/>
                <w:sz w:val="17"/>
                <w:szCs w:val="17"/>
                <w:color w:val="auto"/>
              </w:rPr>
              <w:t>bps</w:t>
            </w:r>
          </w:p>
        </w:tc>
      </w:tr>
    </w:tbl>
    <w:p>
      <w:pPr>
        <w:spacing w:after="0" w:line="184" w:lineRule="exact"/>
        <w:rPr>
          <w:sz w:val="20"/>
          <w:szCs w:val="20"/>
          <w:color w:val="auto"/>
        </w:rPr>
      </w:pPr>
    </w:p>
    <w:p>
      <w:pPr>
        <w:ind w:right="120"/>
        <w:spacing w:after="0" w:line="270" w:lineRule="auto"/>
        <w:rPr>
          <w:sz w:val="20"/>
          <w:szCs w:val="20"/>
          <w:color w:val="auto"/>
        </w:rPr>
      </w:pPr>
      <w:r>
        <w:rPr>
          <w:rFonts w:ascii="Arial" w:cs="Arial" w:eastAsia="Arial" w:hAnsi="Arial"/>
          <w:sz w:val="20"/>
          <w:szCs w:val="20"/>
          <w:color w:val="auto"/>
        </w:rPr>
        <w:t>Net sales decreased 5.5%. Excluding favorable foreign currency impacts, organic net sales decreased 10.7%. Reported net sales in Personal Care were down low single digits and net sales in Home Appliances were down high single digits. Excluding the favorable impact of foreign currency, organic net sales in EMEA declined across both Home Appliances and Personal Care, impacted by elevated levels of inventory at a key retailer following soft consumer demand amid increased competition. LATAM organic net sales increased mid single digits due to sustained growth in Personal Care. North American net sales percent declined in the mid teens, primarily driven by lower volumes in light of increased product cost from higher tariffs and customer inventory management actions to address pockets of excess inventory.</w:t>
      </w:r>
    </w:p>
    <w:p>
      <w:pPr>
        <w:spacing w:after="0" w:line="51" w:lineRule="exact"/>
        <w:rPr>
          <w:sz w:val="20"/>
          <w:szCs w:val="20"/>
          <w:color w:val="auto"/>
        </w:rPr>
      </w:pPr>
    </w:p>
    <w:p>
      <w:pPr>
        <w:ind w:right="60"/>
        <w:spacing w:after="0" w:line="271" w:lineRule="auto"/>
        <w:rPr>
          <w:sz w:val="20"/>
          <w:szCs w:val="20"/>
          <w:color w:val="auto"/>
        </w:rPr>
      </w:pPr>
      <w:r>
        <w:rPr>
          <w:rFonts w:ascii="Arial" w:cs="Arial" w:eastAsia="Arial" w:hAnsi="Arial"/>
          <w:sz w:val="21"/>
          <w:szCs w:val="21"/>
          <w:color w:val="auto"/>
        </w:rPr>
        <w:t>Adjusted EBITDA was $8.1 million compared to $7.3 million in the prior year, and adjusted EBITDA margins increased to 3.4% compared to 2.9% last year, driven by pricing, reduced investment spend, cost improvement initiatives and favorable foreign exchange partially offset by lower volumes and higher tariff costs.</w:t>
      </w:r>
    </w:p>
    <w:p>
      <w:pPr>
        <w:spacing w:after="0" w:line="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Debt</w:t>
      </w:r>
    </w:p>
    <w:p>
      <w:pPr>
        <w:spacing w:after="0" w:line="115" w:lineRule="exact"/>
        <w:rPr>
          <w:sz w:val="20"/>
          <w:szCs w:val="20"/>
          <w:color w:val="auto"/>
        </w:rPr>
      </w:pPr>
    </w:p>
    <w:p>
      <w:pPr>
        <w:ind w:right="240"/>
        <w:spacing w:after="0" w:line="259" w:lineRule="auto"/>
        <w:rPr>
          <w:sz w:val="20"/>
          <w:szCs w:val="20"/>
          <w:color w:val="auto"/>
        </w:rPr>
      </w:pPr>
      <w:r>
        <w:rPr>
          <w:rFonts w:ascii="Arial" w:cs="Arial" w:eastAsia="Arial" w:hAnsi="Arial"/>
          <w:sz w:val="21"/>
          <w:szCs w:val="21"/>
          <w:color w:val="auto"/>
        </w:rPr>
        <w:t>As of the end of the quarter, the Company had a cash balance of $125.1 million and total liquidity of $595.9 million, including undrawn capacity on its cash flow revolver of $470.8 million. The Company also had $599.7 million of debt outstanding, with $24.0 million of outstanding borrowings on the revolver, senior unsecured notes of $496.1 million and finance leases of $79.6 million. The Company ended the quarter with net debt of $474.6 million.</w:t>
      </w:r>
    </w:p>
    <w:p>
      <w:pPr>
        <w:spacing w:after="0" w:line="6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Fiscal 2026 Earnings Framework</w:t>
      </w:r>
    </w:p>
    <w:p>
      <w:pPr>
        <w:spacing w:after="0" w:line="107" w:lineRule="exact"/>
        <w:rPr>
          <w:sz w:val="20"/>
          <w:szCs w:val="20"/>
          <w:color w:val="auto"/>
        </w:rPr>
      </w:pPr>
    </w:p>
    <w:p>
      <w:pPr>
        <w:ind w:right="260"/>
        <w:spacing w:after="0" w:line="271" w:lineRule="auto"/>
        <w:rPr>
          <w:sz w:val="20"/>
          <w:szCs w:val="20"/>
          <w:color w:val="auto"/>
        </w:rPr>
      </w:pPr>
      <w:r>
        <w:rPr>
          <w:rFonts w:ascii="Arial" w:cs="Arial" w:eastAsia="Arial" w:hAnsi="Arial"/>
          <w:sz w:val="21"/>
          <w:szCs w:val="21"/>
          <w:color w:val="auto"/>
        </w:rPr>
        <w:t>The Company expects to deliver flat to low single digit growth in reported net sales in fiscal 2026. Fiscal 2026 adjusted EBITDA is expected to increase by low single digits. Adjusted free cash flow is expected to be approximately 50% of adjusted EBITDA.</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The Company continues to target a long-term net leverage ratio of 2.0 - 2.5 times.</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Conference Call/Webcast Scheduled for 9:00 A.M. Eastern Time Today</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21"/>
          <w:szCs w:val="21"/>
          <w:color w:val="auto"/>
        </w:rPr>
        <w:t xml:space="preserve">Spectrum Brands will host an earnings conference call and webcast at 9:00 a.m. Eastern Time today, May 7, 2026. The live webcast and related presentation slides will be available by visiting the Event Calendar page in the Investor Relations section of Spectrum Brands' website at www.spectrumbrands.com. Participants may register </w:t>
      </w:r>
      <w:r>
        <w:rPr>
          <w:rFonts w:ascii="Arial" w:cs="Arial" w:eastAsia="Arial" w:hAnsi="Arial"/>
          <w:sz w:val="21"/>
          <w:szCs w:val="21"/>
          <w:b w:val="1"/>
          <w:bCs w:val="1"/>
          <w:color w:val="auto"/>
        </w:rPr>
        <w:t>here</w:t>
      </w:r>
      <w:r>
        <w:rPr>
          <w:rFonts w:ascii="Arial" w:cs="Arial" w:eastAsia="Arial" w:hAnsi="Arial"/>
          <w:sz w:val="21"/>
          <w:szCs w:val="21"/>
          <w:color w:val="auto"/>
        </w:rPr>
        <w:t>. Instructions will be provided to ensure the necessary audio applications are downloaded and installed. Users can obtain these at no charge.</w:t>
      </w:r>
    </w:p>
    <w:p>
      <w:pPr>
        <w:spacing w:after="0" w:line="61" w:lineRule="exact"/>
        <w:rPr>
          <w:sz w:val="20"/>
          <w:szCs w:val="20"/>
          <w:color w:val="auto"/>
        </w:rPr>
      </w:pPr>
    </w:p>
    <w:p>
      <w:pPr>
        <w:ind w:right="80"/>
        <w:spacing w:after="0" w:line="294" w:lineRule="auto"/>
        <w:rPr>
          <w:sz w:val="20"/>
          <w:szCs w:val="20"/>
          <w:color w:val="auto"/>
        </w:rPr>
      </w:pPr>
      <w:r>
        <w:rPr>
          <w:rFonts w:ascii="Arial" w:cs="Arial" w:eastAsia="Arial" w:hAnsi="Arial"/>
          <w:sz w:val="21"/>
          <w:szCs w:val="21"/>
          <w:color w:val="auto"/>
        </w:rPr>
        <w:t>A replay of the live broadcast will be accessible through the Event Calendar page in the Investor Relations section of the Company’s website.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9" w:name="page10"/>
    <w:bookmarkEnd w:id="9"/>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5186045</wp:posOffset>
            </wp:positionH>
            <wp:positionV relativeFrom="page">
              <wp:posOffset>88900</wp:posOffset>
            </wp:positionV>
            <wp:extent cx="2156460" cy="36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156460" cy="36639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b w:val="1"/>
          <w:bCs w:val="1"/>
          <w:i w:val="1"/>
          <w:iCs w:val="1"/>
          <w:color w:val="auto"/>
        </w:rPr>
        <w:t>About Spectrum Brands Holdings, Inc.</w:t>
      </w:r>
    </w:p>
    <w:p>
      <w:pPr>
        <w:spacing w:after="0" w:line="113" w:lineRule="exact"/>
        <w:rPr>
          <w:sz w:val="20"/>
          <w:szCs w:val="20"/>
          <w:color w:val="auto"/>
        </w:rPr>
      </w:pPr>
    </w:p>
    <w:p>
      <w:pPr>
        <w:ind w:right="120"/>
        <w:spacing w:after="0" w:line="254" w:lineRule="auto"/>
        <w:rPr>
          <w:sz w:val="20"/>
          <w:szCs w:val="20"/>
          <w:color w:val="auto"/>
        </w:rPr>
      </w:pPr>
      <w:r>
        <w:rPr>
          <w:rFonts w:ascii="Arial" w:cs="Arial" w:eastAsia="Arial" w:hAnsi="Arial"/>
          <w:sz w:val="21"/>
          <w:szCs w:val="21"/>
          <w:i w:val="1"/>
          <w:iCs w:val="1"/>
          <w:color w:val="auto"/>
        </w:rPr>
        <w:t xml:space="preserve">Spectrum Brands is a home-essentials company with a mission to make living better at home. We focus on delivering innovative products and solutions to consumers for use in and around the home through our trusted brands. We are a leading supplier of specialty pet supplies, lawn and garden and home pest control products, personal insect repellents, shaving and grooming products, personal care products, and small household appliances. Helping to meet the needs of consumers worldwide, we offer a broad portfolio of market-leading, well-known and widely trusted brands including Tetra®, DreamBone®, SmartBones®, Nature’s Miracle®, 8-in-1®, FURminator®, Healthy-Hide®, Good Boy®, Meowee! ®, OmegaOne®, Spectracide®, Cutter®, Repel®, Hot Shot®, Rejuvenate®, Black Flag®, Liquid Fence®, Remington®, George Foreman®, Russell Hobbs®, Black + Decker®, PowerXL®, Emeril Lagasse®, and Copper Chef®. For more information, please visit www.spectrumbrands.com. </w:t>
      </w:r>
      <w:r>
        <w:rPr>
          <w:rFonts w:ascii="Arial" w:cs="Arial" w:eastAsia="Arial" w:hAnsi="Arial"/>
          <w:sz w:val="20"/>
          <w:szCs w:val="20"/>
          <w:i w:val="1"/>
          <w:iCs w:val="1"/>
          <w:color w:val="auto"/>
        </w:rPr>
        <w:t>Spectrum Brands – A Home Essentials Company™</w:t>
      </w:r>
    </w:p>
    <w:p>
      <w:pPr>
        <w:spacing w:after="0" w:line="7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Non-GAAP Measurements</w:t>
      </w:r>
    </w:p>
    <w:p>
      <w:pPr>
        <w:spacing w:after="0" w:line="113" w:lineRule="exact"/>
        <w:rPr>
          <w:sz w:val="20"/>
          <w:szCs w:val="20"/>
          <w:color w:val="auto"/>
        </w:rPr>
      </w:pPr>
    </w:p>
    <w:p>
      <w:pPr>
        <w:ind w:right="80"/>
        <w:spacing w:after="0" w:line="258" w:lineRule="auto"/>
        <w:rPr>
          <w:sz w:val="20"/>
          <w:szCs w:val="20"/>
          <w:color w:val="auto"/>
        </w:rPr>
      </w:pPr>
      <w:r>
        <w:rPr>
          <w:rFonts w:ascii="Arial" w:cs="Arial" w:eastAsia="Arial" w:hAnsi="Arial"/>
          <w:sz w:val="21"/>
          <w:szCs w:val="21"/>
          <w:i w:val="1"/>
          <w:iCs w:val="1"/>
          <w:color w:val="auto"/>
        </w:rPr>
        <w:t>Our consolidated results contain non-GAAP metrics such as organic net sales, adjusted EBITDA, adjusted EBITDA margin, adjusted EPS and adjusted Free Cash Flow. While we believe organic net sales and adjusted EBITDA, adjusted EBITDA margin, adjusted EPS and adjusted Free Cash Flow are useful supplemental information, such adjusted results are not intended to replace our financial results in accordance with Accounting Principles Generally Accepted in the United States (“GAAP”) and should be read in conjunction with those GAAP results.</w:t>
      </w:r>
    </w:p>
    <w:p>
      <w:pPr>
        <w:spacing w:after="0" w:line="66" w:lineRule="exact"/>
        <w:rPr>
          <w:sz w:val="20"/>
          <w:szCs w:val="20"/>
          <w:color w:val="auto"/>
        </w:rPr>
      </w:pPr>
    </w:p>
    <w:p>
      <w:pPr>
        <w:ind w:right="40"/>
        <w:spacing w:after="0" w:line="254" w:lineRule="auto"/>
        <w:rPr>
          <w:sz w:val="20"/>
          <w:szCs w:val="20"/>
          <w:color w:val="auto"/>
        </w:rPr>
      </w:pPr>
      <w:r>
        <w:rPr>
          <w:rFonts w:ascii="Arial" w:cs="Arial" w:eastAsia="Arial" w:hAnsi="Arial"/>
          <w:sz w:val="21"/>
          <w:szCs w:val="21"/>
          <w:i w:val="1"/>
          <w:iCs w:val="1"/>
          <w:color w:val="auto"/>
        </w:rPr>
        <w:t>Organic Net Sales - We define organic net sales as net sales excluding the effect of changes in foreign currency exchange rates and impact from acquisitions (where applicable). We believe this non-GAAP measure provides useful information to investors because it reflects regional and operating segment performance from our activities without the effect of changes in currency exchange rates and acquisitions. We use organic net sales as one measure to monitor and evaluate our regional and segment performance. Organic growth is calculated by comparing organic net sales to net sales in the prior year. The effect of changes in currency exchange rates is determined by translating the current period net sales using the currency exchange rates that were in effect during the prior comparative period. Net sales are attributed to the geographic regions based on the country of destination. We exclude net sales from acquired businesses in the current year for which there are no comparable sales in the prior period.</w:t>
      </w:r>
    </w:p>
    <w:p>
      <w:pPr>
        <w:spacing w:after="0" w:line="73" w:lineRule="exact"/>
        <w:rPr>
          <w:sz w:val="20"/>
          <w:szCs w:val="20"/>
          <w:color w:val="auto"/>
        </w:rPr>
      </w:pPr>
    </w:p>
    <w:p>
      <w:pPr>
        <w:spacing w:after="0" w:line="252" w:lineRule="auto"/>
        <w:rPr>
          <w:sz w:val="20"/>
          <w:szCs w:val="20"/>
          <w:color w:val="auto"/>
        </w:rPr>
      </w:pPr>
      <w:r>
        <w:rPr>
          <w:rFonts w:ascii="Arial" w:cs="Arial" w:eastAsia="Arial" w:hAnsi="Arial"/>
          <w:sz w:val="21"/>
          <w:szCs w:val="21"/>
          <w:i w:val="1"/>
          <w:iCs w:val="1"/>
          <w:color w:val="auto"/>
        </w:rPr>
        <w:t>Adjusted EBITDA and Adjusted EBITDA Margin - Adjusted EBITDA and adjusted EBITDA margin are non-GAAP metrics used by management, which we believe are useful to investors to measure the operational strength and performance of our business. These metrics provide investors additional information about our operating profitability for certain non-cash items, non-routine items we do not expect to continue at the same level in the future, as well as other items not core to our continuing operations. By providing these measures, together with a reconciliation of the most directly comparable GAAP measure, we believe we are enhancing investors' understanding of our business and our results of operations, as well as assisting investors in evaluating how well we are executing our strategic initiatives, as securities analysts and other interested parties use such calculations as a measure of financial performance and debt service capabilities, and they are regularly used by management and our Board of Directors for internal purposes in evaluating our business performance, making budgeting decisions, and comparing our performance against other peer companies using similar measures. They facilitate comparisons between peer companies since interest, taxes, depreciation, and amortization can differ greatly between organizations as a result of differing capital structures and tax strategies. Adjusted EBITDA is also used for determining compliance with the Company’s debt covenants. EBITDA is calculated by excluding the Company’s income tax expense, interest expense, depreciation expense and amortization expense (from</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20"/>
          </w:cols>
          <w:pgMar w:left="320" w:top="1440" w:right="359" w:bottom="1440" w:gutter="0" w:footer="0" w:header="0"/>
        </w:sectPr>
      </w:pPr>
    </w:p>
    <w:bookmarkStart w:id="10" w:name="page11"/>
    <w:bookmarkEnd w:id="10"/>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5186045</wp:posOffset>
            </wp:positionH>
            <wp:positionV relativeFrom="page">
              <wp:posOffset>88900</wp:posOffset>
            </wp:positionV>
            <wp:extent cx="2156460" cy="36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156460" cy="366395"/>
                    </a:xfrm>
                    <a:prstGeom prst="rect">
                      <a:avLst/>
                    </a:prstGeom>
                    <a:noFill/>
                  </pic:spPr>
                </pic:pic>
              </a:graphicData>
            </a:graphic>
          </wp:anchor>
        </w:drawing>
      </w:r>
    </w:p>
    <w:p>
      <w:pPr>
        <w:spacing w:after="0" w:line="253" w:lineRule="auto"/>
        <w:rPr>
          <w:sz w:val="20"/>
          <w:szCs w:val="20"/>
          <w:color w:val="auto"/>
        </w:rPr>
      </w:pPr>
      <w:r>
        <w:rPr>
          <w:rFonts w:ascii="Arial" w:cs="Arial" w:eastAsia="Arial" w:hAnsi="Arial"/>
          <w:sz w:val="21"/>
          <w:szCs w:val="21"/>
          <w:i w:val="1"/>
          <w:iCs w:val="1"/>
          <w:color w:val="auto"/>
        </w:rPr>
        <w:t>intangible assets) from net income from continuing operations. Adjusted EBITDA also excludes certain non-cash adjustments including share based compensation; impairment charges on property, plant and equipment, right of use lease assets, and goodwill and other intangible assets; gain or loss from the early extinguishment of debt; and purchase accounting adjustments recognized in income subsequent to an acquisition attributable to the step-up in value on assets acquired. Additionally, the Company will further recognize adjustments from adjusted EBITDA for other costs, gains and losses that are considered significant, non-recurring, or otherwise not supporting the continuing operations and revenue generating activity of the segment or Company, including but not limited to, exit and disposal activities, or incremental costs associated with strategic transactions, restructuring and optimization initiatives such as the acquisition or divestiture of a business, related integration or separation costs, or the development and implementation of strategies to optimize or restructure the Company and its operations. Adjusted EBITDA margin is adjusted EBITDA as a percentage of reported net sales.</w:t>
      </w:r>
    </w:p>
    <w:p>
      <w:pPr>
        <w:spacing w:after="0" w:line="72" w:lineRule="exact"/>
        <w:rPr>
          <w:sz w:val="20"/>
          <w:szCs w:val="20"/>
          <w:color w:val="auto"/>
        </w:rPr>
      </w:pPr>
    </w:p>
    <w:p>
      <w:pPr>
        <w:spacing w:after="0" w:line="252" w:lineRule="auto"/>
        <w:rPr>
          <w:sz w:val="20"/>
          <w:szCs w:val="20"/>
          <w:color w:val="auto"/>
        </w:rPr>
      </w:pPr>
      <w:r>
        <w:rPr>
          <w:rFonts w:ascii="Arial" w:cs="Arial" w:eastAsia="Arial" w:hAnsi="Arial"/>
          <w:sz w:val="21"/>
          <w:szCs w:val="21"/>
          <w:i w:val="1"/>
          <w:iCs w:val="1"/>
          <w:color w:val="auto"/>
        </w:rPr>
        <w:t>Adjusted EPS - Management uses adjusted EPS as one means of analyzing the Company’s current and future financial performance and identifying trends in its financial condition and results of operations. Management believes that adjusted EPS is a useful measure for providing further insight into our operating performance because it eliminates the effects of certain items that are not comparable from one period to the next. By providing these measures, together with a reconciliation of the most directly comparable GAAP measure, we believe we are enhancing investors' understanding of our business and our results of operations, as well as assisting investors in evaluating how well we are executing our strategic initiatives, as securities analysts and other interested parties use such calculations as a measure of financial performance, and they are regularly used by management and our Board of Directors for internal purposes in evaluating our business performance, making budgeting decisions, and comparing our performance against other peer companies using similar measures. Adjusted EPS is calculated by excluding the effect of certain adjustments from diluted EPS, including non-cash adjustments including impairment charges on property, plant and equipment, operating and finance lease assets, and goodwill and other intangible assets; gain or loss from the early extinguishment of debt; and purchase accounting adjustments recognized in income subsequent to an acquisition attributable to the step-up in value on assets acquired. Additionally, the Company will further recognize adjustments from diluted EPS for other costs, gains and losses that are considered significant, non-recurring, or otherwise not supporting the continuing operations and revenue generating activity of the segment or Company, including but not limited to, exit and disposal activities, or incremental costs associated with strategic transactions, restructuring and optimization initiatives such as the acquisition or divestiture of a business, related integration or separation costs, or the development and implementation of strategies to optimize or restructure the Company and its operations. Adjusted EPS is further impacted by the effect on the income tax provision from adjustments made to reported diluted EPS.</w:t>
      </w:r>
    </w:p>
    <w:p>
      <w:pPr>
        <w:spacing w:after="0" w:line="69" w:lineRule="exact"/>
        <w:rPr>
          <w:sz w:val="20"/>
          <w:szCs w:val="20"/>
          <w:color w:val="auto"/>
        </w:rPr>
      </w:pPr>
    </w:p>
    <w:p>
      <w:pPr>
        <w:ind w:right="60"/>
        <w:spacing w:after="0" w:line="254" w:lineRule="auto"/>
        <w:rPr>
          <w:sz w:val="20"/>
          <w:szCs w:val="20"/>
          <w:color w:val="auto"/>
        </w:rPr>
      </w:pPr>
      <w:r>
        <w:rPr>
          <w:rFonts w:ascii="Arial" w:cs="Arial" w:eastAsia="Arial" w:hAnsi="Arial"/>
          <w:sz w:val="21"/>
          <w:szCs w:val="21"/>
          <w:i w:val="1"/>
          <w:iCs w:val="1"/>
          <w:color w:val="auto"/>
        </w:rPr>
        <w:t>Adjusted Free Cash Flow - Management uses adjusted free cash flow as a means of analyzing the Company's operating results and evaluating cash flow generation from its revenue generating activities, excluding certain cash flow activity associated with strategic transactions and other costs and receipts attributable to non-recurring events. Management believes that adjusted free cash flow is a useful measure in understanding cash flow conversion associated with the Company's operations that is available for acquisitions and other investments, service of debt, dividends and share repurchases and meetings its working capital requirements. By providing these measures, together with a reconciliation of the most directly comparable GAAP measure, we believe we are enhancing investors' understanding of our business, as well as assisting investors in evaluating how well we are generating cash flow from operations, as securities analysts and other interested parties use such calculations as a measure of financial performance, and they are regularly used by management and our Board of Directors for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40" w:right="339" w:bottom="1440" w:gutter="0" w:footer="0" w:header="0"/>
        </w:sectPr>
      </w:pPr>
    </w:p>
    <w:bookmarkStart w:id="11" w:name="page12"/>
    <w:bookmarkEnd w:id="11"/>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5186045</wp:posOffset>
            </wp:positionH>
            <wp:positionV relativeFrom="page">
              <wp:posOffset>88900</wp:posOffset>
            </wp:positionV>
            <wp:extent cx="2156460" cy="36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156460" cy="366395"/>
                    </a:xfrm>
                    <a:prstGeom prst="rect">
                      <a:avLst/>
                    </a:prstGeom>
                    <a:noFill/>
                  </pic:spPr>
                </pic:pic>
              </a:graphicData>
            </a:graphic>
          </wp:anchor>
        </w:drawing>
      </w:r>
    </w:p>
    <w:p>
      <w:pPr>
        <w:ind w:right="100"/>
        <w:spacing w:after="0" w:line="258" w:lineRule="auto"/>
        <w:rPr>
          <w:sz w:val="20"/>
          <w:szCs w:val="20"/>
          <w:color w:val="auto"/>
        </w:rPr>
      </w:pPr>
      <w:r>
        <w:rPr>
          <w:rFonts w:ascii="Arial" w:cs="Arial" w:eastAsia="Arial" w:hAnsi="Arial"/>
          <w:sz w:val="21"/>
          <w:szCs w:val="21"/>
          <w:i w:val="1"/>
          <w:iCs w:val="1"/>
          <w:color w:val="auto"/>
        </w:rPr>
        <w:t>internal purposes in evaluating our business performance, making budgeting decisions, and comparing our performance against other peer companies using similar measures. Free cash flow is calculated by excluding capital expenditures from cash flow provided (used) by operating activities and further adjusted for non-operating strategic transaction costs and other non-recurring or unusual cash flow activity that would otherwise be considered operating cash flow under US GAAP. Cash flow conversion is adjusted free cash flow as a percentage of adjusted EBITDA.</w:t>
      </w:r>
    </w:p>
    <w:p>
      <w:pPr>
        <w:spacing w:after="0" w:line="66" w:lineRule="exact"/>
        <w:rPr>
          <w:sz w:val="20"/>
          <w:szCs w:val="20"/>
          <w:color w:val="auto"/>
        </w:rPr>
      </w:pPr>
    </w:p>
    <w:p>
      <w:pPr>
        <w:ind w:right="40"/>
        <w:spacing w:after="0" w:line="256" w:lineRule="auto"/>
        <w:rPr>
          <w:sz w:val="20"/>
          <w:szCs w:val="20"/>
          <w:color w:val="auto"/>
        </w:rPr>
      </w:pPr>
      <w:r>
        <w:rPr>
          <w:rFonts w:ascii="Arial" w:cs="Arial" w:eastAsia="Arial" w:hAnsi="Arial"/>
          <w:sz w:val="21"/>
          <w:szCs w:val="21"/>
          <w:i w:val="1"/>
          <w:iCs w:val="1"/>
          <w:color w:val="auto"/>
        </w:rPr>
        <w:t>The Company provides this information to investors to assist in comparisons of past, present and future operating results and to assist in highlighting the results of on-going operations. While the Company’s management believes that non-GAAP measurements are useful supplemental information, such adjusted results are not intended to replace the Company’s GAAP financial results and should be read in conjunction with those GAAP results. Other Supplemental Information has been provided to demonstrate reconciliation of non-GAAP measurements discussed above to most relevant GAAP financial measurements.</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Forward-Looking Statements</w:t>
      </w:r>
    </w:p>
    <w:p>
      <w:pPr>
        <w:spacing w:after="0" w:line="113" w:lineRule="exact"/>
        <w:rPr>
          <w:sz w:val="20"/>
          <w:szCs w:val="20"/>
          <w:color w:val="auto"/>
        </w:rPr>
      </w:pPr>
    </w:p>
    <w:p>
      <w:pPr>
        <w:ind w:right="40"/>
        <w:spacing w:after="0" w:line="254" w:lineRule="auto"/>
        <w:rPr>
          <w:sz w:val="20"/>
          <w:szCs w:val="20"/>
          <w:color w:val="auto"/>
        </w:rPr>
      </w:pPr>
      <w:r>
        <w:rPr>
          <w:rFonts w:ascii="Arial" w:cs="Arial" w:eastAsia="Arial" w:hAnsi="Arial"/>
          <w:sz w:val="21"/>
          <w:szCs w:val="21"/>
          <w:i w:val="1"/>
          <w:iCs w:val="1"/>
          <w:color w:val="auto"/>
        </w:rPr>
        <w:t>We have made or implied certain forward-looking statements in this document. Statements or expectations regarding our business and M&amp;A strategy, macroeconomic headwinds, U.S. trade policy, our use of share repurchase plans, ERP platform transformation and productivity expectations, evaluating acquisition targets and entering into strategic partnerships, earnings framework, future operations and operating model, financial condition, estimated revenues, projected costs, inventory management, supply chain and supply chain relocation efforts, earnings power, project synergies, prospects, plans and strategic objectives of management, the geopolitical environment, and information concerning expected actions of third parties are forward-looking statements. When used in this report, the words future, anticipate, pro forma, seek, intend, plan, envision, estimate, believe, belief, expect, project, forecast, outlook, earnings framework, goal, target, could, would, will, can, should, may and similar expressions are intended to identify forward-looking statements, although not all forward-looking statements contain such identifying words.</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21"/>
          <w:szCs w:val="21"/>
          <w:i w:val="1"/>
          <w:iCs w:val="1"/>
          <w:color w:val="auto"/>
        </w:rPr>
        <w:t>Because these forward-looking statements are based upon our current expectations of future events and projections and are subject to a number of risks and uncertainties, many of which are beyond our control and some of which may change rapidly, actual results or outcomes may differ materially from those expressed or implied herein, and you should not place undue reliance on these statements. Important factors that could cause our actual results to differ materially from those expressed or implied herein include, without limitation: (1) the economic, social and political conditions, civil unrest, terrorist attacks, acts of war, natural disasters or other public health concerns in the U.S. or the international markets that impact our business, customers, employees (including our ability to retain and attract key personnel), manufacturing facilities, suppliers, capital markets or financial condition and results of operations, which may amplify the other risks and uncertainties we face; (2) the number of local, regional and global uncertainties could negatively impact our business; (3) the negative effect of the Russia-Ukraine war, the Israel-Hamas war, and the U.S.-Iran war and their impact on those regions and surrounding regions, including the Middle East and disruptions to international trade, supply chain and shipping routes and pricing, and on our operations and those operations of our customers, suppliers and other stakeholders; (4) our reliance on third-party partners, suppliers and distributors that are outside our control to achieve our business objectives; (5) the impact of government intervention with or influence on the operations of our suppliers, including in China; (6) the impact of expenses resulting from the implementation of new business strategies, divestitures or current and proposed restructuring and optimization activities, including changes in inventory and distribution center changes which are complicated and involve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12" w:name="page13"/>
    <w:bookmarkEnd w:id="12"/>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5186045</wp:posOffset>
            </wp:positionH>
            <wp:positionV relativeFrom="page">
              <wp:posOffset>88900</wp:posOffset>
            </wp:positionV>
            <wp:extent cx="2156460" cy="36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156460" cy="366395"/>
                    </a:xfrm>
                    <a:prstGeom prst="rect">
                      <a:avLst/>
                    </a:prstGeom>
                    <a:noFill/>
                  </pic:spPr>
                </pic:pic>
              </a:graphicData>
            </a:graphic>
          </wp:anchor>
        </w:drawing>
      </w:r>
    </w:p>
    <w:p>
      <w:pPr>
        <w:ind w:right="80"/>
        <w:spacing w:after="0" w:line="269" w:lineRule="auto"/>
        <w:rPr>
          <w:sz w:val="20"/>
          <w:szCs w:val="20"/>
          <w:color w:val="auto"/>
        </w:rPr>
      </w:pPr>
      <w:r>
        <w:rPr>
          <w:rFonts w:ascii="Arial" w:cs="Arial" w:eastAsia="Arial" w:hAnsi="Arial"/>
          <w:sz w:val="20"/>
          <w:szCs w:val="20"/>
          <w:i w:val="1"/>
          <w:iCs w:val="1"/>
          <w:color w:val="auto"/>
        </w:rPr>
        <w:t>coordination among a number of stakeholders, including our suppliers and transportation and logistics handlers; (7) the impact of our indebtedness and financial leverage position on our business, financial condition and results of operations;</w:t>
      </w:r>
    </w:p>
    <w:p>
      <w:pPr>
        <w:spacing w:after="0" w:line="1" w:lineRule="exact"/>
        <w:rPr>
          <w:sz w:val="20"/>
          <w:szCs w:val="20"/>
          <w:color w:val="auto"/>
        </w:rPr>
      </w:pPr>
    </w:p>
    <w:p>
      <w:pPr>
        <w:ind w:firstLine="5"/>
        <w:spacing w:after="0" w:line="250" w:lineRule="auto"/>
        <w:tabs>
          <w:tab w:leader="none" w:pos="315" w:val="left"/>
        </w:tabs>
        <w:numPr>
          <w:ilvl w:val="0"/>
          <w:numId w:val="7"/>
        </w:numPr>
        <w:rPr>
          <w:rFonts w:ascii="Arial" w:cs="Arial" w:eastAsia="Arial" w:hAnsi="Arial"/>
          <w:sz w:val="21"/>
          <w:szCs w:val="21"/>
          <w:i w:val="1"/>
          <w:iCs w:val="1"/>
          <w:color w:val="auto"/>
        </w:rPr>
      </w:pPr>
      <w:r>
        <w:rPr>
          <w:rFonts w:ascii="Arial" w:cs="Arial" w:eastAsia="Arial" w:hAnsi="Arial"/>
          <w:sz w:val="21"/>
          <w:szCs w:val="21"/>
          <w:i w:val="1"/>
          <w:iCs w:val="1"/>
          <w:color w:val="auto"/>
        </w:rPr>
        <w:t>the impact of restrictions in our debt instruments on our ability to operate our business, finance our capital needs or pursue or expand business strategies; (9) any failure to comply with financial covenants and other provisions and restrictions of our debt instruments; (10) the effects of interest rate fluctuations or general economic conditions, including the impact of, uncertainty around and changes to, tariffs and trade policies, including the tariffs and trade agreements announced by the Trump Administration in 2025, the tariff refunds announced in 2026 and any further changes and that may be announced in the future, tariff mitigation efforts (including supply chain relocation efforts), inflation, recession or fears of a recession, depression or fears of a depression, labor costs and stock market volatility or monetary or fiscal policies in the countries where we do business; (11) the impact of fluctuations in transportation and shipment costs, fuel costs, commodity prices, costs or availability of raw materials or terms and conditions available from suppliers, including suppliers’ willingness to advance credit; (12) changes in foreign currency exchange rates that may impact our purchasing power, pricing and margin realization within international jurisdictions; (13) the loss of, significant reduction in, or dependence upon, sales to any significant retail customer(s), including their changes in retail inventory levels and management thereof; (14) competitive promotional activity or spending by competitors, or price reductions by competitors; (15) the introduction of new product features or technological developments by competitors and/or the development of new competitors or competitive brands, including via private label manufacturers; (16) changes in consumer spending preferences, shopping trends, and demand for our products, particularly in light of economic stress;</w:t>
      </w:r>
    </w:p>
    <w:p>
      <w:pPr>
        <w:spacing w:after="0" w:line="1" w:lineRule="exact"/>
        <w:rPr>
          <w:rFonts w:ascii="Arial" w:cs="Arial" w:eastAsia="Arial" w:hAnsi="Arial"/>
          <w:sz w:val="21"/>
          <w:szCs w:val="21"/>
          <w:i w:val="1"/>
          <w:iCs w:val="1"/>
          <w:color w:val="auto"/>
        </w:rPr>
      </w:pPr>
    </w:p>
    <w:p>
      <w:pPr>
        <w:ind w:firstLine="5"/>
        <w:spacing w:after="0" w:line="251" w:lineRule="auto"/>
        <w:tabs>
          <w:tab w:leader="none" w:pos="431" w:val="left"/>
        </w:tabs>
        <w:numPr>
          <w:ilvl w:val="0"/>
          <w:numId w:val="8"/>
        </w:numPr>
        <w:rPr>
          <w:rFonts w:ascii="Arial" w:cs="Arial" w:eastAsia="Arial" w:hAnsi="Arial"/>
          <w:sz w:val="21"/>
          <w:szCs w:val="21"/>
          <w:i w:val="1"/>
          <w:iCs w:val="1"/>
          <w:color w:val="auto"/>
        </w:rPr>
      </w:pPr>
      <w:r>
        <w:rPr>
          <w:rFonts w:ascii="Arial" w:cs="Arial" w:eastAsia="Arial" w:hAnsi="Arial"/>
          <w:sz w:val="21"/>
          <w:szCs w:val="21"/>
          <w:i w:val="1"/>
          <w:iCs w:val="1"/>
          <w:color w:val="auto"/>
        </w:rPr>
        <w:t>our ability to develop and successfully introduce new products, protect intellectual property and avoid infringing the intellectual property of third parties; (18) our ability to successfully identify, implement, achieve and sustain productivity improvements, cost efficiencies (including at our manufacturing and distribution operations) and cost savings; (19) the seasonal nature of sales of certain of our products; (20) the impact weather conditions may have on the sales of certain of our products; (21) our ability to respond to unusual weather activity, natural disasters and pandemics; (22) the cost and effect of unanticipated legal, tax or regulatory proceedings or new laws or regulations (including environmental, public health and consumer protection regulations); (23) our ability to use social media platforms as effective marketing tools and to manage negative commentary regarding us, and the impact of rules governing the use of e-commerce and social media; (24) public perception regarding the safety of products that we manufacture and sell, including the potential for environmental liabilities, product liability claims, litigation and other claims related to products manufactured by us and third parties; (25) the impact of existing, pending or threatened litigation, government regulation or other requirements or operating standards applicable to our business; (26) the impact of cybersecurity breaches or our actual or perceived failure to protect company and personal data, including our failure to comply with new and increasingly complex global data privacy regulations; (27) changes in accounting policies applicable to our business; (28) our discretion to adopt, conduct, suspend or discontinue any share repurchase program or conduct any debt repayments, redemptions, repurchases or refinancing transactions (including our discretion to conduct purchases or repurchases, if any, in a variety of manners including open-market purchases, privately negotiated transactions, tender offers, redemptions, or otherwise); (29) our ability to utilize net operating loss carry-forwards to offset tax liabilities; (30) our ability to separate the Company’s HPC business and create an independent Global Appliances business on expected terms, and within the anticipated time period, or at all, and to realize the potential benefits of such business; (31) our ability to create a pure play consumer products company composed of our GPC and H&amp;G businesses and to realize the expected benefits of such creation, and within the anticipated time period, or at all; (32) our ability to successfully implement and realize the benefits of acquisitions or dispositions and the impact of any such transactions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20"/>
          </w:cols>
          <w:pgMar w:left="320" w:top="1440" w:right="359" w:bottom="1440" w:gutter="0" w:footer="0" w:header="0"/>
        </w:sectPr>
      </w:pPr>
    </w:p>
    <w:bookmarkStart w:id="13" w:name="page14"/>
    <w:bookmarkEnd w:id="13"/>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5186045</wp:posOffset>
            </wp:positionH>
            <wp:positionV relativeFrom="page">
              <wp:posOffset>88900</wp:posOffset>
            </wp:positionV>
            <wp:extent cx="2156460" cy="36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156460" cy="366395"/>
                    </a:xfrm>
                    <a:prstGeom prst="rect">
                      <a:avLst/>
                    </a:prstGeom>
                    <a:noFill/>
                  </pic:spPr>
                </pic:pic>
              </a:graphicData>
            </a:graphic>
          </wp:anchor>
        </w:drawing>
      </w:r>
    </w:p>
    <w:p>
      <w:pPr>
        <w:ind w:right="100"/>
        <w:spacing w:after="0" w:line="258" w:lineRule="auto"/>
        <w:rPr>
          <w:sz w:val="20"/>
          <w:szCs w:val="20"/>
          <w:color w:val="auto"/>
        </w:rPr>
      </w:pPr>
      <w:r>
        <w:rPr>
          <w:rFonts w:ascii="Arial" w:cs="Arial" w:eastAsia="Arial" w:hAnsi="Arial"/>
          <w:sz w:val="21"/>
          <w:szCs w:val="21"/>
          <w:i w:val="1"/>
          <w:iCs w:val="1"/>
          <w:color w:val="auto"/>
        </w:rPr>
        <w:t>on our financial performance; (33) the impact of actions taken by significant shareholders; (34) the unanticipated loss of key members of senior management and the transition of new members of our management teams to their new roles; and (35) the other risk factors set forth in Spectrum Brands Holdings, Inc. 2025 Annual Report on Form 10-K, subsequent Quarterly Reports on Form 10-Q and the other filings within the U.S. Securities and Exchange Commission (the "SEC").</w:t>
      </w:r>
    </w:p>
    <w:p>
      <w:pPr>
        <w:spacing w:after="0" w:line="66" w:lineRule="exact"/>
        <w:rPr>
          <w:sz w:val="20"/>
          <w:szCs w:val="20"/>
          <w:color w:val="auto"/>
        </w:rPr>
      </w:pPr>
    </w:p>
    <w:p>
      <w:pPr>
        <w:spacing w:after="0" w:line="255" w:lineRule="auto"/>
        <w:rPr>
          <w:sz w:val="20"/>
          <w:szCs w:val="20"/>
          <w:color w:val="auto"/>
        </w:rPr>
      </w:pPr>
      <w:r>
        <w:rPr>
          <w:rFonts w:ascii="Arial" w:cs="Arial" w:eastAsia="Arial" w:hAnsi="Arial"/>
          <w:sz w:val="21"/>
          <w:szCs w:val="21"/>
          <w:i w:val="1"/>
          <w:iCs w:val="1"/>
          <w:color w:val="auto"/>
        </w:rPr>
        <w:t>Some of the above-mentioned factors are described in further detail in the sections entitled Risk Factors in our annual and quarterly reports (including this report), as applicable. You should assume the information appearing in this report is accurate only as of the date hereof, or as otherwise specified, as our business, financial condition, results of operations and prospects may have changed since that date. Except as required by applicable law, including the securities laws of the U.S. and the rules and regulations of the SEC, we undertake no obligation to publicly update or revise any forward-looking statement, whether as a result of new information, future events or otherwise, to reflect actual results or changes in factors or assumptions affecting such forward-looking statements.</w:t>
      </w:r>
    </w:p>
    <w:p>
      <w:pPr>
        <w:spacing w:after="0" w:line="64"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160"/>
          </w:cols>
          <w:pgMar w:left="320" w:top="1440" w:right="41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5186045</wp:posOffset>
            </wp:positionH>
            <wp:positionV relativeFrom="page">
              <wp:posOffset>238760</wp:posOffset>
            </wp:positionV>
            <wp:extent cx="2156460" cy="36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156460" cy="366395"/>
                    </a:xfrm>
                    <a:prstGeom prst="rect">
                      <a:avLst/>
                    </a:prstGeom>
                    <a:noFill/>
                  </pic:spPr>
                </pic:pic>
              </a:graphicData>
            </a:graphic>
          </wp:anchor>
        </w:drawing>
        <w:t>SPECTRUM BRANDS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gridSpan w:val="5"/>
          </w:tcPr>
          <w:p>
            <w:pPr>
              <w:ind w:left="360"/>
              <w:spacing w:after="0"/>
              <w:rPr>
                <w:sz w:val="20"/>
                <w:szCs w:val="20"/>
                <w:color w:val="auto"/>
              </w:rPr>
            </w:pPr>
            <w:r>
              <w:rPr>
                <w:rFonts w:ascii="Arial" w:cs="Arial" w:eastAsia="Arial" w:hAnsi="Arial"/>
                <w:sz w:val="17"/>
                <w:szCs w:val="17"/>
                <w:b w:val="1"/>
                <w:bCs w:val="1"/>
                <w:color w:val="auto"/>
              </w:rPr>
              <w:t>Three Month Periods Ended</w:t>
            </w:r>
          </w:p>
        </w:tc>
        <w:tc>
          <w:tcPr>
            <w:tcW w:w="160" w:type="dxa"/>
            <w:vAlign w:val="bottom"/>
          </w:tcPr>
          <w:p>
            <w:pPr>
              <w:spacing w:after="0"/>
              <w:rPr>
                <w:sz w:val="20"/>
                <w:szCs w:val="20"/>
                <w:color w:val="auto"/>
              </w:rPr>
            </w:pPr>
          </w:p>
        </w:tc>
        <w:tc>
          <w:tcPr>
            <w:tcW w:w="3220" w:type="dxa"/>
            <w:vAlign w:val="bottom"/>
            <w:gridSpan w:val="4"/>
          </w:tcPr>
          <w:p>
            <w:pPr>
              <w:jc w:val="right"/>
              <w:ind w:right="553"/>
              <w:spacing w:after="0"/>
              <w:rPr>
                <w:sz w:val="20"/>
                <w:szCs w:val="20"/>
                <w:color w:val="auto"/>
              </w:rPr>
            </w:pPr>
            <w:r>
              <w:rPr>
                <w:rFonts w:ascii="Arial" w:cs="Arial" w:eastAsia="Arial" w:hAnsi="Arial"/>
                <w:sz w:val="17"/>
                <w:szCs w:val="17"/>
                <w:b w:val="1"/>
                <w:bCs w:val="1"/>
                <w:color w:val="auto"/>
              </w:rPr>
              <w:t>Six Month Periods Ended</w:t>
            </w:r>
          </w:p>
        </w:tc>
        <w:tc>
          <w:tcPr>
            <w:tcW w:w="0" w:type="dxa"/>
            <w:vAlign w:val="bottom"/>
          </w:tcPr>
          <w:p>
            <w:pPr>
              <w:spacing w:after="0"/>
              <w:rPr>
                <w:sz w:val="1"/>
                <w:szCs w:val="1"/>
                <w:color w:val="auto"/>
              </w:rPr>
            </w:pPr>
          </w:p>
        </w:tc>
      </w:tr>
      <w:tr>
        <w:trPr>
          <w:trHeight w:val="229"/>
        </w:trPr>
        <w:tc>
          <w:tcPr>
            <w:tcW w:w="4380" w:type="dxa"/>
            <w:vAlign w:val="bottom"/>
            <w:gridSpan w:val="2"/>
          </w:tcPr>
          <w:p>
            <w:pPr>
              <w:ind w:left="20"/>
              <w:spacing w:after="0"/>
              <w:rPr>
                <w:sz w:val="20"/>
                <w:szCs w:val="20"/>
                <w:color w:val="auto"/>
              </w:rPr>
            </w:pPr>
            <w:r>
              <w:rPr>
                <w:rFonts w:ascii="Arial" w:cs="Arial" w:eastAsia="Arial" w:hAnsi="Arial"/>
                <w:sz w:val="17"/>
                <w:szCs w:val="17"/>
                <w:b w:val="1"/>
                <w:bCs w:val="1"/>
                <w:color w:val="auto"/>
              </w:rPr>
              <w:t>(in millions, except per share amounts)</w:t>
            </w:r>
          </w:p>
        </w:tc>
        <w:tc>
          <w:tcPr>
            <w:tcW w:w="1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March 29, 2026</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March 30, 2025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March 29, 2026</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March 30, 2025</w:t>
            </w: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1,375.9</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Cost of goods sold</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864.7</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511.2</w:t>
            </w:r>
          </w:p>
        </w:tc>
        <w:tc>
          <w:tcPr>
            <w:tcW w:w="0" w:type="dxa"/>
            <w:vAlign w:val="bottom"/>
          </w:tcPr>
          <w:p>
            <w:pPr>
              <w:spacing w:after="0"/>
              <w:rPr>
                <w:sz w:val="1"/>
                <w:szCs w:val="1"/>
                <w:color w:val="auto"/>
              </w:rPr>
            </w:pPr>
          </w:p>
        </w:tc>
      </w:tr>
      <w:tr>
        <w:trPr>
          <w:trHeight w:val="223"/>
        </w:trPr>
        <w:tc>
          <w:tcPr>
            <w:tcW w:w="4380" w:type="dxa"/>
            <w:vAlign w:val="bottom"/>
            <w:gridSpan w:val="2"/>
          </w:tcPr>
          <w:p>
            <w:pPr>
              <w:ind w:left="20"/>
              <w:spacing w:after="0"/>
              <w:rPr>
                <w:sz w:val="20"/>
                <w:szCs w:val="20"/>
                <w:color w:val="auto"/>
              </w:rPr>
            </w:pPr>
            <w:r>
              <w:rPr>
                <w:rFonts w:ascii="Arial" w:cs="Arial" w:eastAsia="Arial" w:hAnsi="Arial"/>
                <w:sz w:val="17"/>
                <w:szCs w:val="17"/>
                <w:color w:val="auto"/>
              </w:rPr>
              <w:t>Selling, general &amp; administrative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226.8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218.2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441.3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431.3</w:t>
            </w:r>
          </w:p>
        </w:tc>
        <w:tc>
          <w:tcPr>
            <w:tcW w:w="0" w:type="dxa"/>
            <w:vAlign w:val="bottom"/>
          </w:tcPr>
          <w:p>
            <w:pPr>
              <w:spacing w:after="0"/>
              <w:rPr>
                <w:sz w:val="1"/>
                <w:szCs w:val="1"/>
                <w:color w:val="auto"/>
              </w:rPr>
            </w:pPr>
          </w:p>
        </w:tc>
      </w:tr>
      <w:tr>
        <w:trPr>
          <w:trHeight w:val="223"/>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Impairment of intangible assets</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226.8</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233.9</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441.3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447.0</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0" w:type="dxa"/>
            <w:vAlign w:val="bottom"/>
          </w:tcPr>
          <w:p>
            <w:pPr>
              <w:spacing w:after="0"/>
              <w:rPr>
                <w:sz w:val="1"/>
                <w:szCs w:val="1"/>
                <w:color w:val="auto"/>
              </w:rPr>
            </w:pPr>
          </w:p>
        </w:tc>
      </w:tr>
      <w:tr>
        <w:trPr>
          <w:trHeight w:val="223"/>
        </w:trPr>
        <w:tc>
          <w:tcPr>
            <w:tcW w:w="4380" w:type="dxa"/>
            <w:vAlign w:val="bottom"/>
            <w:gridSpan w:val="2"/>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23"/>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non-operating (income) expense, net</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160"/>
        </w:trPr>
        <w:tc>
          <w:tcPr>
            <w:tcW w:w="4380" w:type="dxa"/>
            <w:vAlign w:val="bottom"/>
            <w:gridSpan w:val="2"/>
            <w:shd w:val="clear" w:color="auto" w:fill="CCEEFF"/>
          </w:tcPr>
          <w:p>
            <w:pPr>
              <w:ind w:left="20"/>
              <w:spacing w:after="0" w:line="160" w:lineRule="exact"/>
              <w:rPr>
                <w:sz w:val="20"/>
                <w:szCs w:val="20"/>
                <w:color w:val="auto"/>
              </w:rPr>
            </w:pPr>
            <w:r>
              <w:rPr>
                <w:rFonts w:ascii="Arial" w:cs="Arial" w:eastAsia="Arial" w:hAnsi="Arial"/>
                <w:sz w:val="17"/>
                <w:szCs w:val="17"/>
                <w:color w:val="auto"/>
              </w:rPr>
              <w:t>Income from continuing operations before income</w:t>
            </w:r>
          </w:p>
        </w:tc>
        <w:tc>
          <w:tcPr>
            <w:tcW w:w="16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0" w:type="dxa"/>
            <w:vAlign w:val="bottom"/>
          </w:tcPr>
          <w:p>
            <w:pPr>
              <w:spacing w:after="0"/>
              <w:rPr>
                <w:sz w:val="1"/>
                <w:szCs w:val="1"/>
                <w:color w:val="auto"/>
              </w:rPr>
            </w:pPr>
          </w:p>
        </w:tc>
      </w:tr>
      <w:tr>
        <w:trPr>
          <w:trHeight w:val="227"/>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taxes</w:t>
            </w:r>
          </w:p>
        </w:tc>
        <w:tc>
          <w:tcPr>
            <w:tcW w:w="16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Income tax expense</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 from continuing operations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Loss from discontinued operations, net of tax</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180"/>
        </w:trPr>
        <w:tc>
          <w:tcPr>
            <w:tcW w:w="438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Net income from continuing operations attributable to</w:t>
            </w:r>
          </w:p>
        </w:tc>
        <w:tc>
          <w:tcPr>
            <w:tcW w:w="160" w:type="dxa"/>
            <w:vAlign w:val="bottom"/>
          </w:tcPr>
          <w:p>
            <w:pPr>
              <w:spacing w:after="0"/>
              <w:rPr>
                <w:sz w:val="15"/>
                <w:szCs w:val="15"/>
                <w:color w:val="auto"/>
              </w:rPr>
            </w:pPr>
          </w:p>
        </w:tc>
        <w:tc>
          <w:tcPr>
            <w:tcW w:w="15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27"/>
        </w:trPr>
        <w:tc>
          <w:tcPr>
            <w:tcW w:w="4380" w:type="dxa"/>
            <w:vAlign w:val="bottom"/>
            <w:gridSpan w:val="2"/>
          </w:tcPr>
          <w:p>
            <w:pPr>
              <w:ind w:left="20"/>
              <w:spacing w:after="0"/>
              <w:rPr>
                <w:sz w:val="20"/>
                <w:szCs w:val="20"/>
                <w:color w:val="auto"/>
              </w:rPr>
            </w:pPr>
            <w:r>
              <w:rPr>
                <w:rFonts w:ascii="Arial" w:cs="Arial" w:eastAsia="Arial" w:hAnsi="Arial"/>
                <w:sz w:val="17"/>
                <w:szCs w:val="17"/>
                <w:color w:val="auto"/>
              </w:rPr>
              <w:t>non-controlling interest</w:t>
            </w:r>
          </w:p>
        </w:tc>
        <w:tc>
          <w:tcPr>
            <w:tcW w:w="16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income attributable to controlling interest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b w:val="1"/>
                <w:bCs w:val="1"/>
                <w:color w:val="auto"/>
              </w:rPr>
              <w:t>Amounts attributable to controlling interest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8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rPr>
              <w:t>Net income from continuing operations attributable to</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227"/>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controlling interest</w:t>
            </w:r>
          </w:p>
        </w:tc>
        <w:tc>
          <w:tcPr>
            <w:tcW w:w="16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38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Loss from discontinued operations attributable to</w:t>
            </w: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7"/>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controlling interest, net of tax</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income attributable to controlling interest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b w:val="1"/>
                <w:bCs w:val="1"/>
                <w:color w:val="auto"/>
              </w:rPr>
              <w:t>Earnings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earnings per share from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0.96</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Basic earnings per share from discontinued operations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41"/>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Diluted earnings per share from continuing operations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80" w:type="dxa"/>
            <w:vAlign w:val="bottom"/>
            <w:gridSpan w:val="2"/>
            <w:vMerge w:val="continue"/>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0.96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0.06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0.95</w:t>
            </w:r>
          </w:p>
        </w:tc>
        <w:tc>
          <w:tcPr>
            <w:tcW w:w="0" w:type="dxa"/>
            <w:vAlign w:val="bottom"/>
          </w:tcPr>
          <w:p>
            <w:pPr>
              <w:spacing w:after="0"/>
              <w:rPr>
                <w:sz w:val="1"/>
                <w:szCs w:val="1"/>
                <w:color w:val="auto"/>
              </w:rPr>
            </w:pPr>
          </w:p>
        </w:tc>
      </w:tr>
      <w:tr>
        <w:trPr>
          <w:trHeight w:val="180"/>
        </w:trPr>
        <w:tc>
          <w:tcPr>
            <w:tcW w:w="438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rPr>
              <w:t>Diluted earnings per share from discontinued</w:t>
            </w: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27"/>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operations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7"/>
                <w:szCs w:val="17"/>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0.90</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Weighted Average Shares Outstanding</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ind w:left="20"/>
              <w:spacing w:after="0"/>
              <w:rPr>
                <w:sz w:val="20"/>
                <w:szCs w:val="20"/>
                <w:color w:val="auto"/>
              </w:rPr>
            </w:pPr>
            <w:r>
              <w:rPr>
                <w:rFonts w:ascii="Arial" w:cs="Arial" w:eastAsia="Arial" w:hAnsi="Arial"/>
                <w:sz w:val="17"/>
                <w:szCs w:val="17"/>
                <w:color w:val="auto"/>
              </w:rPr>
              <w:t>Basic</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23"/>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Diluted</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130"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5186045</wp:posOffset>
            </wp:positionH>
            <wp:positionV relativeFrom="page">
              <wp:posOffset>238760</wp:posOffset>
            </wp:positionV>
            <wp:extent cx="2156460" cy="36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156460" cy="366395"/>
                    </a:xfrm>
                    <a:prstGeom prst="rect">
                      <a:avLst/>
                    </a:prstGeom>
                    <a:noFill/>
                  </pic:spPr>
                </pic:pic>
              </a:graphicData>
            </a:graphic>
          </wp:anchor>
        </w:drawing>
        <w:t>SPECTRUM BRANDS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7"/>
                <w:szCs w:val="17"/>
                <w:b w:val="1"/>
                <w:bCs w:val="1"/>
                <w:color w:val="auto"/>
              </w:rPr>
              <w:t>Six Month Periods Ended</w:t>
            </w:r>
          </w:p>
        </w:tc>
      </w:tr>
      <w:tr>
        <w:trPr>
          <w:trHeight w:val="229"/>
        </w:trPr>
        <w:tc>
          <w:tcPr>
            <w:tcW w:w="7620" w:type="dxa"/>
            <w:vAlign w:val="bottom"/>
            <w:gridSpan w:val="2"/>
          </w:tcPr>
          <w:p>
            <w:pPr>
              <w:ind w:left="20"/>
              <w:spacing w:after="0"/>
              <w:rPr>
                <w:sz w:val="20"/>
                <w:szCs w:val="20"/>
                <w:color w:val="auto"/>
              </w:rPr>
            </w:pPr>
            <w:r>
              <w:rPr>
                <w:rFonts w:ascii="Arial" w:cs="Arial" w:eastAsia="Arial" w:hAnsi="Arial"/>
                <w:sz w:val="17"/>
                <w:szCs w:val="17"/>
                <w:b w:val="1"/>
                <w:bCs w:val="1"/>
                <w:color w:val="auto"/>
              </w:rPr>
              <w:t>(in millions)</w:t>
            </w:r>
          </w:p>
        </w:tc>
        <w:tc>
          <w:tcPr>
            <w:tcW w:w="180" w:type="dxa"/>
            <w:vAlign w:val="bottom"/>
          </w:tcPr>
          <w:p>
            <w:pPr>
              <w:spacing w:after="0"/>
              <w:rPr>
                <w:sz w:val="19"/>
                <w:szCs w:val="19"/>
                <w:color w:val="auto"/>
              </w:rPr>
            </w:pPr>
          </w:p>
        </w:tc>
        <w:tc>
          <w:tcPr>
            <w:tcW w:w="1680" w:type="dxa"/>
            <w:vAlign w:val="bottom"/>
            <w:gridSpan w:val="2"/>
          </w:tcPr>
          <w:p>
            <w:pPr>
              <w:ind w:left="80"/>
              <w:spacing w:after="0"/>
              <w:rPr>
                <w:sz w:val="20"/>
                <w:szCs w:val="20"/>
                <w:color w:val="auto"/>
              </w:rPr>
            </w:pPr>
            <w:r>
              <w:rPr>
                <w:rFonts w:ascii="Arial" w:cs="Arial" w:eastAsia="Arial" w:hAnsi="Arial"/>
                <w:sz w:val="17"/>
                <w:szCs w:val="17"/>
                <w:b w:val="1"/>
                <w:bCs w:val="1"/>
                <w:color w:val="auto"/>
              </w:rPr>
              <w:t>March 29, 2026</w:t>
            </w:r>
          </w:p>
        </w:tc>
        <w:tc>
          <w:tcPr>
            <w:tcW w:w="180" w:type="dxa"/>
            <w:vAlign w:val="bottom"/>
          </w:tcPr>
          <w:p>
            <w:pPr>
              <w:spacing w:after="0"/>
              <w:rPr>
                <w:sz w:val="19"/>
                <w:szCs w:val="19"/>
                <w:color w:val="auto"/>
              </w:rPr>
            </w:pPr>
          </w:p>
        </w:tc>
        <w:tc>
          <w:tcPr>
            <w:tcW w:w="1580" w:type="dxa"/>
            <w:vAlign w:val="bottom"/>
          </w:tcPr>
          <w:p>
            <w:pPr>
              <w:jc w:val="right"/>
              <w:ind w:right="173"/>
              <w:spacing w:after="0"/>
              <w:rPr>
                <w:sz w:val="20"/>
                <w:szCs w:val="20"/>
                <w:color w:val="auto"/>
              </w:rPr>
            </w:pPr>
            <w:r>
              <w:rPr>
                <w:rFonts w:ascii="Arial" w:cs="Arial" w:eastAsia="Arial" w:hAnsi="Arial"/>
                <w:sz w:val="17"/>
                <w:szCs w:val="17"/>
                <w:b w:val="1"/>
                <w:bCs w:val="1"/>
                <w:color w:val="auto"/>
              </w:rPr>
              <w:t>March 30, 2025</w:t>
            </w:r>
          </w:p>
        </w:tc>
      </w:tr>
      <w:tr>
        <w:trPr>
          <w:trHeight w:val="223"/>
        </w:trPr>
        <w:tc>
          <w:tcPr>
            <w:tcW w:w="7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Net cash provided (used) by operating activities from continuing operations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77.9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(48.6)</w:t>
            </w: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used by operating activities from discontinued operations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16"/>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Net cash provided (used) by operating activities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(49.3)</w:t>
            </w: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Purchases of property, plant and equipment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(15.1)</w:t>
            </w: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investing activity</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6"/>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Net cash used by investing activities</w:t>
            </w: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(15.2)</w:t>
            </w: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Payment of debt and debt premium</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 from issuance of debt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w:t>
            </w: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Payment of debt issuance costs</w:t>
            </w:r>
          </w:p>
        </w:tc>
        <w:tc>
          <w:tcPr>
            <w:tcW w:w="1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Dividends paid to shareholders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Dividends paid by subsidiary to non-controlling interest</w:t>
            </w:r>
          </w:p>
        </w:tc>
        <w:tc>
          <w:tcPr>
            <w:tcW w:w="1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Treasury stock purchases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(232.8)</w:t>
            </w: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Excise tax paid on net share repurchases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Share based award tax withholding payments, net of proceeds upon vesting</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Other financing activity</w:t>
            </w:r>
          </w:p>
        </w:tc>
        <w:tc>
          <w:tcPr>
            <w:tcW w:w="1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16"/>
        </w:trPr>
        <w:tc>
          <w:tcPr>
            <w:tcW w:w="76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cash used by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(195.0)</w:t>
            </w:r>
          </w:p>
        </w:tc>
      </w:tr>
      <w:tr>
        <w:trPr>
          <w:trHeight w:val="223"/>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r>
      <w:tr>
        <w:trPr>
          <w:trHeight w:val="216"/>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change in cash, cash equivalents and restricted cash</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(272.3)</w:t>
            </w:r>
          </w:p>
        </w:tc>
      </w:tr>
      <w:tr>
        <w:trPr>
          <w:trHeight w:val="223"/>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370.5</w:t>
            </w:r>
          </w:p>
        </w:tc>
      </w:tr>
      <w:tr>
        <w:trPr>
          <w:trHeight w:val="241"/>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130"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5186045</wp:posOffset>
            </wp:positionH>
            <wp:positionV relativeFrom="page">
              <wp:posOffset>238760</wp:posOffset>
            </wp:positionV>
            <wp:extent cx="2156460" cy="36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156460" cy="366395"/>
                    </a:xfrm>
                    <a:prstGeom prst="rect">
                      <a:avLst/>
                    </a:prstGeom>
                    <a:noFill/>
                  </pic:spPr>
                </pic:pic>
              </a:graphicData>
            </a:graphic>
          </wp:anchor>
        </w:drawing>
        <w:t>SPECTRUM BRANDS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FINANCIAL POSITION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20" w:type="dxa"/>
            <w:vAlign w:val="bottom"/>
            <w:gridSpan w:val="2"/>
          </w:tcPr>
          <w:p>
            <w:pPr>
              <w:ind w:left="20"/>
              <w:spacing w:after="0"/>
              <w:rPr>
                <w:sz w:val="20"/>
                <w:szCs w:val="20"/>
                <w:color w:val="auto"/>
              </w:rPr>
            </w:pPr>
            <w:r>
              <w:rPr>
                <w:rFonts w:ascii="Arial" w:cs="Arial" w:eastAsia="Arial" w:hAnsi="Arial"/>
                <w:sz w:val="17"/>
                <w:szCs w:val="17"/>
                <w:b w:val="1"/>
                <w:bCs w:val="1"/>
                <w:color w:val="auto"/>
              </w:rPr>
              <w:t>(in millions)</w:t>
            </w:r>
          </w:p>
        </w:tc>
        <w:tc>
          <w:tcPr>
            <w:tcW w:w="18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Arial" w:cs="Arial" w:eastAsia="Arial" w:hAnsi="Arial"/>
                <w:sz w:val="17"/>
                <w:szCs w:val="17"/>
                <w:b w:val="1"/>
                <w:bCs w:val="1"/>
                <w:color w:val="auto"/>
              </w:rPr>
              <w:t>March 29, 2026</w:t>
            </w:r>
          </w:p>
        </w:tc>
        <w:tc>
          <w:tcPr>
            <w:tcW w:w="1760" w:type="dxa"/>
            <w:vAlign w:val="bottom"/>
            <w:gridSpan w:val="2"/>
          </w:tcPr>
          <w:p>
            <w:pPr>
              <w:jc w:val="right"/>
              <w:spacing w:after="0"/>
              <w:rPr>
                <w:sz w:val="20"/>
                <w:szCs w:val="20"/>
                <w:color w:val="auto"/>
              </w:rPr>
            </w:pPr>
            <w:r>
              <w:rPr>
                <w:rFonts w:ascii="Arial" w:cs="Arial" w:eastAsia="Arial" w:hAnsi="Arial"/>
                <w:sz w:val="17"/>
                <w:szCs w:val="17"/>
                <w:b w:val="1"/>
                <w:bCs w:val="1"/>
                <w:color w:val="auto"/>
              </w:rPr>
              <w:t>September 30, 2025</w:t>
            </w:r>
          </w:p>
        </w:tc>
        <w:tc>
          <w:tcPr>
            <w:tcW w:w="0" w:type="dxa"/>
            <w:vAlign w:val="bottom"/>
          </w:tcPr>
          <w:p>
            <w:pPr>
              <w:spacing w:after="0"/>
              <w:rPr>
                <w:sz w:val="1"/>
                <w:szCs w:val="1"/>
                <w:color w:val="auto"/>
              </w:rPr>
            </w:pPr>
          </w:p>
        </w:tc>
      </w:tr>
      <w:tr>
        <w:trPr>
          <w:trHeight w:val="223"/>
        </w:trPr>
        <w:tc>
          <w:tcPr>
            <w:tcW w:w="7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125.1</w:t>
            </w:r>
          </w:p>
        </w:tc>
        <w:tc>
          <w:tcPr>
            <w:tcW w:w="100" w:type="dxa"/>
            <w:vAlign w:val="bottom"/>
          </w:tcPr>
          <w:p>
            <w:pPr>
              <w:spacing w:after="0"/>
              <w:rPr>
                <w:sz w:val="19"/>
                <w:szCs w:val="19"/>
                <w:color w:val="auto"/>
              </w:rPr>
            </w:pPr>
          </w:p>
        </w:tc>
        <w:tc>
          <w:tcPr>
            <w:tcW w:w="600" w:type="dxa"/>
            <w:vAlign w:val="bottom"/>
          </w:tcPr>
          <w:p>
            <w:pPr>
              <w:jc w:val="right"/>
              <w:ind w:right="41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123.6</w:t>
            </w:r>
          </w:p>
        </w:tc>
        <w:tc>
          <w:tcPr>
            <w:tcW w:w="0" w:type="dxa"/>
            <w:vAlign w:val="bottom"/>
          </w:tcPr>
          <w:p>
            <w:pPr>
              <w:spacing w:after="0"/>
              <w:rPr>
                <w:sz w:val="1"/>
                <w:szCs w:val="1"/>
                <w:color w:val="auto"/>
              </w:rPr>
            </w:pP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Trade receivables, net</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521.7</w:t>
            </w:r>
          </w:p>
        </w:tc>
        <w:tc>
          <w:tcPr>
            <w:tcW w:w="0" w:type="dxa"/>
            <w:vAlign w:val="bottom"/>
          </w:tcPr>
          <w:p>
            <w:pPr>
              <w:spacing w:after="0"/>
              <w:rPr>
                <w:sz w:val="1"/>
                <w:szCs w:val="1"/>
                <w:color w:val="auto"/>
              </w:rPr>
            </w:pP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Other receivables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58.9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Inventories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446.1</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1,184.2</w:t>
            </w:r>
          </w:p>
        </w:tc>
        <w:tc>
          <w:tcPr>
            <w:tcW w:w="0" w:type="dxa"/>
            <w:vAlign w:val="bottom"/>
          </w:tcPr>
          <w:p>
            <w:pPr>
              <w:spacing w:after="0"/>
              <w:rPr>
                <w:sz w:val="1"/>
                <w:szCs w:val="1"/>
                <w:color w:val="auto"/>
              </w:rPr>
            </w:pP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Property, plant and equipment, net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242.5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255.0</w:t>
            </w:r>
          </w:p>
        </w:tc>
        <w:tc>
          <w:tcPr>
            <w:tcW w:w="0" w:type="dxa"/>
            <w:vAlign w:val="bottom"/>
          </w:tcPr>
          <w:p>
            <w:pPr>
              <w:spacing w:after="0"/>
              <w:rPr>
                <w:sz w:val="1"/>
                <w:szCs w:val="1"/>
                <w:color w:val="auto"/>
              </w:rPr>
            </w:pP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assets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0" w:type="dxa"/>
            <w:vAlign w:val="bottom"/>
          </w:tcPr>
          <w:p>
            <w:pPr>
              <w:spacing w:after="0"/>
              <w:rPr>
                <w:sz w:val="1"/>
                <w:szCs w:val="1"/>
                <w:color w:val="auto"/>
              </w:rPr>
            </w:pP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Deferred charges and other</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61.2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62.5</w:t>
            </w:r>
          </w:p>
        </w:tc>
        <w:tc>
          <w:tcPr>
            <w:tcW w:w="0" w:type="dxa"/>
            <w:vAlign w:val="bottom"/>
          </w:tcPr>
          <w:p>
            <w:pPr>
              <w:spacing w:after="0"/>
              <w:rPr>
                <w:sz w:val="1"/>
                <w:szCs w:val="1"/>
                <w:color w:val="auto"/>
              </w:rPr>
            </w:pP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866.8</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Intangible assets, net</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914.3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937.6</w:t>
            </w:r>
          </w:p>
        </w:tc>
        <w:tc>
          <w:tcPr>
            <w:tcW w:w="0" w:type="dxa"/>
            <w:vAlign w:val="bottom"/>
          </w:tcPr>
          <w:p>
            <w:pPr>
              <w:spacing w:after="0"/>
              <w:rPr>
                <w:sz w:val="1"/>
                <w:szCs w:val="1"/>
                <w:color w:val="auto"/>
              </w:rPr>
            </w:pPr>
          </w:p>
        </w:tc>
      </w:tr>
      <w:tr>
        <w:trPr>
          <w:trHeight w:val="241"/>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3,473.9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3,379.6</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b w:val="1"/>
                <w:bCs w:val="1"/>
                <w:color w:val="auto"/>
              </w:rPr>
              <w:t>Liabilities and Shareholders'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 portion of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Accounts payable</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348.7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283.7</w:t>
            </w:r>
          </w:p>
        </w:tc>
        <w:tc>
          <w:tcPr>
            <w:tcW w:w="0" w:type="dxa"/>
            <w:vAlign w:val="bottom"/>
          </w:tcPr>
          <w:p>
            <w:pPr>
              <w:spacing w:after="0"/>
              <w:rPr>
                <w:sz w:val="1"/>
                <w:szCs w:val="1"/>
                <w:color w:val="auto"/>
              </w:rPr>
            </w:pP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wages and salaries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0" w:type="dxa"/>
            <w:vAlign w:val="bottom"/>
          </w:tcPr>
          <w:p>
            <w:pPr>
              <w:spacing w:after="0"/>
              <w:rPr>
                <w:sz w:val="1"/>
                <w:szCs w:val="1"/>
                <w:color w:val="auto"/>
              </w:rPr>
            </w:pP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Accrued interest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tax payable</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Short-term operating lease liabilities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120.1</w:t>
            </w:r>
          </w:p>
        </w:tc>
        <w:tc>
          <w:tcPr>
            <w:tcW w:w="0" w:type="dxa"/>
            <w:vAlign w:val="bottom"/>
          </w:tcPr>
          <w:p>
            <w:pPr>
              <w:spacing w:after="0"/>
              <w:rPr>
                <w:sz w:val="1"/>
                <w:szCs w:val="1"/>
                <w:color w:val="auto"/>
              </w:rPr>
            </w:pPr>
          </w:p>
        </w:tc>
      </w:tr>
      <w:tr>
        <w:trPr>
          <w:trHeight w:val="216"/>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554.3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523.2</w:t>
            </w:r>
          </w:p>
        </w:tc>
        <w:tc>
          <w:tcPr>
            <w:tcW w:w="0" w:type="dxa"/>
            <w:vAlign w:val="bottom"/>
          </w:tcPr>
          <w:p>
            <w:pPr>
              <w:spacing w:after="0"/>
              <w:rPr>
                <w:sz w:val="1"/>
                <w:szCs w:val="1"/>
                <w:color w:val="auto"/>
              </w:rPr>
            </w:pP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Long-term debt, net of current portion</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556.2</w:t>
            </w:r>
          </w:p>
        </w:tc>
        <w:tc>
          <w:tcPr>
            <w:tcW w:w="0" w:type="dxa"/>
            <w:vAlign w:val="bottom"/>
          </w:tcPr>
          <w:p>
            <w:pPr>
              <w:spacing w:after="0"/>
              <w:rPr>
                <w:sz w:val="1"/>
                <w:szCs w:val="1"/>
                <w:color w:val="auto"/>
              </w:rPr>
            </w:pP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Long-term operating lease liabilities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116.7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54.5</w:t>
            </w:r>
          </w:p>
        </w:tc>
        <w:tc>
          <w:tcPr>
            <w:tcW w:w="0" w:type="dxa"/>
            <w:vAlign w:val="bottom"/>
          </w:tcPr>
          <w:p>
            <w:pPr>
              <w:spacing w:after="0"/>
              <w:rPr>
                <w:sz w:val="1"/>
                <w:szCs w:val="1"/>
                <w:color w:val="auto"/>
              </w:rPr>
            </w:pP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w:t>
            </w:r>
          </w:p>
        </w:tc>
        <w:tc>
          <w:tcPr>
            <w:tcW w:w="0" w:type="dxa"/>
            <w:vAlign w:val="bottom"/>
          </w:tcPr>
          <w:p>
            <w:pPr>
              <w:spacing w:after="0"/>
              <w:rPr>
                <w:sz w:val="1"/>
                <w:szCs w:val="1"/>
                <w:color w:val="auto"/>
              </w:rPr>
            </w:pPr>
          </w:p>
        </w:tc>
      </w:tr>
      <w:tr>
        <w:trPr>
          <w:trHeight w:val="223"/>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Uncertain tax benefit obligation</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171.9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180.3</w:t>
            </w:r>
          </w:p>
        </w:tc>
        <w:tc>
          <w:tcPr>
            <w:tcW w:w="0" w:type="dxa"/>
            <w:vAlign w:val="bottom"/>
          </w:tcPr>
          <w:p>
            <w:pPr>
              <w:spacing w:after="0"/>
              <w:rPr>
                <w:sz w:val="1"/>
                <w:szCs w:val="1"/>
                <w:color w:val="auto"/>
              </w:rPr>
            </w:pP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16"/>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Total liabilities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1,573.2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1,469.9</w:t>
            </w:r>
          </w:p>
        </w:tc>
        <w:tc>
          <w:tcPr>
            <w:tcW w:w="0" w:type="dxa"/>
            <w:vAlign w:val="bottom"/>
          </w:tcPr>
          <w:p>
            <w:pPr>
              <w:spacing w:after="0"/>
              <w:rPr>
                <w:sz w:val="1"/>
                <w:szCs w:val="1"/>
                <w:color w:val="auto"/>
              </w:rPr>
            </w:pPr>
          </w:p>
        </w:tc>
      </w:tr>
      <w:tr>
        <w:trPr>
          <w:trHeight w:val="223"/>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1,900.7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1,909.7</w:t>
            </w:r>
          </w:p>
        </w:tc>
        <w:tc>
          <w:tcPr>
            <w:tcW w:w="0" w:type="dxa"/>
            <w:vAlign w:val="bottom"/>
          </w:tcPr>
          <w:p>
            <w:pPr>
              <w:spacing w:after="0"/>
              <w:rPr>
                <w:sz w:val="1"/>
                <w:szCs w:val="1"/>
                <w:color w:val="auto"/>
              </w:rPr>
            </w:pPr>
          </w:p>
        </w:tc>
      </w:tr>
      <w:tr>
        <w:trPr>
          <w:trHeight w:val="216"/>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3,473.9</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3,379.6</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13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5186045</wp:posOffset>
            </wp:positionH>
            <wp:positionV relativeFrom="page">
              <wp:posOffset>238760</wp:posOffset>
            </wp:positionV>
            <wp:extent cx="2156460" cy="36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156460" cy="366395"/>
                    </a:xfrm>
                    <a:prstGeom prst="rect">
                      <a:avLst/>
                    </a:prstGeom>
                    <a:noFill/>
                  </pic:spPr>
                </pic:pic>
              </a:graphicData>
            </a:graphic>
          </wp:anchor>
        </w:drawing>
        <w:t>SPECTRUM BRANDS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SUPPLEMENTAL INFORMATION (Unaudited)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 AND ORGANIC NET SALES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net sales by segment for the three and six month periods ended March 29, 2026 and March 30, 2025,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7"/>
                <w:szCs w:val="17"/>
                <w:b w:val="1"/>
                <w:bCs w:val="1"/>
                <w:color w:val="auto"/>
              </w:rPr>
              <w:t>Three Month Periods Ended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7"/>
                <w:szCs w:val="17"/>
                <w:b w:val="1"/>
                <w:bCs w:val="1"/>
                <w:color w:val="auto"/>
              </w:rPr>
              <w:t>Six Month Periods Ended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9"/>
        </w:trPr>
        <w:tc>
          <w:tcPr>
            <w:tcW w:w="2020" w:type="dxa"/>
            <w:vAlign w:val="bottom"/>
            <w:gridSpan w:val="2"/>
          </w:tcPr>
          <w:p>
            <w:pPr>
              <w:ind w:left="20"/>
              <w:spacing w:after="0"/>
              <w:rPr>
                <w:sz w:val="20"/>
                <w:szCs w:val="20"/>
                <w:color w:val="auto"/>
              </w:rPr>
            </w:pPr>
            <w:r>
              <w:rPr>
                <w:rFonts w:ascii="Arial" w:cs="Arial" w:eastAsia="Arial" w:hAnsi="Arial"/>
                <w:sz w:val="17"/>
                <w:szCs w:val="17"/>
                <w:b w:val="1"/>
                <w:bCs w:val="1"/>
                <w:color w:val="auto"/>
              </w:rPr>
              <w:t>(in millions, except %)</w:t>
            </w:r>
          </w:p>
        </w:tc>
        <w:tc>
          <w:tcPr>
            <w:tcW w:w="1380" w:type="dxa"/>
            <w:vAlign w:val="bottom"/>
            <w:gridSpan w:val="3"/>
          </w:tcPr>
          <w:p>
            <w:pPr>
              <w:ind w:left="20"/>
              <w:spacing w:after="0"/>
              <w:rPr>
                <w:sz w:val="20"/>
                <w:szCs w:val="20"/>
                <w:color w:val="auto"/>
              </w:rPr>
            </w:pPr>
            <w:r>
              <w:rPr>
                <w:rFonts w:ascii="Arial" w:cs="Arial" w:eastAsia="Arial" w:hAnsi="Arial"/>
                <w:sz w:val="17"/>
                <w:szCs w:val="17"/>
                <w:b w:val="1"/>
                <w:bCs w:val="1"/>
                <w:color w:val="auto"/>
              </w:rPr>
              <w:t>March 29, 2026</w:t>
            </w:r>
          </w:p>
        </w:tc>
        <w:tc>
          <w:tcPr>
            <w:tcW w:w="1280" w:type="dxa"/>
            <w:vAlign w:val="bottom"/>
            <w:gridSpan w:val="2"/>
          </w:tcPr>
          <w:p>
            <w:pPr>
              <w:ind w:left="20"/>
              <w:spacing w:after="0"/>
              <w:rPr>
                <w:sz w:val="20"/>
                <w:szCs w:val="20"/>
                <w:color w:val="auto"/>
              </w:rPr>
            </w:pPr>
            <w:r>
              <w:rPr>
                <w:rFonts w:ascii="Arial" w:cs="Arial" w:eastAsia="Arial" w:hAnsi="Arial"/>
                <w:sz w:val="17"/>
                <w:szCs w:val="17"/>
                <w:b w:val="1"/>
                <w:bCs w:val="1"/>
                <w:color w:val="auto"/>
              </w:rPr>
              <w:t>March 30, 2025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3"/>
          </w:tcPr>
          <w:p>
            <w:pPr>
              <w:ind w:left="320"/>
              <w:spacing w:after="0"/>
              <w:rPr>
                <w:sz w:val="20"/>
                <w:szCs w:val="20"/>
                <w:color w:val="auto"/>
              </w:rPr>
            </w:pPr>
            <w:r>
              <w:rPr>
                <w:rFonts w:ascii="Arial" w:cs="Arial" w:eastAsia="Arial" w:hAnsi="Arial"/>
                <w:sz w:val="17"/>
                <w:szCs w:val="17"/>
                <w:b w:val="1"/>
                <w:bCs w:val="1"/>
                <w:color w:val="auto"/>
              </w:rPr>
              <w:t>Variance</w:t>
            </w:r>
          </w:p>
        </w:tc>
        <w:tc>
          <w:tcPr>
            <w:tcW w:w="1420" w:type="dxa"/>
            <w:vAlign w:val="bottom"/>
            <w:gridSpan w:val="3"/>
          </w:tcPr>
          <w:p>
            <w:pPr>
              <w:ind w:left="40"/>
              <w:spacing w:after="0"/>
              <w:rPr>
                <w:sz w:val="20"/>
                <w:szCs w:val="20"/>
                <w:color w:val="auto"/>
              </w:rPr>
            </w:pPr>
            <w:r>
              <w:rPr>
                <w:rFonts w:ascii="Arial" w:cs="Arial" w:eastAsia="Arial" w:hAnsi="Arial"/>
                <w:sz w:val="17"/>
                <w:szCs w:val="17"/>
                <w:b w:val="1"/>
                <w:bCs w:val="1"/>
                <w:color w:val="auto"/>
              </w:rPr>
              <w:t>March 29, 2026</w:t>
            </w:r>
          </w:p>
        </w:tc>
        <w:tc>
          <w:tcPr>
            <w:tcW w:w="1300" w:type="dxa"/>
            <w:vAlign w:val="bottom"/>
            <w:gridSpan w:val="2"/>
          </w:tcPr>
          <w:p>
            <w:pPr>
              <w:ind w:left="20"/>
              <w:spacing w:after="0"/>
              <w:rPr>
                <w:sz w:val="20"/>
                <w:szCs w:val="20"/>
                <w:color w:val="auto"/>
              </w:rPr>
            </w:pPr>
            <w:r>
              <w:rPr>
                <w:rFonts w:ascii="Arial" w:cs="Arial" w:eastAsia="Arial" w:hAnsi="Arial"/>
                <w:sz w:val="17"/>
                <w:szCs w:val="17"/>
                <w:b w:val="1"/>
                <w:bCs w:val="1"/>
                <w:color w:val="auto"/>
              </w:rPr>
              <w:t>March 30, 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right"/>
              <w:ind w:right="433"/>
              <w:spacing w:after="0"/>
              <w:rPr>
                <w:sz w:val="20"/>
                <w:szCs w:val="20"/>
                <w:color w:val="auto"/>
              </w:rPr>
            </w:pPr>
            <w:r>
              <w:rPr>
                <w:rFonts w:ascii="Arial" w:cs="Arial" w:eastAsia="Arial" w:hAnsi="Arial"/>
                <w:sz w:val="17"/>
                <w:szCs w:val="17"/>
                <w:b w:val="1"/>
                <w:bCs w:val="1"/>
                <w:color w:val="auto"/>
              </w:rPr>
              <w:t>Variance</w:t>
            </w:r>
          </w:p>
        </w:tc>
      </w:tr>
      <w:tr>
        <w:trPr>
          <w:trHeight w:val="223"/>
        </w:trPr>
        <w:tc>
          <w:tcPr>
            <w:tcW w:w="1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GPC</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center"/>
              <w:ind w:right="53"/>
              <w:spacing w:after="0"/>
              <w:rPr>
                <w:sz w:val="20"/>
                <w:szCs w:val="20"/>
                <w:color w:val="auto"/>
              </w:rPr>
            </w:pPr>
            <w:r>
              <w:rPr>
                <w:rFonts w:ascii="Arial" w:cs="Arial" w:eastAsia="Arial" w:hAnsi="Arial"/>
                <w:sz w:val="17"/>
                <w:szCs w:val="17"/>
                <w:color w:val="auto"/>
              </w:rPr>
              <w:t>30.1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11.2 %</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51.7</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9.8 %</w:t>
            </w:r>
          </w:p>
        </w:tc>
      </w:tr>
      <w:tr>
        <w:trPr>
          <w:trHeight w:val="223"/>
        </w:trPr>
        <w:tc>
          <w:tcPr>
            <w:tcW w:w="2020" w:type="dxa"/>
            <w:vAlign w:val="bottom"/>
            <w:gridSpan w:val="2"/>
          </w:tcPr>
          <w:p>
            <w:pPr>
              <w:ind w:left="20"/>
              <w:spacing w:after="0"/>
              <w:rPr>
                <w:sz w:val="20"/>
                <w:szCs w:val="20"/>
                <w:color w:val="auto"/>
              </w:rPr>
            </w:pPr>
            <w:r>
              <w:rPr>
                <w:rFonts w:ascii="Arial" w:cs="Arial" w:eastAsia="Arial" w:hAnsi="Arial"/>
                <w:sz w:val="17"/>
                <w:szCs w:val="17"/>
                <w:color w:val="auto"/>
              </w:rPr>
              <w:t>H&amp;G</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center"/>
              <w:ind w:right="53"/>
              <w:spacing w:after="0"/>
              <w:rPr>
                <w:sz w:val="20"/>
                <w:szCs w:val="20"/>
                <w:color w:val="auto"/>
              </w:rPr>
            </w:pPr>
            <w:r>
              <w:rPr>
                <w:rFonts w:ascii="Arial" w:cs="Arial" w:eastAsia="Arial" w:hAnsi="Arial"/>
                <w:sz w:val="17"/>
                <w:szCs w:val="17"/>
                <w:color w:val="auto"/>
              </w:rPr>
              <w:t>17.2</w:t>
            </w:r>
          </w:p>
        </w:tc>
        <w:tc>
          <w:tcPr>
            <w:tcW w:w="800" w:type="dxa"/>
            <w:vAlign w:val="bottom"/>
          </w:tcPr>
          <w:p>
            <w:pPr>
              <w:jc w:val="right"/>
              <w:spacing w:after="0"/>
              <w:rPr>
                <w:sz w:val="20"/>
                <w:szCs w:val="20"/>
                <w:color w:val="auto"/>
              </w:rPr>
            </w:pPr>
            <w:r>
              <w:rPr>
                <w:rFonts w:ascii="Arial" w:cs="Arial" w:eastAsia="Arial" w:hAnsi="Arial"/>
                <w:sz w:val="17"/>
                <w:szCs w:val="17"/>
                <w:color w:val="auto"/>
              </w:rPr>
              <w:t>11.3 %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53"/>
              <w:spacing w:after="0"/>
              <w:rPr>
                <w:sz w:val="20"/>
                <w:szCs w:val="20"/>
                <w:color w:val="auto"/>
              </w:rPr>
            </w:pPr>
            <w:r>
              <w:rPr>
                <w:rFonts w:ascii="Arial" w:cs="Arial" w:eastAsia="Arial" w:hAnsi="Arial"/>
                <w:sz w:val="17"/>
                <w:szCs w:val="17"/>
                <w:color w:val="auto"/>
              </w:rPr>
              <w:t>(1.0)</w:t>
            </w:r>
          </w:p>
        </w:tc>
        <w:tc>
          <w:tcPr>
            <w:tcW w:w="80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23"/>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HPC</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right="53"/>
              <w:spacing w:after="0"/>
              <w:rPr>
                <w:sz w:val="20"/>
                <w:szCs w:val="20"/>
                <w:color w:val="auto"/>
              </w:rPr>
            </w:pPr>
            <w:r>
              <w:rPr>
                <w:rFonts w:ascii="Arial" w:cs="Arial" w:eastAsia="Arial" w:hAnsi="Arial"/>
                <w:sz w:val="17"/>
                <w:szCs w:val="17"/>
                <w:color w:val="auto"/>
              </w:rPr>
              <w:t>(14.1)</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(40.7)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16"/>
        </w:trPr>
        <w:tc>
          <w:tcPr>
            <w:tcW w:w="2020" w:type="dxa"/>
            <w:vAlign w:val="bottom"/>
            <w:gridSpan w:val="2"/>
          </w:tcPr>
          <w:p>
            <w:pPr>
              <w:ind w:left="20"/>
              <w:spacing w:after="0"/>
              <w:rPr>
                <w:sz w:val="20"/>
                <w:szCs w:val="20"/>
                <w:color w:val="auto"/>
              </w:rPr>
            </w:pPr>
            <w:r>
              <w:rPr>
                <w:rFonts w:ascii="Arial" w:cs="Arial" w:eastAsia="Arial" w:hAnsi="Arial"/>
                <w:sz w:val="17"/>
                <w:szCs w:val="17"/>
                <w:color w:val="auto"/>
              </w:rPr>
              <w:t>Net Sales</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708.9</w:t>
            </w:r>
          </w:p>
        </w:tc>
        <w:tc>
          <w:tcPr>
            <w:tcW w:w="100" w:type="dxa"/>
            <w:vAlign w:val="bottom"/>
          </w:tcPr>
          <w:p>
            <w:pPr>
              <w:spacing w:after="0"/>
              <w:rPr>
                <w:sz w:val="18"/>
                <w:szCs w:val="18"/>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center"/>
              <w:ind w:right="53"/>
              <w:spacing w:after="0"/>
              <w:rPr>
                <w:sz w:val="20"/>
                <w:szCs w:val="20"/>
                <w:color w:val="auto"/>
              </w:rPr>
            </w:pPr>
            <w:r>
              <w:rPr>
                <w:rFonts w:ascii="Arial" w:cs="Arial" w:eastAsia="Arial" w:hAnsi="Arial"/>
                <w:sz w:val="17"/>
                <w:szCs w:val="17"/>
                <w:color w:val="auto"/>
              </w:rPr>
              <w:t>33.2</w:t>
            </w:r>
          </w:p>
        </w:tc>
        <w:tc>
          <w:tcPr>
            <w:tcW w:w="800" w:type="dxa"/>
            <w:vAlign w:val="bottom"/>
          </w:tcPr>
          <w:p>
            <w:pPr>
              <w:jc w:val="right"/>
              <w:spacing w:after="0"/>
              <w:rPr>
                <w:sz w:val="20"/>
                <w:szCs w:val="20"/>
                <w:color w:val="auto"/>
              </w:rPr>
            </w:pPr>
            <w:r>
              <w:rPr>
                <w:rFonts w:ascii="Arial" w:cs="Arial" w:eastAsia="Arial" w:hAnsi="Arial"/>
                <w:sz w:val="17"/>
                <w:szCs w:val="17"/>
                <w:color w:val="auto"/>
              </w:rPr>
              <w:t>4.9 %</w:t>
            </w:r>
          </w:p>
        </w:tc>
        <w:tc>
          <w:tcPr>
            <w:tcW w:w="8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1,385.9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93"/>
              <w:spacing w:after="0"/>
              <w:rPr>
                <w:sz w:val="20"/>
                <w:szCs w:val="20"/>
                <w:color w:val="auto"/>
              </w:rPr>
            </w:pPr>
            <w:r>
              <w:rPr>
                <w:rFonts w:ascii="Arial" w:cs="Arial" w:eastAsia="Arial" w:hAnsi="Arial"/>
                <w:sz w:val="17"/>
                <w:szCs w:val="17"/>
                <w:color w:val="auto"/>
              </w:rPr>
              <w:t>10.0</w:t>
            </w:r>
          </w:p>
        </w:tc>
        <w:tc>
          <w:tcPr>
            <w:tcW w:w="800" w:type="dxa"/>
            <w:vAlign w:val="bottom"/>
          </w:tcPr>
          <w:p>
            <w:pPr>
              <w:jc w:val="right"/>
              <w:spacing w:after="0"/>
              <w:rPr>
                <w:sz w:val="20"/>
                <w:szCs w:val="20"/>
                <w:color w:val="auto"/>
              </w:rPr>
            </w:pPr>
            <w:r>
              <w:rPr>
                <w:rFonts w:ascii="Arial" w:cs="Arial" w:eastAsia="Arial" w:hAnsi="Arial"/>
                <w:sz w:val="17"/>
                <w:szCs w:val="17"/>
                <w:color w:val="auto"/>
              </w:rPr>
              <w:t>0.7 %</w:t>
            </w:r>
          </w:p>
        </w:tc>
      </w:tr>
      <w:tr>
        <w:trPr>
          <w:trHeight w:val="20"/>
        </w:trPr>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The following is a reconciliation of reported sales to organic sales for the three and six month periods ended March 29, 2026 compared to reported net sales for the three and six month periods ended March 30, 2025, respectively.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7"/>
                <w:szCs w:val="17"/>
                <w:b w:val="1"/>
                <w:bCs w:val="1"/>
                <w:color w:val="auto"/>
              </w:rPr>
              <w:t>March 29, 2026</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284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Three Month Periods Ended</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Effect of</w:t>
            </w:r>
          </w:p>
        </w:tc>
        <w:tc>
          <w:tcPr>
            <w:tcW w:w="180" w:type="dxa"/>
            <w:vAlign w:val="bottom"/>
          </w:tcPr>
          <w:p>
            <w:pPr>
              <w:spacing w:after="0"/>
              <w:rPr>
                <w:sz w:val="24"/>
                <w:szCs w:val="2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7"/>
                <w:szCs w:val="17"/>
                <w:b w:val="1"/>
                <w:bCs w:val="1"/>
                <w:color w:val="auto"/>
              </w:rPr>
              <w:t>Organic Net</w:t>
            </w:r>
          </w:p>
        </w:tc>
        <w:tc>
          <w:tcPr>
            <w:tcW w:w="120" w:type="dxa"/>
            <w:vAlign w:val="bottom"/>
          </w:tcPr>
          <w:p>
            <w:pPr>
              <w:spacing w:after="0"/>
              <w:rPr>
                <w:sz w:val="24"/>
                <w:szCs w:val="24"/>
                <w:color w:val="auto"/>
              </w:rPr>
            </w:pPr>
          </w:p>
        </w:tc>
        <w:tc>
          <w:tcPr>
            <w:tcW w:w="1380" w:type="dxa"/>
            <w:vAlign w:val="bottom"/>
            <w:vMerge w:val="restart"/>
          </w:tcPr>
          <w:p>
            <w:pPr>
              <w:jc w:val="center"/>
              <w:ind w:right="33"/>
              <w:spacing w:after="0"/>
              <w:rPr>
                <w:sz w:val="20"/>
                <w:szCs w:val="20"/>
                <w:color w:val="auto"/>
              </w:rPr>
            </w:pPr>
            <w:r>
              <w:rPr>
                <w:rFonts w:ascii="Arial" w:cs="Arial" w:eastAsia="Arial" w:hAnsi="Arial"/>
                <w:sz w:val="17"/>
                <w:szCs w:val="17"/>
                <w:b w:val="1"/>
                <w:bCs w:val="1"/>
                <w:color w:val="auto"/>
              </w:rPr>
              <w:t>Net Sales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8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Net Sales</w:t>
            </w:r>
          </w:p>
        </w:tc>
        <w:tc>
          <w:tcPr>
            <w:tcW w:w="120" w:type="dxa"/>
            <w:vAlign w:val="bottom"/>
          </w:tcPr>
          <w:p>
            <w:pPr>
              <w:spacing w:after="0"/>
              <w:rPr>
                <w:sz w:val="14"/>
                <w:szCs w:val="14"/>
                <w:color w:val="auto"/>
              </w:rPr>
            </w:pPr>
          </w:p>
        </w:tc>
        <w:tc>
          <w:tcPr>
            <w:tcW w:w="1500" w:type="dxa"/>
            <w:vAlign w:val="bottom"/>
            <w:gridSpan w:val="2"/>
          </w:tcPr>
          <w:p>
            <w:pPr>
              <w:jc w:val="center"/>
              <w:ind w:right="240"/>
              <w:spacing w:after="0" w:line="171" w:lineRule="exact"/>
              <w:rPr>
                <w:sz w:val="20"/>
                <w:szCs w:val="20"/>
                <w:color w:val="auto"/>
              </w:rPr>
            </w:pPr>
            <w:r>
              <w:rPr>
                <w:rFonts w:ascii="Arial" w:cs="Arial" w:eastAsia="Arial" w:hAnsi="Arial"/>
                <w:sz w:val="17"/>
                <w:szCs w:val="17"/>
                <w:b w:val="1"/>
                <w:bCs w:val="1"/>
                <w:color w:val="auto"/>
              </w:rPr>
              <w:t>Changes in</w:t>
            </w:r>
          </w:p>
        </w:tc>
        <w:tc>
          <w:tcPr>
            <w:tcW w:w="1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vMerge w:val="restart"/>
          </w:tcPr>
          <w:p>
            <w:pPr>
              <w:jc w:val="right"/>
              <w:ind w:right="533"/>
              <w:spacing w:after="0"/>
              <w:rPr>
                <w:sz w:val="20"/>
                <w:szCs w:val="20"/>
                <w:color w:val="auto"/>
              </w:rPr>
            </w:pPr>
            <w:r>
              <w:rPr>
                <w:rFonts w:ascii="Arial" w:cs="Arial" w:eastAsia="Arial" w:hAnsi="Arial"/>
                <w:sz w:val="17"/>
                <w:szCs w:val="17"/>
                <w:b w:val="1"/>
                <w:bCs w:val="1"/>
                <w:color w:val="auto"/>
              </w:rPr>
              <w:t>Variance</w:t>
            </w:r>
          </w:p>
        </w:tc>
        <w:tc>
          <w:tcPr>
            <w:tcW w:w="0" w:type="dxa"/>
            <w:vAlign w:val="bottom"/>
          </w:tcPr>
          <w:p>
            <w:pPr>
              <w:spacing w:after="0"/>
              <w:rPr>
                <w:sz w:val="1"/>
                <w:szCs w:val="1"/>
                <w:color w:val="auto"/>
              </w:rPr>
            </w:pPr>
          </w:p>
        </w:tc>
      </w:tr>
      <w:tr>
        <w:trPr>
          <w:trHeight w:val="242"/>
        </w:trPr>
        <w:tc>
          <w:tcPr>
            <w:tcW w:w="2840" w:type="dxa"/>
            <w:vAlign w:val="bottom"/>
            <w:gridSpan w:val="2"/>
          </w:tcPr>
          <w:p>
            <w:pPr>
              <w:ind w:left="20"/>
              <w:spacing w:after="0"/>
              <w:rPr>
                <w:sz w:val="20"/>
                <w:szCs w:val="20"/>
                <w:color w:val="auto"/>
              </w:rPr>
            </w:pPr>
            <w:r>
              <w:rPr>
                <w:rFonts w:ascii="Arial" w:cs="Arial" w:eastAsia="Arial" w:hAnsi="Arial"/>
                <w:sz w:val="17"/>
                <w:szCs w:val="17"/>
                <w:b w:val="1"/>
                <w:bCs w:val="1"/>
                <w:color w:val="auto"/>
              </w:rPr>
              <w:t>(in millions, except %)</w:t>
            </w:r>
          </w:p>
        </w:tc>
        <w:tc>
          <w:tcPr>
            <w:tcW w:w="24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1620" w:type="dxa"/>
            <w:vAlign w:val="bottom"/>
            <w:gridSpan w:val="3"/>
          </w:tcPr>
          <w:p>
            <w:pPr>
              <w:ind w:left="20"/>
              <w:spacing w:after="0"/>
              <w:rPr>
                <w:sz w:val="20"/>
                <w:szCs w:val="20"/>
                <w:color w:val="auto"/>
              </w:rPr>
            </w:pPr>
            <w:r>
              <w:rPr>
                <w:rFonts w:ascii="Arial" w:cs="Arial" w:eastAsia="Arial" w:hAnsi="Arial"/>
                <w:sz w:val="17"/>
                <w:szCs w:val="17"/>
                <w:b w:val="1"/>
                <w:bCs w:val="1"/>
                <w:color w:val="auto"/>
              </w:rPr>
              <w:t>Foreign Currency</w:t>
            </w:r>
          </w:p>
        </w:tc>
        <w:tc>
          <w:tcPr>
            <w:tcW w:w="180" w:type="dxa"/>
            <w:vAlign w:val="bottom"/>
          </w:tcPr>
          <w:p>
            <w:pPr>
              <w:spacing w:after="0"/>
              <w:rPr>
                <w:sz w:val="21"/>
                <w:szCs w:val="21"/>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Sales</w:t>
            </w:r>
          </w:p>
        </w:tc>
        <w:tc>
          <w:tcPr>
            <w:tcW w:w="120" w:type="dxa"/>
            <w:vAlign w:val="bottom"/>
          </w:tcPr>
          <w:p>
            <w:pPr>
              <w:spacing w:after="0"/>
              <w:rPr>
                <w:sz w:val="21"/>
                <w:szCs w:val="21"/>
                <w:color w:val="auto"/>
              </w:rPr>
            </w:pPr>
          </w:p>
        </w:tc>
        <w:tc>
          <w:tcPr>
            <w:tcW w:w="1380" w:type="dxa"/>
            <w:vAlign w:val="bottom"/>
          </w:tcPr>
          <w:p>
            <w:pPr>
              <w:jc w:val="center"/>
              <w:ind w:right="53"/>
              <w:spacing w:after="0"/>
              <w:rPr>
                <w:sz w:val="20"/>
                <w:szCs w:val="20"/>
                <w:color w:val="auto"/>
              </w:rPr>
            </w:pPr>
            <w:r>
              <w:rPr>
                <w:rFonts w:ascii="Arial" w:cs="Arial" w:eastAsia="Arial" w:hAnsi="Arial"/>
                <w:sz w:val="17"/>
                <w:szCs w:val="17"/>
                <w:b w:val="1"/>
                <w:bCs w:val="1"/>
                <w:color w:val="auto"/>
              </w:rPr>
              <w:t>March 30, 2025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GPC</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20.4</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7.6 %</w:t>
            </w:r>
          </w:p>
        </w:tc>
        <w:tc>
          <w:tcPr>
            <w:tcW w:w="0" w:type="dxa"/>
            <w:vAlign w:val="bottom"/>
          </w:tcPr>
          <w:p>
            <w:pPr>
              <w:spacing w:after="0"/>
              <w:rPr>
                <w:sz w:val="1"/>
                <w:szCs w:val="1"/>
                <w:color w:val="auto"/>
              </w:rPr>
            </w:pPr>
          </w:p>
        </w:tc>
      </w:tr>
      <w:tr>
        <w:trPr>
          <w:trHeight w:val="223"/>
        </w:trPr>
        <w:tc>
          <w:tcPr>
            <w:tcW w:w="2840" w:type="dxa"/>
            <w:vAlign w:val="bottom"/>
            <w:gridSpan w:val="2"/>
          </w:tcPr>
          <w:p>
            <w:pPr>
              <w:ind w:left="20"/>
              <w:spacing w:after="0"/>
              <w:rPr>
                <w:sz w:val="20"/>
                <w:szCs w:val="20"/>
                <w:color w:val="auto"/>
              </w:rPr>
            </w:pPr>
            <w:r>
              <w:rPr>
                <w:rFonts w:ascii="Arial" w:cs="Arial" w:eastAsia="Arial" w:hAnsi="Arial"/>
                <w:sz w:val="17"/>
                <w:szCs w:val="17"/>
                <w:color w:val="auto"/>
              </w:rPr>
              <w:t>H&amp;G</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213"/>
              <w:spacing w:after="0"/>
              <w:rPr>
                <w:sz w:val="20"/>
                <w:szCs w:val="20"/>
                <w:color w:val="auto"/>
              </w:rPr>
            </w:pPr>
            <w:r>
              <w:rPr>
                <w:rFonts w:ascii="Arial" w:cs="Arial" w:eastAsia="Arial" w:hAnsi="Arial"/>
                <w:sz w:val="17"/>
                <w:szCs w:val="17"/>
                <w:color w:val="auto"/>
              </w:rPr>
              <w:t>17.1</w:t>
            </w:r>
          </w:p>
        </w:tc>
        <w:tc>
          <w:tcPr>
            <w:tcW w:w="880" w:type="dxa"/>
            <w:vAlign w:val="bottom"/>
          </w:tcPr>
          <w:p>
            <w:pPr>
              <w:jc w:val="right"/>
              <w:spacing w:after="0"/>
              <w:rPr>
                <w:sz w:val="20"/>
                <w:szCs w:val="20"/>
                <w:color w:val="auto"/>
              </w:rPr>
            </w:pPr>
            <w:r>
              <w:rPr>
                <w:rFonts w:ascii="Arial" w:cs="Arial" w:eastAsia="Arial" w:hAnsi="Arial"/>
                <w:sz w:val="17"/>
                <w:szCs w:val="17"/>
                <w:color w:val="auto"/>
              </w:rPr>
              <w:t>11.2 %</w:t>
            </w: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HPC</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(27.2)</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16"/>
        </w:trPr>
        <w:tc>
          <w:tcPr>
            <w:tcW w:w="284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708.9</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Arial" w:cs="Arial" w:eastAsia="Arial" w:hAnsi="Arial"/>
                <w:sz w:val="17"/>
                <w:szCs w:val="17"/>
                <w:color w:val="auto"/>
              </w:rPr>
              <w:t>10.3</w:t>
            </w:r>
          </w:p>
        </w:tc>
        <w:tc>
          <w:tcPr>
            <w:tcW w:w="880" w:type="dxa"/>
            <w:vAlign w:val="bottom"/>
          </w:tcPr>
          <w:p>
            <w:pPr>
              <w:jc w:val="right"/>
              <w:spacing w:after="0"/>
              <w:rPr>
                <w:sz w:val="20"/>
                <w:szCs w:val="20"/>
                <w:color w:val="auto"/>
              </w:rPr>
            </w:pPr>
            <w:r>
              <w:rPr>
                <w:rFonts w:ascii="Arial" w:cs="Arial" w:eastAsia="Arial" w:hAnsi="Arial"/>
                <w:sz w:val="17"/>
                <w:szCs w:val="17"/>
                <w:color w:val="auto"/>
              </w:rPr>
              <w:t>1.5 %</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7"/>
                <w:szCs w:val="17"/>
                <w:b w:val="1"/>
                <w:bCs w:val="1"/>
                <w:color w:val="auto"/>
              </w:rPr>
              <w:t>March 29, 2026</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84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Six Month Periods Ended</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Effect of</w:t>
            </w:r>
          </w:p>
        </w:tc>
        <w:tc>
          <w:tcPr>
            <w:tcW w:w="180" w:type="dxa"/>
            <w:vAlign w:val="bottom"/>
          </w:tcPr>
          <w:p>
            <w:pPr>
              <w:spacing w:after="0"/>
              <w:rPr>
                <w:sz w:val="24"/>
                <w:szCs w:val="2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7"/>
                <w:szCs w:val="17"/>
                <w:b w:val="1"/>
                <w:bCs w:val="1"/>
                <w:color w:val="auto"/>
              </w:rPr>
              <w:t>Organic Net</w:t>
            </w:r>
          </w:p>
        </w:tc>
        <w:tc>
          <w:tcPr>
            <w:tcW w:w="120" w:type="dxa"/>
            <w:vAlign w:val="bottom"/>
          </w:tcPr>
          <w:p>
            <w:pPr>
              <w:spacing w:after="0"/>
              <w:rPr>
                <w:sz w:val="24"/>
                <w:szCs w:val="24"/>
                <w:color w:val="auto"/>
              </w:rPr>
            </w:pPr>
          </w:p>
        </w:tc>
        <w:tc>
          <w:tcPr>
            <w:tcW w:w="1380" w:type="dxa"/>
            <w:vAlign w:val="bottom"/>
            <w:vMerge w:val="restart"/>
          </w:tcPr>
          <w:p>
            <w:pPr>
              <w:jc w:val="center"/>
              <w:ind w:right="33"/>
              <w:spacing w:after="0"/>
              <w:rPr>
                <w:sz w:val="20"/>
                <w:szCs w:val="20"/>
                <w:color w:val="auto"/>
              </w:rPr>
            </w:pPr>
            <w:r>
              <w:rPr>
                <w:rFonts w:ascii="Arial" w:cs="Arial" w:eastAsia="Arial" w:hAnsi="Arial"/>
                <w:sz w:val="17"/>
                <w:szCs w:val="17"/>
                <w:b w:val="1"/>
                <w:bCs w:val="1"/>
                <w:color w:val="auto"/>
              </w:rPr>
              <w:t>Net Sales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8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Net Sales</w:t>
            </w:r>
          </w:p>
        </w:tc>
        <w:tc>
          <w:tcPr>
            <w:tcW w:w="120" w:type="dxa"/>
            <w:vAlign w:val="bottom"/>
          </w:tcPr>
          <w:p>
            <w:pPr>
              <w:spacing w:after="0"/>
              <w:rPr>
                <w:sz w:val="14"/>
                <w:szCs w:val="14"/>
                <w:color w:val="auto"/>
              </w:rPr>
            </w:pPr>
          </w:p>
        </w:tc>
        <w:tc>
          <w:tcPr>
            <w:tcW w:w="1500" w:type="dxa"/>
            <w:vAlign w:val="bottom"/>
            <w:gridSpan w:val="2"/>
          </w:tcPr>
          <w:p>
            <w:pPr>
              <w:jc w:val="center"/>
              <w:ind w:right="240"/>
              <w:spacing w:after="0" w:line="171" w:lineRule="exact"/>
              <w:rPr>
                <w:sz w:val="20"/>
                <w:szCs w:val="20"/>
                <w:color w:val="auto"/>
              </w:rPr>
            </w:pPr>
            <w:r>
              <w:rPr>
                <w:rFonts w:ascii="Arial" w:cs="Arial" w:eastAsia="Arial" w:hAnsi="Arial"/>
                <w:sz w:val="17"/>
                <w:szCs w:val="17"/>
                <w:b w:val="1"/>
                <w:bCs w:val="1"/>
                <w:color w:val="auto"/>
              </w:rPr>
              <w:t>Changes in</w:t>
            </w:r>
          </w:p>
        </w:tc>
        <w:tc>
          <w:tcPr>
            <w:tcW w:w="1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vMerge w:val="restart"/>
          </w:tcPr>
          <w:p>
            <w:pPr>
              <w:jc w:val="right"/>
              <w:ind w:right="533"/>
              <w:spacing w:after="0"/>
              <w:rPr>
                <w:sz w:val="20"/>
                <w:szCs w:val="20"/>
                <w:color w:val="auto"/>
              </w:rPr>
            </w:pPr>
            <w:r>
              <w:rPr>
                <w:rFonts w:ascii="Arial" w:cs="Arial" w:eastAsia="Arial" w:hAnsi="Arial"/>
                <w:sz w:val="17"/>
                <w:szCs w:val="17"/>
                <w:b w:val="1"/>
                <w:bCs w:val="1"/>
                <w:color w:val="auto"/>
              </w:rPr>
              <w:t>Variance</w:t>
            </w:r>
          </w:p>
        </w:tc>
        <w:tc>
          <w:tcPr>
            <w:tcW w:w="0" w:type="dxa"/>
            <w:vAlign w:val="bottom"/>
          </w:tcPr>
          <w:p>
            <w:pPr>
              <w:spacing w:after="0"/>
              <w:rPr>
                <w:sz w:val="1"/>
                <w:szCs w:val="1"/>
                <w:color w:val="auto"/>
              </w:rPr>
            </w:pPr>
          </w:p>
        </w:tc>
      </w:tr>
      <w:tr>
        <w:trPr>
          <w:trHeight w:val="242"/>
        </w:trPr>
        <w:tc>
          <w:tcPr>
            <w:tcW w:w="2840" w:type="dxa"/>
            <w:vAlign w:val="bottom"/>
            <w:gridSpan w:val="2"/>
          </w:tcPr>
          <w:p>
            <w:pPr>
              <w:ind w:left="20"/>
              <w:spacing w:after="0"/>
              <w:rPr>
                <w:sz w:val="20"/>
                <w:szCs w:val="20"/>
                <w:color w:val="auto"/>
              </w:rPr>
            </w:pPr>
            <w:r>
              <w:rPr>
                <w:rFonts w:ascii="Arial" w:cs="Arial" w:eastAsia="Arial" w:hAnsi="Arial"/>
                <w:sz w:val="17"/>
                <w:szCs w:val="17"/>
                <w:b w:val="1"/>
                <w:bCs w:val="1"/>
                <w:color w:val="auto"/>
              </w:rPr>
              <w:t>(in millions, except %)</w:t>
            </w:r>
          </w:p>
        </w:tc>
        <w:tc>
          <w:tcPr>
            <w:tcW w:w="24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1620" w:type="dxa"/>
            <w:vAlign w:val="bottom"/>
            <w:gridSpan w:val="3"/>
          </w:tcPr>
          <w:p>
            <w:pPr>
              <w:ind w:left="20"/>
              <w:spacing w:after="0"/>
              <w:rPr>
                <w:sz w:val="20"/>
                <w:szCs w:val="20"/>
                <w:color w:val="auto"/>
              </w:rPr>
            </w:pPr>
            <w:r>
              <w:rPr>
                <w:rFonts w:ascii="Arial" w:cs="Arial" w:eastAsia="Arial" w:hAnsi="Arial"/>
                <w:sz w:val="17"/>
                <w:szCs w:val="17"/>
                <w:b w:val="1"/>
                <w:bCs w:val="1"/>
                <w:color w:val="auto"/>
              </w:rPr>
              <w:t>Foreign Currency</w:t>
            </w:r>
          </w:p>
        </w:tc>
        <w:tc>
          <w:tcPr>
            <w:tcW w:w="180" w:type="dxa"/>
            <w:vAlign w:val="bottom"/>
          </w:tcPr>
          <w:p>
            <w:pPr>
              <w:spacing w:after="0"/>
              <w:rPr>
                <w:sz w:val="21"/>
                <w:szCs w:val="21"/>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Sales</w:t>
            </w:r>
          </w:p>
        </w:tc>
        <w:tc>
          <w:tcPr>
            <w:tcW w:w="120" w:type="dxa"/>
            <w:vAlign w:val="bottom"/>
          </w:tcPr>
          <w:p>
            <w:pPr>
              <w:spacing w:after="0"/>
              <w:rPr>
                <w:sz w:val="21"/>
                <w:szCs w:val="21"/>
                <w:color w:val="auto"/>
              </w:rPr>
            </w:pPr>
          </w:p>
        </w:tc>
        <w:tc>
          <w:tcPr>
            <w:tcW w:w="1380" w:type="dxa"/>
            <w:vAlign w:val="bottom"/>
          </w:tcPr>
          <w:p>
            <w:pPr>
              <w:jc w:val="center"/>
              <w:ind w:right="53"/>
              <w:spacing w:after="0"/>
              <w:rPr>
                <w:sz w:val="20"/>
                <w:szCs w:val="20"/>
                <w:color w:val="auto"/>
              </w:rPr>
            </w:pPr>
            <w:r>
              <w:rPr>
                <w:rFonts w:ascii="Arial" w:cs="Arial" w:eastAsia="Arial" w:hAnsi="Arial"/>
                <w:sz w:val="17"/>
                <w:szCs w:val="17"/>
                <w:b w:val="1"/>
                <w:bCs w:val="1"/>
                <w:color w:val="auto"/>
              </w:rPr>
              <w:t>March 30, 2025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GPC</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35.6</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6.7 %</w:t>
            </w:r>
          </w:p>
        </w:tc>
        <w:tc>
          <w:tcPr>
            <w:tcW w:w="0" w:type="dxa"/>
            <w:vAlign w:val="bottom"/>
          </w:tcPr>
          <w:p>
            <w:pPr>
              <w:spacing w:after="0"/>
              <w:rPr>
                <w:sz w:val="1"/>
                <w:szCs w:val="1"/>
                <w:color w:val="auto"/>
              </w:rPr>
            </w:pPr>
          </w:p>
        </w:tc>
      </w:tr>
      <w:tr>
        <w:trPr>
          <w:trHeight w:val="223"/>
        </w:trPr>
        <w:tc>
          <w:tcPr>
            <w:tcW w:w="2840" w:type="dxa"/>
            <w:vAlign w:val="bottom"/>
            <w:gridSpan w:val="2"/>
          </w:tcPr>
          <w:p>
            <w:pPr>
              <w:ind w:left="20"/>
              <w:spacing w:after="0"/>
              <w:rPr>
                <w:sz w:val="20"/>
                <w:szCs w:val="20"/>
                <w:color w:val="auto"/>
              </w:rPr>
            </w:pPr>
            <w:r>
              <w:rPr>
                <w:rFonts w:ascii="Arial" w:cs="Arial" w:eastAsia="Arial" w:hAnsi="Arial"/>
                <w:sz w:val="17"/>
                <w:szCs w:val="17"/>
                <w:color w:val="auto"/>
              </w:rPr>
              <w:t>H&amp;G</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73"/>
              <w:spacing w:after="0"/>
              <w:rPr>
                <w:sz w:val="20"/>
                <w:szCs w:val="20"/>
                <w:color w:val="auto"/>
              </w:rPr>
            </w:pPr>
            <w:r>
              <w:rPr>
                <w:rFonts w:ascii="Arial" w:cs="Arial" w:eastAsia="Arial" w:hAnsi="Arial"/>
                <w:sz w:val="17"/>
                <w:szCs w:val="17"/>
                <w:color w:val="auto"/>
              </w:rPr>
              <w:t>(1.1)</w:t>
            </w:r>
          </w:p>
        </w:tc>
        <w:tc>
          <w:tcPr>
            <w:tcW w:w="880" w:type="dxa"/>
            <w:vAlign w:val="bottom"/>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23"/>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HPC</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(65.9)</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6"/>
        </w:trPr>
        <w:tc>
          <w:tcPr>
            <w:tcW w:w="284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1,385.9</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1,344.5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7"/>
                <w:szCs w:val="17"/>
                <w:color w:val="auto"/>
              </w:rPr>
              <w:t>(31.4)</w:t>
            </w:r>
          </w:p>
        </w:tc>
        <w:tc>
          <w:tcPr>
            <w:tcW w:w="88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130"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5186045</wp:posOffset>
            </wp:positionH>
            <wp:positionV relativeFrom="page">
              <wp:posOffset>238760</wp:posOffset>
            </wp:positionV>
            <wp:extent cx="2156460" cy="36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156460" cy="366395"/>
                    </a:xfrm>
                    <a:prstGeom prst="rect">
                      <a:avLst/>
                    </a:prstGeom>
                    <a:noFill/>
                  </pic:spPr>
                </pic:pic>
              </a:graphicData>
            </a:graphic>
          </wp:anchor>
        </w:drawing>
        <w:t>SPECTRUM BRANDS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SUPPLEMENTAL INFORMATION (Unaudited)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 AND ADJUSTED EBITDA MARGIN</w:t>
      </w:r>
    </w:p>
    <w:p>
      <w:pPr>
        <w:spacing w:after="0" w:line="121"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The following is a reconciliation of reported net income from continuing operations to adjusted EBITDA and adjusted EBITDA margin for the three and six month periods ended March 29, 2026 and March 30, 2025, respectively.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0" w:type="dxa"/>
            <w:vAlign w:val="bottom"/>
            <w:gridSpan w:val="5"/>
          </w:tcPr>
          <w:p>
            <w:pPr>
              <w:ind w:left="420"/>
              <w:spacing w:after="0"/>
              <w:rPr>
                <w:sz w:val="20"/>
                <w:szCs w:val="20"/>
                <w:color w:val="auto"/>
              </w:rPr>
            </w:pPr>
            <w:r>
              <w:rPr>
                <w:rFonts w:ascii="Arial" w:cs="Arial" w:eastAsia="Arial" w:hAnsi="Arial"/>
                <w:sz w:val="17"/>
                <w:szCs w:val="17"/>
                <w:b w:val="1"/>
                <w:bCs w:val="1"/>
                <w:color w:val="auto"/>
              </w:rPr>
              <w:t>Three Month Periods Ended</w:t>
            </w:r>
          </w:p>
        </w:tc>
        <w:tc>
          <w:tcPr>
            <w:tcW w:w="180" w:type="dxa"/>
            <w:vAlign w:val="bottom"/>
          </w:tcPr>
          <w:p>
            <w:pPr>
              <w:spacing w:after="0"/>
              <w:rPr>
                <w:sz w:val="20"/>
                <w:szCs w:val="20"/>
                <w:color w:val="auto"/>
              </w:rPr>
            </w:pPr>
          </w:p>
        </w:tc>
        <w:tc>
          <w:tcPr>
            <w:tcW w:w="3320" w:type="dxa"/>
            <w:vAlign w:val="bottom"/>
            <w:gridSpan w:val="4"/>
          </w:tcPr>
          <w:p>
            <w:pPr>
              <w:jc w:val="right"/>
              <w:ind w:right="613"/>
              <w:spacing w:after="0"/>
              <w:rPr>
                <w:sz w:val="20"/>
                <w:szCs w:val="20"/>
                <w:color w:val="auto"/>
              </w:rPr>
            </w:pPr>
            <w:r>
              <w:rPr>
                <w:rFonts w:ascii="Arial" w:cs="Arial" w:eastAsia="Arial" w:hAnsi="Arial"/>
                <w:sz w:val="17"/>
                <w:szCs w:val="17"/>
                <w:b w:val="1"/>
                <w:bCs w:val="1"/>
                <w:color w:val="auto"/>
              </w:rPr>
              <w:t>Six Month Periods Ended</w:t>
            </w:r>
          </w:p>
        </w:tc>
      </w:tr>
      <w:tr>
        <w:trPr>
          <w:trHeight w:val="229"/>
        </w:trPr>
        <w:tc>
          <w:tcPr>
            <w:tcW w:w="4180" w:type="dxa"/>
            <w:vAlign w:val="bottom"/>
            <w:gridSpan w:val="2"/>
          </w:tcPr>
          <w:p>
            <w:pPr>
              <w:ind w:left="20"/>
              <w:spacing w:after="0"/>
              <w:rPr>
                <w:sz w:val="20"/>
                <w:szCs w:val="20"/>
                <w:color w:val="auto"/>
              </w:rPr>
            </w:pPr>
            <w:r>
              <w:rPr>
                <w:rFonts w:ascii="Arial" w:cs="Arial" w:eastAsia="Arial" w:hAnsi="Arial"/>
                <w:sz w:val="17"/>
                <w:szCs w:val="17"/>
                <w:b w:val="1"/>
                <w:bCs w:val="1"/>
                <w:color w:val="auto"/>
              </w:rPr>
              <w:t>(in millions, except %)</w:t>
            </w: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March 29, 2026</w:t>
            </w:r>
          </w:p>
        </w:tc>
        <w:tc>
          <w:tcPr>
            <w:tcW w:w="1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March 30, 2025</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March 29, 2026</w:t>
            </w: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March 30, 2025</w:t>
            </w: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income from continuing operations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51.9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26.4</w:t>
            </w:r>
          </w:p>
        </w:tc>
      </w:tr>
      <w:tr>
        <w:trPr>
          <w:trHeight w:val="223"/>
        </w:trPr>
        <w:tc>
          <w:tcPr>
            <w:tcW w:w="4180" w:type="dxa"/>
            <w:vAlign w:val="bottom"/>
            <w:gridSpan w:val="2"/>
          </w:tcPr>
          <w:p>
            <w:pPr>
              <w:ind w:left="20"/>
              <w:spacing w:after="0"/>
              <w:rPr>
                <w:sz w:val="20"/>
                <w:szCs w:val="20"/>
                <w:color w:val="auto"/>
              </w:rPr>
            </w:pPr>
            <w:r>
              <w:rPr>
                <w:rFonts w:ascii="Arial" w:cs="Arial" w:eastAsia="Arial" w:hAnsi="Arial"/>
                <w:sz w:val="17"/>
                <w:szCs w:val="17"/>
                <w:color w:val="auto"/>
              </w:rPr>
              <w:t>Income tax expense</w:t>
            </w:r>
          </w:p>
        </w:tc>
        <w:tc>
          <w:tcPr>
            <w:tcW w:w="16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7"/>
                <w:szCs w:val="17"/>
                <w:color w:val="auto"/>
              </w:rPr>
              <w:t>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21.4</w:t>
            </w:r>
          </w:p>
        </w:tc>
      </w:tr>
      <w:tr>
        <w:trPr>
          <w:trHeight w:val="223"/>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13.7</w:t>
            </w:r>
          </w:p>
        </w:tc>
      </w:tr>
      <w:tr>
        <w:trPr>
          <w:trHeight w:val="223"/>
        </w:trPr>
        <w:tc>
          <w:tcPr>
            <w:tcW w:w="4180" w:type="dxa"/>
            <w:vAlign w:val="bottom"/>
            <w:gridSpan w:val="2"/>
          </w:tcPr>
          <w:p>
            <w:pPr>
              <w:ind w:left="20"/>
              <w:spacing w:after="0"/>
              <w:rPr>
                <w:sz w:val="20"/>
                <w:szCs w:val="20"/>
                <w:color w:val="auto"/>
              </w:rPr>
            </w:pPr>
            <w:r>
              <w:rPr>
                <w:rFonts w:ascii="Arial" w:cs="Arial" w:eastAsia="Arial" w:hAnsi="Arial"/>
                <w:sz w:val="17"/>
                <w:szCs w:val="17"/>
                <w:color w:val="auto"/>
              </w:rPr>
              <w:t>Depreciation</w:t>
            </w:r>
          </w:p>
        </w:tc>
        <w:tc>
          <w:tcPr>
            <w:tcW w:w="16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7"/>
                <w:szCs w:val="17"/>
                <w:color w:val="auto"/>
              </w:rPr>
              <w:t>14.0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28.0</w:t>
            </w:r>
          </w:p>
        </w:tc>
      </w:tr>
      <w:tr>
        <w:trPr>
          <w:trHeight w:val="223"/>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Amortization</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21.0</w:t>
            </w:r>
          </w:p>
        </w:tc>
      </w:tr>
      <w:tr>
        <w:trPr>
          <w:trHeight w:val="223"/>
        </w:trPr>
        <w:tc>
          <w:tcPr>
            <w:tcW w:w="4180" w:type="dxa"/>
            <w:vAlign w:val="bottom"/>
            <w:gridSpan w:val="2"/>
          </w:tcPr>
          <w:p>
            <w:pPr>
              <w:ind w:left="20"/>
              <w:spacing w:after="0"/>
              <w:rPr>
                <w:sz w:val="20"/>
                <w:szCs w:val="20"/>
                <w:color w:val="auto"/>
              </w:rPr>
            </w:pPr>
            <w:r>
              <w:rPr>
                <w:rFonts w:ascii="Arial" w:cs="Arial" w:eastAsia="Arial" w:hAnsi="Arial"/>
                <w:sz w:val="17"/>
                <w:szCs w:val="17"/>
                <w:color w:val="auto"/>
              </w:rPr>
              <w:t>Share based compensation</w:t>
            </w:r>
          </w:p>
        </w:tc>
        <w:tc>
          <w:tcPr>
            <w:tcW w:w="16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7"/>
                <w:szCs w:val="17"/>
                <w:color w:val="auto"/>
              </w:rPr>
              <w:t>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9.9</w:t>
            </w:r>
          </w:p>
        </w:tc>
      </w:tr>
      <w:tr>
        <w:trPr>
          <w:trHeight w:val="223"/>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Non-cash impairment charges</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15.7</w:t>
            </w:r>
          </w:p>
        </w:tc>
      </w:tr>
      <w:tr>
        <w:trPr>
          <w:trHeight w:val="223"/>
        </w:trPr>
        <w:tc>
          <w:tcPr>
            <w:tcW w:w="4180" w:type="dxa"/>
            <w:vAlign w:val="bottom"/>
            <w:gridSpan w:val="2"/>
          </w:tcPr>
          <w:p>
            <w:pPr>
              <w:ind w:left="20"/>
              <w:spacing w:after="0"/>
              <w:rPr>
                <w:sz w:val="20"/>
                <w:szCs w:val="20"/>
                <w:color w:val="auto"/>
              </w:rPr>
            </w:pPr>
            <w:r>
              <w:rPr>
                <w:rFonts w:ascii="Arial" w:cs="Arial" w:eastAsia="Arial" w:hAnsi="Arial"/>
                <w:sz w:val="17"/>
                <w:szCs w:val="17"/>
                <w:color w:val="auto"/>
              </w:rPr>
              <w:t>Exit and disposal costs</w:t>
            </w:r>
          </w:p>
        </w:tc>
        <w:tc>
          <w:tcPr>
            <w:tcW w:w="16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4.0</w:t>
            </w:r>
          </w:p>
        </w:tc>
      </w:tr>
      <w:tr>
        <w:trPr>
          <w:trHeight w:val="223"/>
        </w:trPr>
        <w:tc>
          <w:tcPr>
            <w:tcW w:w="41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7"/>
                <w:szCs w:val="17"/>
                <w:color w:val="auto"/>
              </w:rPr>
              <w:t>Global ERP transformation</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4.8</w:t>
            </w:r>
          </w:p>
        </w:tc>
      </w:tr>
      <w:tr>
        <w:trPr>
          <w:trHeight w:val="223"/>
        </w:trPr>
        <w:tc>
          <w:tcPr>
            <w:tcW w:w="4180" w:type="dxa"/>
            <w:vAlign w:val="bottom"/>
            <w:gridSpan w:val="2"/>
          </w:tcPr>
          <w:p>
            <w:pPr>
              <w:ind w:left="20"/>
              <w:spacing w:after="0" w:line="223" w:lineRule="exact"/>
              <w:rPr>
                <w:sz w:val="20"/>
                <w:szCs w:val="20"/>
                <w:color w:val="auto"/>
              </w:rPr>
            </w:pPr>
            <w:r>
              <w:rPr>
                <w:rFonts w:ascii="Arial" w:cs="Arial" w:eastAsia="Arial" w:hAnsi="Arial"/>
                <w:sz w:val="17"/>
                <w:szCs w:val="17"/>
                <w:color w:val="auto"/>
              </w:rPr>
              <w:t>Litigation costs</w:t>
            </w:r>
            <w:r>
              <w:rPr>
                <w:rFonts w:ascii="Arial" w:cs="Arial" w:eastAsia="Arial" w:hAnsi="Arial"/>
                <w:sz w:val="22"/>
                <w:szCs w:val="22"/>
                <w:color w:val="auto"/>
                <w:vertAlign w:val="superscript"/>
              </w:rPr>
              <w:t>2</w:t>
            </w:r>
          </w:p>
        </w:tc>
        <w:tc>
          <w:tcPr>
            <w:tcW w:w="16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53"/>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1.6</w:t>
            </w:r>
          </w:p>
        </w:tc>
      </w:tr>
      <w:tr>
        <w:trPr>
          <w:trHeight w:val="223"/>
        </w:trPr>
        <w:tc>
          <w:tcPr>
            <w:tcW w:w="418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0.4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2.6</w:t>
            </w:r>
          </w:p>
        </w:tc>
      </w:tr>
      <w:tr>
        <w:trPr>
          <w:trHeight w:val="216"/>
        </w:trPr>
        <w:tc>
          <w:tcPr>
            <w:tcW w:w="4180" w:type="dxa"/>
            <w:vAlign w:val="bottom"/>
            <w:gridSpan w:val="2"/>
          </w:tcPr>
          <w:p>
            <w:pPr>
              <w:ind w:left="20"/>
              <w:spacing w:after="0"/>
              <w:rPr>
                <w:sz w:val="20"/>
                <w:szCs w:val="20"/>
                <w:color w:val="auto"/>
              </w:rPr>
            </w:pPr>
            <w:r>
              <w:rPr>
                <w:rFonts w:ascii="Arial" w:cs="Arial" w:eastAsia="Arial" w:hAnsi="Arial"/>
                <w:sz w:val="17"/>
                <w:szCs w:val="17"/>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84.0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71.3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146.6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149.1</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5"/>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708.9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675.7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1,385.9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1,375.9</w:t>
            </w:r>
          </w:p>
        </w:tc>
      </w:tr>
      <w:tr>
        <w:trPr>
          <w:trHeight w:val="223"/>
        </w:trPr>
        <w:tc>
          <w:tcPr>
            <w:tcW w:w="4180" w:type="dxa"/>
            <w:vAlign w:val="bottom"/>
            <w:gridSpan w:val="2"/>
          </w:tcPr>
          <w:p>
            <w:pPr>
              <w:ind w:left="20"/>
              <w:spacing w:after="0"/>
              <w:rPr>
                <w:sz w:val="20"/>
                <w:szCs w:val="20"/>
                <w:color w:val="auto"/>
              </w:rPr>
            </w:pPr>
            <w:r>
              <w:rPr>
                <w:rFonts w:ascii="Arial" w:cs="Arial" w:eastAsia="Arial" w:hAnsi="Arial"/>
                <w:sz w:val="17"/>
                <w:szCs w:val="17"/>
                <w:color w:val="auto"/>
              </w:rPr>
              <w:t>Net income from continuing operations margin</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0.3 %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1.9 %</w:t>
            </w:r>
          </w:p>
        </w:tc>
      </w:tr>
      <w:tr>
        <w:trPr>
          <w:trHeight w:val="223"/>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Adjusted EBITDA margin</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10.8 %</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w:t>
      </w:r>
    </w:p>
    <w:p>
      <w:pPr>
        <w:spacing w:after="0" w:line="20" w:lineRule="exact"/>
        <w:rPr>
          <w:sz w:val="20"/>
          <w:szCs w:val="20"/>
          <w:color w:val="auto"/>
        </w:rPr>
      </w:pPr>
    </w:p>
    <w:p>
      <w:pPr>
        <w:jc w:val="both"/>
        <w:ind w:left="160" w:hanging="155"/>
        <w:spacing w:after="0"/>
        <w:tabs>
          <w:tab w:leader="none" w:pos="192"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Costs attributable to a multi-year transformation project to upgrade and implement our enterprise-wide operating systems to SAP S/4 HANA on a global basis, including project management and professional services for planning, design, and business process review that do not qualify as software configuration and implementation costs recognized as capital expenditures or deferred costs under applicable accounting principles. The Company had recently extended the project to include its HPC segment and anticipates costs to be incurred through further deployments through calendar year 2026.</w:t>
      </w:r>
    </w:p>
    <w:p>
      <w:pPr>
        <w:spacing w:after="0" w:line="3" w:lineRule="exact"/>
        <w:rPr>
          <w:sz w:val="20"/>
          <w:szCs w:val="20"/>
          <w:color w:val="auto"/>
        </w:rPr>
      </w:pPr>
    </w:p>
    <w:p>
      <w:pPr>
        <w:jc w:val="both"/>
        <w:ind w:left="160" w:hanging="155"/>
        <w:spacing w:after="0" w:line="230" w:lineRule="auto"/>
        <w:tabs>
          <w:tab w:leader="none" w:pos="271"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Litigation costs are associated with the Company's cost to facilitate various ongoing litigation matters associated with the Tristar Business acquisition in Fiscal 2023, previously disclosed in our 2025 Annual Report. Such costs are anticipated to be incurred until such litigation matters have been resolved.</w:t>
      </w:r>
    </w:p>
    <w:p>
      <w:pPr>
        <w:spacing w:after="0" w:line="1" w:lineRule="exact"/>
        <w:rPr>
          <w:sz w:val="20"/>
          <w:szCs w:val="20"/>
          <w:color w:val="auto"/>
        </w:rPr>
      </w:pPr>
    </w:p>
    <w:p>
      <w:pPr>
        <w:ind w:left="160" w:hanging="155"/>
        <w:spacing w:after="0" w:line="226" w:lineRule="auto"/>
        <w:tabs>
          <w:tab w:leader="none" w:pos="284" w:val="left"/>
        </w:tabs>
        <w:numPr>
          <w:ilvl w:val="0"/>
          <w:numId w:val="11"/>
        </w:numPr>
        <w:rPr>
          <w:rFonts w:ascii="Arial" w:cs="Arial" w:eastAsia="Arial" w:hAnsi="Arial"/>
          <w:sz w:val="23"/>
          <w:szCs w:val="23"/>
          <w:color w:val="auto"/>
          <w:vertAlign w:val="superscript"/>
        </w:rPr>
      </w:pPr>
      <w:r>
        <w:rPr>
          <w:rFonts w:ascii="Arial" w:cs="Arial" w:eastAsia="Arial" w:hAnsi="Arial"/>
          <w:sz w:val="17"/>
          <w:szCs w:val="17"/>
          <w:color w:val="auto"/>
        </w:rPr>
        <w:t>Other is attributable to other project costs associated with previous strategic separation initiatives and distribution center transitions, plus certain non-recurring key executive severance costs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130"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5186045</wp:posOffset>
            </wp:positionH>
            <wp:positionV relativeFrom="page">
              <wp:posOffset>238760</wp:posOffset>
            </wp:positionV>
            <wp:extent cx="2156460" cy="36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156460" cy="366395"/>
                    </a:xfrm>
                    <a:prstGeom prst="rect">
                      <a:avLst/>
                    </a:prstGeom>
                    <a:noFill/>
                  </pic:spPr>
                </pic:pic>
              </a:graphicData>
            </a:graphic>
          </wp:anchor>
        </w:drawing>
        <w:t>SPECTRUM BRANDS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SUPPLEMENTAL INFORMATION (Unaudited)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DILUTED EPS</w:t>
      </w:r>
    </w:p>
    <w:p>
      <w:pPr>
        <w:spacing w:after="0" w:line="121"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The following is a reconciliation of reported diluted EPS from continuing operations to adjusted diluted EPS from continuing operations for the three and six month periods ended March 29, 2026 and March 30, 2025, respectively.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(per share amounts)</w:t>
            </w:r>
          </w:p>
        </w:tc>
        <w:tc>
          <w:tcPr>
            <w:tcW w:w="160" w:type="dxa"/>
            <w:vAlign w:val="bottom"/>
          </w:tcPr>
          <w:p>
            <w:pPr>
              <w:spacing w:after="0"/>
              <w:rPr>
                <w:sz w:val="19"/>
                <w:szCs w:val="19"/>
                <w:color w:val="auto"/>
              </w:rPr>
            </w:pPr>
          </w:p>
        </w:tc>
        <w:tc>
          <w:tcPr>
            <w:tcW w:w="3340" w:type="dxa"/>
            <w:vAlign w:val="bottom"/>
            <w:gridSpan w:val="5"/>
          </w:tcPr>
          <w:p>
            <w:pPr>
              <w:ind w:left="380"/>
              <w:spacing w:after="0"/>
              <w:rPr>
                <w:sz w:val="20"/>
                <w:szCs w:val="20"/>
                <w:color w:val="auto"/>
              </w:rPr>
            </w:pPr>
            <w:r>
              <w:rPr>
                <w:rFonts w:ascii="Arial" w:cs="Arial" w:eastAsia="Arial" w:hAnsi="Arial"/>
                <w:sz w:val="17"/>
                <w:szCs w:val="17"/>
                <w:b w:val="1"/>
                <w:bCs w:val="1"/>
                <w:color w:val="auto"/>
              </w:rPr>
              <w:t>Three Month Periods Ended</w:t>
            </w:r>
          </w:p>
        </w:tc>
        <w:tc>
          <w:tcPr>
            <w:tcW w:w="160" w:type="dxa"/>
            <w:vAlign w:val="bottom"/>
          </w:tcPr>
          <w:p>
            <w:pPr>
              <w:spacing w:after="0"/>
              <w:rPr>
                <w:sz w:val="19"/>
                <w:szCs w:val="19"/>
                <w:color w:val="auto"/>
              </w:rPr>
            </w:pPr>
          </w:p>
        </w:tc>
        <w:tc>
          <w:tcPr>
            <w:tcW w:w="3260" w:type="dxa"/>
            <w:vAlign w:val="bottom"/>
            <w:gridSpan w:val="4"/>
          </w:tcPr>
          <w:p>
            <w:pPr>
              <w:ind w:left="500"/>
              <w:spacing w:after="0"/>
              <w:rPr>
                <w:sz w:val="20"/>
                <w:szCs w:val="20"/>
                <w:color w:val="auto"/>
              </w:rPr>
            </w:pPr>
            <w:r>
              <w:rPr>
                <w:rFonts w:ascii="Arial" w:cs="Arial" w:eastAsia="Arial" w:hAnsi="Arial"/>
                <w:sz w:val="17"/>
                <w:szCs w:val="17"/>
                <w:b w:val="1"/>
                <w:bCs w:val="1"/>
                <w:color w:val="auto"/>
              </w:rPr>
              <w:t>Six Month Periods Ended</w:t>
            </w:r>
          </w:p>
        </w:tc>
        <w:tc>
          <w:tcPr>
            <w:tcW w:w="0" w:type="dxa"/>
            <w:vAlign w:val="bottom"/>
          </w:tcPr>
          <w:p>
            <w:pPr>
              <w:spacing w:after="0"/>
              <w:rPr>
                <w:sz w:val="1"/>
                <w:szCs w:val="1"/>
                <w:color w:val="auto"/>
              </w:rPr>
            </w:pPr>
          </w:p>
        </w:tc>
      </w:tr>
      <w:tr>
        <w:trPr>
          <w:trHeight w:val="216"/>
        </w:trPr>
        <w:tc>
          <w:tcPr>
            <w:tcW w:w="432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March 29, 2026</w:t>
            </w: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March 30, 2025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March 29, 2026</w:t>
            </w: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March 30, 2025</w:t>
            </w:r>
          </w:p>
        </w:tc>
        <w:tc>
          <w:tcPr>
            <w:tcW w:w="0" w:type="dxa"/>
            <w:vAlign w:val="bottom"/>
          </w:tcPr>
          <w:p>
            <w:pPr>
              <w:spacing w:after="0"/>
              <w:rPr>
                <w:sz w:val="1"/>
                <w:szCs w:val="1"/>
                <w:color w:val="auto"/>
              </w:rPr>
            </w:pPr>
          </w:p>
        </w:tc>
      </w:tr>
      <w:tr>
        <w:trPr>
          <w:trHeight w:val="216"/>
        </w:trPr>
        <w:tc>
          <w:tcPr>
            <w:tcW w:w="4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Diluted EPS from continuing operations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center"/>
              <w:ind w:left="913"/>
              <w:spacing w:after="0"/>
              <w:rPr>
                <w:sz w:val="20"/>
                <w:szCs w:val="20"/>
                <w:color w:val="auto"/>
              </w:rPr>
            </w:pPr>
            <w:r>
              <w:rPr>
                <w:rFonts w:ascii="Arial" w:cs="Arial" w:eastAsia="Arial" w:hAnsi="Arial"/>
                <w:sz w:val="17"/>
                <w:szCs w:val="17"/>
                <w:color w:val="auto"/>
              </w:rPr>
              <w:t>0.06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center"/>
              <w:ind w:left="913"/>
              <w:spacing w:after="0"/>
              <w:rPr>
                <w:sz w:val="20"/>
                <w:szCs w:val="20"/>
                <w:color w:val="auto"/>
              </w:rPr>
            </w:pPr>
            <w:r>
              <w:rPr>
                <w:rFonts w:ascii="Arial" w:cs="Arial" w:eastAsia="Arial" w:hAnsi="Arial"/>
                <w:sz w:val="17"/>
                <w:szCs w:val="17"/>
                <w:color w:val="auto"/>
              </w:rPr>
              <w:t>2.22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center"/>
              <w:ind w:left="913"/>
              <w:spacing w:after="0"/>
              <w:rPr>
                <w:sz w:val="20"/>
                <w:szCs w:val="20"/>
                <w:color w:val="auto"/>
              </w:rPr>
            </w:pPr>
            <w:r>
              <w:rPr>
                <w:rFonts w:ascii="Arial" w:cs="Arial" w:eastAsia="Arial" w:hAnsi="Arial"/>
                <w:sz w:val="17"/>
                <w:szCs w:val="17"/>
                <w:color w:val="auto"/>
              </w:rPr>
              <w:t>0.95</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Adjustments:</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Non-cash impairment charges</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913"/>
              <w:spacing w:after="0"/>
              <w:rPr>
                <w:sz w:val="20"/>
                <w:szCs w:val="20"/>
                <w:color w:val="auto"/>
              </w:rPr>
            </w:pPr>
            <w:r>
              <w:rPr>
                <w:rFonts w:ascii="Arial" w:cs="Arial" w:eastAsia="Arial" w:hAnsi="Arial"/>
                <w:sz w:val="17"/>
                <w:szCs w:val="17"/>
                <w:color w:val="auto"/>
              </w:rPr>
              <w:t>0.60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913"/>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913"/>
              <w:spacing w:after="0"/>
              <w:rPr>
                <w:sz w:val="20"/>
                <w:szCs w:val="20"/>
                <w:color w:val="auto"/>
              </w:rPr>
            </w:pPr>
            <w:r>
              <w:rPr>
                <w:rFonts w:ascii="Arial" w:cs="Arial" w:eastAsia="Arial" w:hAnsi="Arial"/>
                <w:sz w:val="17"/>
                <w:szCs w:val="17"/>
                <w:color w:val="auto"/>
              </w:rPr>
              <w:t>0.58</w:t>
            </w:r>
          </w:p>
        </w:tc>
        <w:tc>
          <w:tcPr>
            <w:tcW w:w="0" w:type="dxa"/>
            <w:vAlign w:val="bottom"/>
          </w:tcPr>
          <w:p>
            <w:pPr>
              <w:spacing w:after="0"/>
              <w:rPr>
                <w:sz w:val="1"/>
                <w:szCs w:val="1"/>
                <w:color w:val="auto"/>
              </w:rPr>
            </w:pPr>
          </w:p>
        </w:tc>
      </w:tr>
      <w:tr>
        <w:trPr>
          <w:trHeight w:val="223"/>
        </w:trPr>
        <w:tc>
          <w:tcPr>
            <w:tcW w:w="4320" w:type="dxa"/>
            <w:vAlign w:val="bottom"/>
            <w:gridSpan w:val="2"/>
          </w:tcPr>
          <w:p>
            <w:pPr>
              <w:ind w:left="120"/>
              <w:spacing w:after="0"/>
              <w:rPr>
                <w:sz w:val="20"/>
                <w:szCs w:val="20"/>
                <w:color w:val="auto"/>
              </w:rPr>
            </w:pPr>
            <w:r>
              <w:rPr>
                <w:rFonts w:ascii="Arial" w:cs="Arial" w:eastAsia="Arial" w:hAnsi="Arial"/>
                <w:sz w:val="17"/>
                <w:szCs w:val="17"/>
                <w:color w:val="auto"/>
              </w:rPr>
              <w:t>Exit and disposal costs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0.16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ind w:left="913"/>
              <w:spacing w:after="0"/>
              <w:rPr>
                <w:sz w:val="20"/>
                <w:szCs w:val="20"/>
                <w:color w:val="auto"/>
              </w:rPr>
            </w:pPr>
            <w:r>
              <w:rPr>
                <w:rFonts w:ascii="Arial" w:cs="Arial" w:eastAsia="Arial" w:hAnsi="Arial"/>
                <w:sz w:val="17"/>
                <w:szCs w:val="17"/>
                <w:color w:val="auto"/>
              </w:rPr>
              <w:t>0.14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ind w:left="913"/>
              <w:spacing w:after="0"/>
              <w:rPr>
                <w:sz w:val="20"/>
                <w:szCs w:val="20"/>
                <w:color w:val="auto"/>
              </w:rPr>
            </w:pPr>
            <w:r>
              <w:rPr>
                <w:rFonts w:ascii="Arial" w:cs="Arial" w:eastAsia="Arial" w:hAnsi="Arial"/>
                <w:sz w:val="17"/>
                <w:szCs w:val="17"/>
                <w:color w:val="auto"/>
              </w:rPr>
              <w:t>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ind w:left="913"/>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223"/>
        </w:trPr>
        <w:tc>
          <w:tcPr>
            <w:tcW w:w="4320" w:type="dxa"/>
            <w:vAlign w:val="bottom"/>
            <w:gridSpan w:val="2"/>
            <w:shd w:val="clear" w:color="auto" w:fill="CCEEFF"/>
          </w:tcPr>
          <w:p>
            <w:pPr>
              <w:ind w:left="120"/>
              <w:spacing w:after="0" w:line="223" w:lineRule="exact"/>
              <w:rPr>
                <w:sz w:val="20"/>
                <w:szCs w:val="20"/>
                <w:color w:val="auto"/>
              </w:rPr>
            </w:pPr>
            <w:r>
              <w:rPr>
                <w:rFonts w:ascii="Arial" w:cs="Arial" w:eastAsia="Arial" w:hAnsi="Arial"/>
                <w:sz w:val="17"/>
                <w:szCs w:val="17"/>
                <w:color w:val="auto"/>
              </w:rPr>
              <w:t>Global ERP transformation</w:t>
            </w:r>
            <w:r>
              <w:rPr>
                <w:rFonts w:ascii="Arial" w:cs="Arial" w:eastAsia="Arial" w:hAnsi="Arial"/>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913"/>
              <w:spacing w:after="0"/>
              <w:rPr>
                <w:sz w:val="20"/>
                <w:szCs w:val="20"/>
                <w:color w:val="auto"/>
              </w:rPr>
            </w:pPr>
            <w:r>
              <w:rPr>
                <w:rFonts w:ascii="Arial" w:cs="Arial" w:eastAsia="Arial" w:hAnsi="Arial"/>
                <w:sz w:val="17"/>
                <w:szCs w:val="17"/>
                <w:color w:val="auto"/>
              </w:rPr>
              <w:t>0.09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913"/>
              <w:spacing w:after="0"/>
              <w:rPr>
                <w:sz w:val="20"/>
                <w:szCs w:val="20"/>
                <w:color w:val="auto"/>
              </w:rPr>
            </w:pPr>
            <w:r>
              <w:rPr>
                <w:rFonts w:ascii="Arial" w:cs="Arial" w:eastAsia="Arial" w:hAnsi="Arial"/>
                <w:sz w:val="17"/>
                <w:szCs w:val="17"/>
                <w:color w:val="auto"/>
              </w:rPr>
              <w:t>0.20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left="913"/>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223"/>
        </w:trPr>
        <w:tc>
          <w:tcPr>
            <w:tcW w:w="4320" w:type="dxa"/>
            <w:vAlign w:val="bottom"/>
            <w:gridSpan w:val="2"/>
          </w:tcPr>
          <w:p>
            <w:pPr>
              <w:ind w:left="120"/>
              <w:spacing w:after="0" w:line="223" w:lineRule="exact"/>
              <w:rPr>
                <w:sz w:val="20"/>
                <w:szCs w:val="20"/>
                <w:color w:val="auto"/>
              </w:rPr>
            </w:pPr>
            <w:r>
              <w:rPr>
                <w:rFonts w:ascii="Arial" w:cs="Arial" w:eastAsia="Arial" w:hAnsi="Arial"/>
                <w:sz w:val="17"/>
                <w:szCs w:val="17"/>
                <w:color w:val="auto"/>
              </w:rPr>
              <w:t>Litigation costs</w:t>
            </w:r>
            <w:r>
              <w:rPr>
                <w:rFonts w:ascii="Arial" w:cs="Arial" w:eastAsia="Arial" w:hAnsi="Arial"/>
                <w:sz w:val="22"/>
                <w:szCs w:val="22"/>
                <w:color w:val="auto"/>
                <w:vertAlign w:val="superscript"/>
              </w:rPr>
              <w:t>2</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0.03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ind w:left="913"/>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ind w:left="913"/>
              <w:spacing w:after="0"/>
              <w:rPr>
                <w:sz w:val="20"/>
                <w:szCs w:val="20"/>
                <w:color w:val="auto"/>
              </w:rPr>
            </w:pPr>
            <w:r>
              <w:rPr>
                <w:rFonts w:ascii="Arial" w:cs="Arial" w:eastAsia="Arial" w:hAnsi="Arial"/>
                <w:sz w:val="17"/>
                <w:szCs w:val="17"/>
                <w:color w:val="auto"/>
              </w:rPr>
              <w:t>0.07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ind w:left="913"/>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23"/>
        </w:trPr>
        <w:tc>
          <w:tcPr>
            <w:tcW w:w="4320" w:type="dxa"/>
            <w:vAlign w:val="bottom"/>
            <w:gridSpan w:val="2"/>
            <w:shd w:val="clear" w:color="auto" w:fill="CCEEFF"/>
          </w:tcPr>
          <w:p>
            <w:pPr>
              <w:ind w:left="12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ind w:left="913"/>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ind w:left="913"/>
              <w:spacing w:after="0"/>
              <w:rPr>
                <w:sz w:val="20"/>
                <w:szCs w:val="20"/>
                <w:color w:val="auto"/>
              </w:rPr>
            </w:pPr>
            <w:r>
              <w:rPr>
                <w:rFonts w:ascii="Arial" w:cs="Arial" w:eastAsia="Arial" w:hAnsi="Arial"/>
                <w:sz w:val="17"/>
                <w:szCs w:val="17"/>
                <w:color w:val="auto"/>
              </w:rPr>
              <w:t>0.13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ind w:left="913"/>
              <w:spacing w:after="0"/>
              <w:rPr>
                <w:sz w:val="20"/>
                <w:szCs w:val="20"/>
                <w:color w:val="auto"/>
              </w:rPr>
            </w:pPr>
            <w:r>
              <w:rPr>
                <w:rFonts w:ascii="Arial" w:cs="Arial" w:eastAsia="Arial" w:hAnsi="Arial"/>
                <w:sz w:val="17"/>
                <w:szCs w:val="17"/>
                <w:color w:val="auto"/>
              </w:rPr>
              <w:t>0.10</w:t>
            </w:r>
          </w:p>
        </w:tc>
        <w:tc>
          <w:tcPr>
            <w:tcW w:w="0" w:type="dxa"/>
            <w:vAlign w:val="bottom"/>
          </w:tcPr>
          <w:p>
            <w:pPr>
              <w:spacing w:after="0"/>
              <w:rPr>
                <w:sz w:val="1"/>
                <w:szCs w:val="1"/>
                <w:color w:val="auto"/>
              </w:rPr>
            </w:pPr>
          </w:p>
        </w:tc>
      </w:tr>
      <w:tr>
        <w:trPr>
          <w:trHeight w:val="216"/>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Pre-tax adjustments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0.41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left="913"/>
              <w:spacing w:after="0"/>
              <w:rPr>
                <w:sz w:val="20"/>
                <w:szCs w:val="20"/>
                <w:color w:val="auto"/>
              </w:rPr>
            </w:pPr>
            <w:r>
              <w:rPr>
                <w:rFonts w:ascii="Arial" w:cs="Arial" w:eastAsia="Arial" w:hAnsi="Arial"/>
                <w:sz w:val="17"/>
                <w:szCs w:val="17"/>
                <w:color w:val="auto"/>
              </w:rPr>
              <w:t>0.87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left="913"/>
              <w:spacing w:after="0"/>
              <w:rPr>
                <w:sz w:val="20"/>
                <w:szCs w:val="20"/>
                <w:color w:val="auto"/>
              </w:rPr>
            </w:pPr>
            <w:r>
              <w:rPr>
                <w:rFonts w:ascii="Arial" w:cs="Arial" w:eastAsia="Arial" w:hAnsi="Arial"/>
                <w:sz w:val="17"/>
                <w:szCs w:val="17"/>
                <w:color w:val="auto"/>
              </w:rPr>
              <w:t>0.63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left="913"/>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3"/>
        </w:trPr>
        <w:tc>
          <w:tcPr>
            <w:tcW w:w="432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7"/>
                <w:szCs w:val="17"/>
                <w:color w:val="auto"/>
              </w:rPr>
              <w:t>Tax impact of adjustments</w:t>
            </w:r>
            <w:r>
              <w:rPr>
                <w:rFonts w:ascii="Arial" w:cs="Arial" w:eastAsia="Arial" w:hAnsi="Arial"/>
                <w:sz w:val="22"/>
                <w:szCs w:val="22"/>
                <w:color w:val="auto"/>
                <w:vertAlign w:val="superscript"/>
              </w:rPr>
              <w:t>4</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ind w:left="893"/>
              <w:spacing w:after="0"/>
              <w:rPr>
                <w:sz w:val="20"/>
                <w:szCs w:val="20"/>
                <w:color w:val="auto"/>
              </w:rPr>
            </w:pPr>
            <w:r>
              <w:rPr>
                <w:rFonts w:ascii="Arial" w:cs="Arial" w:eastAsia="Arial" w:hAnsi="Arial"/>
                <w:sz w:val="17"/>
                <w:szCs w:val="17"/>
                <w:color w:val="auto"/>
                <w:w w:val="98"/>
              </w:rPr>
              <w:t>(0.25)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ind w:left="893"/>
              <w:spacing w:after="0"/>
              <w:rPr>
                <w:sz w:val="20"/>
                <w:szCs w:val="20"/>
                <w:color w:val="auto"/>
              </w:rPr>
            </w:pPr>
            <w:r>
              <w:rPr>
                <w:rFonts w:ascii="Arial" w:cs="Arial" w:eastAsia="Arial" w:hAnsi="Arial"/>
                <w:sz w:val="17"/>
                <w:szCs w:val="17"/>
                <w:color w:val="auto"/>
                <w:w w:val="98"/>
              </w:rPr>
              <w:t>(0.20)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ind w:left="913"/>
              <w:spacing w:after="0"/>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adjustments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left="913"/>
              <w:spacing w:after="0"/>
              <w:rPr>
                <w:sz w:val="20"/>
                <w:szCs w:val="20"/>
                <w:color w:val="auto"/>
              </w:rPr>
            </w:pPr>
            <w:r>
              <w:rPr>
                <w:rFonts w:ascii="Arial" w:cs="Arial" w:eastAsia="Arial" w:hAnsi="Arial"/>
                <w:sz w:val="17"/>
                <w:szCs w:val="17"/>
                <w:color w:val="auto"/>
              </w:rPr>
              <w:t>0.62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left="913"/>
              <w:spacing w:after="0"/>
              <w:rPr>
                <w:sz w:val="20"/>
                <w:szCs w:val="20"/>
                <w:color w:val="auto"/>
              </w:rPr>
            </w:pPr>
            <w:r>
              <w:rPr>
                <w:rFonts w:ascii="Arial" w:cs="Arial" w:eastAsia="Arial" w:hAnsi="Arial"/>
                <w:sz w:val="17"/>
                <w:szCs w:val="17"/>
                <w:color w:val="auto"/>
              </w:rPr>
              <w:t>0.43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left="913"/>
              <w:spacing w:after="0"/>
              <w:rPr>
                <w:sz w:val="20"/>
                <w:szCs w:val="20"/>
                <w:color w:val="auto"/>
              </w:rPr>
            </w:pPr>
            <w:r>
              <w:rPr>
                <w:rFonts w:ascii="Arial" w:cs="Arial" w:eastAsia="Arial" w:hAnsi="Arial"/>
                <w:sz w:val="17"/>
                <w:szCs w:val="17"/>
                <w:color w:val="auto"/>
              </w:rPr>
              <w:t>0.76</w:t>
            </w:r>
          </w:p>
        </w:tc>
        <w:tc>
          <w:tcPr>
            <w:tcW w:w="0" w:type="dxa"/>
            <w:vAlign w:val="bottom"/>
          </w:tcPr>
          <w:p>
            <w:pPr>
              <w:spacing w:after="0"/>
              <w:rPr>
                <w:sz w:val="1"/>
                <w:szCs w:val="1"/>
                <w:color w:val="auto"/>
              </w:rPr>
            </w:pPr>
          </w:p>
        </w:tc>
      </w:tr>
      <w:tr>
        <w:trPr>
          <w:trHeight w:val="241"/>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Diluted EPS from continuing operations, as adjusted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center"/>
              <w:ind w:left="913"/>
              <w:spacing w:after="0"/>
              <w:rPr>
                <w:sz w:val="20"/>
                <w:szCs w:val="20"/>
                <w:color w:val="auto"/>
              </w:rPr>
            </w:pPr>
            <w:r>
              <w:rPr>
                <w:rFonts w:ascii="Arial" w:cs="Arial" w:eastAsia="Arial" w:hAnsi="Arial"/>
                <w:sz w:val="17"/>
                <w:szCs w:val="17"/>
                <w:color w:val="auto"/>
              </w:rPr>
              <w:t>0.68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center"/>
              <w:ind w:left="913"/>
              <w:spacing w:after="0"/>
              <w:rPr>
                <w:sz w:val="20"/>
                <w:szCs w:val="20"/>
                <w:color w:val="auto"/>
              </w:rPr>
            </w:pPr>
            <w:r>
              <w:rPr>
                <w:rFonts w:ascii="Arial" w:cs="Arial" w:eastAsia="Arial" w:hAnsi="Arial"/>
                <w:sz w:val="17"/>
                <w:szCs w:val="17"/>
                <w:color w:val="auto"/>
              </w:rPr>
              <w:t>2.65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center"/>
              <w:ind w:left="913"/>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w:t>
      </w:r>
    </w:p>
    <w:p>
      <w:pPr>
        <w:spacing w:after="0" w:line="20" w:lineRule="exact"/>
        <w:rPr>
          <w:sz w:val="20"/>
          <w:szCs w:val="20"/>
          <w:color w:val="auto"/>
        </w:rPr>
      </w:pPr>
    </w:p>
    <w:p>
      <w:pPr>
        <w:jc w:val="both"/>
        <w:ind w:left="160" w:hanging="155"/>
        <w:spacing w:after="0"/>
        <w:tabs>
          <w:tab w:leader="none" w:pos="192"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Costs attributable to a multi-year transformation project to upgrade and implement our enterprise-wide operating systems to SAP S/4 HANA on a global basis, including project management and professional services for planning, design, and business process review that do not qualify as software configuration and implementation costs recognized as capital expenditures or deferred costs under applicable accounting principles. The Company had recently extended the project to include its HPC segment and anticipates costs to be incurred through further deployments through calendar year 2026.</w:t>
      </w:r>
    </w:p>
    <w:p>
      <w:pPr>
        <w:spacing w:after="0" w:line="3" w:lineRule="exact"/>
        <w:rPr>
          <w:sz w:val="20"/>
          <w:szCs w:val="20"/>
          <w:color w:val="auto"/>
        </w:rPr>
      </w:pPr>
    </w:p>
    <w:p>
      <w:pPr>
        <w:jc w:val="both"/>
        <w:ind w:left="160" w:hanging="155"/>
        <w:spacing w:after="0" w:line="230" w:lineRule="auto"/>
        <w:tabs>
          <w:tab w:leader="none" w:pos="271"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Litigation costs are associated with the Company's cost to facilitate various ongoing litigation matters associated with the Tristar Business acquisition in Fiscal 2023, previously disclosed in our 2025 Annual Report. Such costs are anticipated to be incurred until such litigation matters have been resolved.</w:t>
      </w:r>
    </w:p>
    <w:p>
      <w:pPr>
        <w:spacing w:after="0" w:line="1" w:lineRule="exact"/>
        <w:rPr>
          <w:sz w:val="20"/>
          <w:szCs w:val="20"/>
          <w:color w:val="auto"/>
        </w:rPr>
      </w:pPr>
    </w:p>
    <w:p>
      <w:pPr>
        <w:ind w:left="160" w:hanging="155"/>
        <w:spacing w:after="0" w:line="218" w:lineRule="auto"/>
        <w:tabs>
          <w:tab w:leader="none" w:pos="284"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Other is attributable to other project costs associated with previous strategic separation initiatives and distribution center transitions, plus certain non-recurring key executive severance costs in the prior year.</w:t>
      </w:r>
    </w:p>
    <w:p>
      <w:pPr>
        <w:ind w:left="200" w:hanging="195"/>
        <w:spacing w:after="0" w:line="205" w:lineRule="auto"/>
        <w:tabs>
          <w:tab w:leader="none" w:pos="200" w:val="left"/>
        </w:tabs>
        <w:numPr>
          <w:ilvl w:val="0"/>
          <w:numId w:val="15"/>
        </w:numPr>
        <w:rPr>
          <w:rFonts w:ascii="Arial" w:cs="Arial" w:eastAsia="Arial" w:hAnsi="Arial"/>
          <w:sz w:val="23"/>
          <w:szCs w:val="23"/>
          <w:color w:val="auto"/>
          <w:vertAlign w:val="superscript"/>
        </w:rPr>
      </w:pPr>
      <w:r>
        <w:rPr>
          <w:rFonts w:ascii="Arial" w:cs="Arial" w:eastAsia="Arial" w:hAnsi="Arial"/>
          <w:sz w:val="17"/>
          <w:szCs w:val="17"/>
          <w:color w:val="auto"/>
        </w:rPr>
        <w:t>Income tax adjustment reflects the impact on the income tax provision from the adjustments to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130"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5186045</wp:posOffset>
            </wp:positionH>
            <wp:positionV relativeFrom="page">
              <wp:posOffset>238760</wp:posOffset>
            </wp:positionV>
            <wp:extent cx="2156460" cy="36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2156460" cy="366395"/>
                    </a:xfrm>
                    <a:prstGeom prst="rect">
                      <a:avLst/>
                    </a:prstGeom>
                    <a:noFill/>
                  </pic:spPr>
                </pic:pic>
              </a:graphicData>
            </a:graphic>
          </wp:anchor>
        </w:drawing>
        <w:t>SPECTRUM BRANDS HOLDINGS,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SUPPLEMENTAL INFORMATION (Unaudited)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FREE CASH FLOW</w:t>
      </w:r>
    </w:p>
    <w:p>
      <w:pPr>
        <w:spacing w:after="0" w:line="121" w:lineRule="exact"/>
        <w:rPr>
          <w:sz w:val="20"/>
          <w:szCs w:val="20"/>
          <w:color w:val="auto"/>
        </w:rPr>
      </w:pPr>
    </w:p>
    <w:p>
      <w:pPr>
        <w:spacing w:after="0" w:line="300" w:lineRule="auto"/>
        <w:rPr>
          <w:sz w:val="20"/>
          <w:szCs w:val="20"/>
          <w:color w:val="auto"/>
        </w:rPr>
      </w:pPr>
      <w:r>
        <w:rPr>
          <w:rFonts w:ascii="Arial" w:cs="Arial" w:eastAsia="Arial" w:hAnsi="Arial"/>
          <w:sz w:val="17"/>
          <w:szCs w:val="17"/>
          <w:color w:val="auto"/>
        </w:rPr>
        <w:t>The following is a reconciliation of reported operating cash flow from continuing operations to adjusted free cash flow for the six month periods ended March 29, 2026 and March 30, 2025, respectively.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7"/>
                <w:szCs w:val="17"/>
                <w:b w:val="1"/>
                <w:bCs w:val="1"/>
                <w:color w:val="auto"/>
              </w:rPr>
              <w:t>Six Month Periods Ended</w:t>
            </w:r>
          </w:p>
        </w:tc>
      </w:tr>
      <w:tr>
        <w:trPr>
          <w:trHeight w:val="229"/>
        </w:trPr>
        <w:tc>
          <w:tcPr>
            <w:tcW w:w="7620" w:type="dxa"/>
            <w:vAlign w:val="bottom"/>
            <w:gridSpan w:val="2"/>
          </w:tcPr>
          <w:p>
            <w:pPr>
              <w:ind w:left="20"/>
              <w:spacing w:after="0"/>
              <w:rPr>
                <w:sz w:val="20"/>
                <w:szCs w:val="20"/>
                <w:color w:val="auto"/>
              </w:rPr>
            </w:pPr>
            <w:r>
              <w:rPr>
                <w:rFonts w:ascii="Arial" w:cs="Arial" w:eastAsia="Arial" w:hAnsi="Arial"/>
                <w:sz w:val="17"/>
                <w:szCs w:val="17"/>
                <w:b w:val="1"/>
                <w:bCs w:val="1"/>
                <w:color w:val="auto"/>
              </w:rPr>
              <w:t>(in millions)</w:t>
            </w:r>
          </w:p>
        </w:tc>
        <w:tc>
          <w:tcPr>
            <w:tcW w:w="180" w:type="dxa"/>
            <w:vAlign w:val="bottom"/>
          </w:tcPr>
          <w:p>
            <w:pPr>
              <w:spacing w:after="0"/>
              <w:rPr>
                <w:sz w:val="19"/>
                <w:szCs w:val="19"/>
                <w:color w:val="auto"/>
              </w:rPr>
            </w:pPr>
          </w:p>
        </w:tc>
        <w:tc>
          <w:tcPr>
            <w:tcW w:w="1680" w:type="dxa"/>
            <w:vAlign w:val="bottom"/>
            <w:gridSpan w:val="2"/>
          </w:tcPr>
          <w:p>
            <w:pPr>
              <w:ind w:left="80"/>
              <w:spacing w:after="0"/>
              <w:rPr>
                <w:sz w:val="20"/>
                <w:szCs w:val="20"/>
                <w:color w:val="auto"/>
              </w:rPr>
            </w:pPr>
            <w:r>
              <w:rPr>
                <w:rFonts w:ascii="Arial" w:cs="Arial" w:eastAsia="Arial" w:hAnsi="Arial"/>
                <w:sz w:val="17"/>
                <w:szCs w:val="17"/>
                <w:b w:val="1"/>
                <w:bCs w:val="1"/>
                <w:color w:val="auto"/>
              </w:rPr>
              <w:t>March 29, 2026</w:t>
            </w:r>
          </w:p>
        </w:tc>
        <w:tc>
          <w:tcPr>
            <w:tcW w:w="180" w:type="dxa"/>
            <w:vAlign w:val="bottom"/>
          </w:tcPr>
          <w:p>
            <w:pPr>
              <w:spacing w:after="0"/>
              <w:rPr>
                <w:sz w:val="19"/>
                <w:szCs w:val="19"/>
                <w:color w:val="auto"/>
              </w:rPr>
            </w:pPr>
          </w:p>
        </w:tc>
        <w:tc>
          <w:tcPr>
            <w:tcW w:w="1580" w:type="dxa"/>
            <w:vAlign w:val="bottom"/>
          </w:tcPr>
          <w:p>
            <w:pPr>
              <w:jc w:val="right"/>
              <w:ind w:right="173"/>
              <w:spacing w:after="0"/>
              <w:rPr>
                <w:sz w:val="20"/>
                <w:szCs w:val="20"/>
                <w:color w:val="auto"/>
              </w:rPr>
            </w:pPr>
            <w:r>
              <w:rPr>
                <w:rFonts w:ascii="Arial" w:cs="Arial" w:eastAsia="Arial" w:hAnsi="Arial"/>
                <w:sz w:val="17"/>
                <w:szCs w:val="17"/>
                <w:b w:val="1"/>
                <w:bCs w:val="1"/>
                <w:color w:val="auto"/>
              </w:rPr>
              <w:t>March 30, 2025</w:t>
            </w:r>
          </w:p>
        </w:tc>
      </w:tr>
      <w:tr>
        <w:trPr>
          <w:trHeight w:val="223"/>
        </w:trPr>
        <w:tc>
          <w:tcPr>
            <w:tcW w:w="7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 from continuing operations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w:t>
            </w:r>
          </w:p>
        </w:tc>
      </w:tr>
      <w:tr>
        <w:trPr>
          <w:trHeight w:val="223"/>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Purchases of property, plant and equipment</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w:t>
            </w:r>
          </w:p>
        </w:tc>
      </w:tr>
      <w:tr>
        <w:trPr>
          <w:trHeight w:val="216"/>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w:t>
            </w:r>
          </w:p>
        </w:tc>
      </w:tr>
      <w:tr>
        <w:trPr>
          <w:trHeight w:val="223"/>
        </w:trPr>
        <w:tc>
          <w:tcPr>
            <w:tcW w:w="7620" w:type="dxa"/>
            <w:vAlign w:val="bottom"/>
            <w:gridSpan w:val="2"/>
          </w:tcPr>
          <w:p>
            <w:pPr>
              <w:ind w:left="20"/>
              <w:spacing w:after="0" w:line="223" w:lineRule="exact"/>
              <w:rPr>
                <w:sz w:val="20"/>
                <w:szCs w:val="20"/>
                <w:color w:val="auto"/>
              </w:rPr>
            </w:pPr>
            <w:r>
              <w:rPr>
                <w:rFonts w:ascii="Arial" w:cs="Arial" w:eastAsia="Arial" w:hAnsi="Arial"/>
                <w:sz w:val="17"/>
                <w:szCs w:val="17"/>
                <w:color w:val="auto"/>
              </w:rPr>
              <w:t>Deal transaction costs</w:t>
            </w:r>
            <w:r>
              <w:rPr>
                <w:rFonts w:ascii="Arial" w:cs="Arial" w:eastAsia="Arial" w:hAnsi="Arial"/>
                <w:sz w:val="22"/>
                <w:szCs w:val="22"/>
                <w:color w:val="auto"/>
                <w:vertAlign w:val="superscript"/>
              </w:rPr>
              <w:t>1</w:t>
            </w:r>
          </w:p>
        </w:tc>
        <w:tc>
          <w:tcPr>
            <w:tcW w:w="1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23"/>
        </w:trPr>
        <w:tc>
          <w:tcPr>
            <w:tcW w:w="762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2</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16"/>
        </w:trPr>
        <w:tc>
          <w:tcPr>
            <w:tcW w:w="7620" w:type="dxa"/>
            <w:vAlign w:val="bottom"/>
            <w:gridSpan w:val="2"/>
          </w:tcPr>
          <w:p>
            <w:pPr>
              <w:ind w:left="20"/>
              <w:spacing w:after="0"/>
              <w:rPr>
                <w:sz w:val="20"/>
                <w:szCs w:val="20"/>
                <w:color w:val="auto"/>
              </w:rPr>
            </w:pPr>
            <w:r>
              <w:rPr>
                <w:rFonts w:ascii="Arial" w:cs="Arial" w:eastAsia="Arial" w:hAnsi="Arial"/>
                <w:sz w:val="17"/>
                <w:szCs w:val="17"/>
                <w:color w:val="auto"/>
              </w:rPr>
              <w:t>Adjusted free cash flow</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w:t>
            </w: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w:t>
      </w:r>
    </w:p>
    <w:p>
      <w:pPr>
        <w:ind w:left="200" w:hanging="195"/>
        <w:spacing w:after="0" w:line="208"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Incremental cash flow attributable to certain strategic transactions including previous separation initiatives.</w:t>
      </w:r>
    </w:p>
    <w:p>
      <w:pPr>
        <w:ind w:left="200" w:hanging="195"/>
        <w:spacing w:after="0" w:line="204" w:lineRule="auto"/>
        <w:tabs>
          <w:tab w:leader="none" w:pos="20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Other is attributable to restricted cash balances which are considered a component of operating cash flow under US GAAP.</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3"/>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decimal"/>
      <w:start w:val="104"/>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8"/>
    </w:lvl>
  </w:abstractNum>
  <w:abstractNum w:abstractNumId="7">
    <w:nsid w:val="140E0F76"/>
    <w:multiLevelType w:val="hybridMultilevel"/>
    <w:lvl w:ilvl="0">
      <w:lvlJc w:val="left"/>
      <w:lvlText w:val="(%1)"/>
      <w:numFmt w:val="decimal"/>
      <w:start w:val="17"/>
    </w:lvl>
  </w:abstractNum>
  <w:abstractNum w:abstractNumId="8">
    <w:nsid w:val="3352255A"/>
    <w:multiLevelType w:val="hybridMultilevel"/>
    <w:lvl w:ilvl="0">
      <w:lvlJc w:val="left"/>
      <w:lvlText w:val="1"/>
      <w:numFmt w:val="bullet"/>
      <w:start w:val="1"/>
    </w:lvl>
  </w:abstractNum>
  <w:abstractNum w:abstractNumId="9">
    <w:nsid w:val="109CF92E"/>
    <w:multiLevelType w:val="hybridMultilevel"/>
    <w:lvl w:ilvl="0">
      <w:lvlJc w:val="left"/>
      <w:lvlText w:val="2"/>
      <w:numFmt w:val="bullet"/>
      <w:start w:val="1"/>
    </w:lvl>
  </w:abstractNum>
  <w:abstractNum w:abstractNumId="10">
    <w:nsid w:val="DED7263"/>
    <w:multiLevelType w:val="hybridMultilevel"/>
    <w:lvl w:ilvl="0">
      <w:lvlJc w:val="left"/>
      <w:lvlText w:val="3"/>
      <w:numFmt w:val="bullet"/>
      <w:start w:val="1"/>
    </w:lvl>
  </w:abstractNum>
  <w:abstractNum w:abstractNumId="11">
    <w:nsid w:val="7FDCC233"/>
    <w:multiLevelType w:val="hybridMultilevel"/>
    <w:lvl w:ilvl="0">
      <w:lvlJc w:val="left"/>
      <w:lvlText w:val="1"/>
      <w:numFmt w:val="bullet"/>
      <w:start w:val="1"/>
    </w:lvl>
  </w:abstractNum>
  <w:abstractNum w:abstractNumId="12">
    <w:nsid w:val="1BEFD79F"/>
    <w:multiLevelType w:val="hybridMultilevel"/>
    <w:lvl w:ilvl="0">
      <w:lvlJc w:val="left"/>
      <w:lvlText w:val="2"/>
      <w:numFmt w:val="bullet"/>
      <w:start w:val="1"/>
    </w:lvl>
  </w:abstractNum>
  <w:abstractNum w:abstractNumId="13">
    <w:nsid w:val="41A7C4C9"/>
    <w:multiLevelType w:val="hybridMultilevel"/>
    <w:lvl w:ilvl="0">
      <w:lvlJc w:val="left"/>
      <w:lvlText w:val="3"/>
      <w:numFmt w:val="bullet"/>
      <w:start w:val="1"/>
    </w:lvl>
  </w:abstractNum>
  <w:abstractNum w:abstractNumId="14">
    <w:nsid w:val="6B68079A"/>
    <w:multiLevelType w:val="hybridMultilevel"/>
    <w:lvl w:ilvl="0">
      <w:lvlJc w:val="left"/>
      <w:lvlText w:val="4"/>
      <w:numFmt w:val="bullet"/>
      <w:start w:val="1"/>
    </w:lvl>
  </w:abstractNum>
  <w:abstractNum w:abstractNumId="15">
    <w:nsid w:val="4E6AFB66"/>
    <w:multiLevelType w:val="hybridMultilevel"/>
    <w:lvl w:ilvl="0">
      <w:lvlJc w:val="left"/>
      <w:lvlText w:val="1"/>
      <w:numFmt w:val="bullet"/>
      <w:start w:val="1"/>
    </w:lvl>
  </w:abstractNum>
  <w:abstractNum w:abstractNumId="16">
    <w:nsid w:val="25E45D3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2026-05-07T05:35:49Z</dcterms:created>
  <dcterms:modified xsi:type="dcterms:W3CDTF">2026-05-07T05:35:49Z</dcterms:modified>
</cp:coreProperties>
</file>