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Jeremy Smeltser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Spectrum Brands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3001 Deming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Middleton, WI 53562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Spectrum Brands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2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2023 Response dated August 23, 2024 File No. 001-04219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Jeremy Smeltser: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23, 2024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July 31,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2023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Measurements, page 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 regarding the non-GAAP adjustment for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associated with retention bonuses and incentive compensation paid to personnel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 as part of the Tristar Business acquisition. As these costs appear to be normal,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recurring operating expenses per Question 100.01 of the Division of Corporation Finance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Compliance &amp; Disclosure Interpretations on Non-GAAP Financial Measures,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this non-GAAP adjustment.</w:t>
      </w:r>
    </w:p>
    <w:p>
      <w:pPr>
        <w:spacing w:after="0" w:line="37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numerous changes you have agreed to reflect in your next Form 10-K,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your planned revised non-GAAP disclosures, in particular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GAAP to non-GAAP reconciliations for fiscal years 2024, 2023 and 2022 you</w:t>
      </w:r>
    </w:p>
    <w:p>
      <w:pPr>
        <w:ind w:right="81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25,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 to include in that filing. To assist in our timely review, please provide amounts for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year-to-date period ended June 30, 2024 in the fiscal 2024 columns.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Dale Welcome at 202-551-3865 or Martin James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202-551-3671 if you</w:t>
      </w: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2024-11-20T23:14:16Z</dcterms:created>
  <dcterms:modified xsi:type="dcterms:W3CDTF">2024-11-20T23:14:16Z</dcterms:modified>
</cp:coreProperties>
</file>