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1186180</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r>
    </w:p>
    <w:p>
      <w:pPr>
        <w:spacing w:after="0" w:line="200" w:lineRule="exact"/>
        <w:rPr>
          <w:sz w:val="24"/>
          <w:szCs w:val="24"/>
          <w:color w:val="auto"/>
        </w:rPr>
      </w:pPr>
    </w:p>
    <w:p>
      <w:pPr>
        <w:spacing w:after="0" w:line="27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66"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FORM SD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173990</wp:posOffset>
            </wp:positionV>
            <wp:extent cx="711517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18"/>
          <w:szCs w:val="18"/>
          <w:b w:val="1"/>
          <w:bCs w:val="1"/>
          <w:color w:val="auto"/>
        </w:rPr>
        <w:t>SPECIALIZED DISCLOSURE REPORT</w:t>
      </w:r>
    </w:p>
    <w:p>
      <w:pPr>
        <w:spacing w:after="0" w:line="155" w:lineRule="exact"/>
        <w:rPr>
          <w:sz w:val="24"/>
          <w:szCs w:val="24"/>
          <w:color w:val="auto"/>
        </w:rPr>
      </w:pPr>
    </w:p>
    <w:p>
      <w:pPr>
        <w:jc w:val="center"/>
        <w:ind w:right="-519"/>
        <w:spacing w:after="0"/>
        <w:rPr>
          <w:sz w:val="20"/>
          <w:szCs w:val="20"/>
          <w:color w:val="auto"/>
        </w:rPr>
      </w:pPr>
      <w:r>
        <w:rPr>
          <w:rFonts w:ascii="Times New Roman" w:cs="Times New Roman" w:eastAsia="Times New Roman" w:hAnsi="Times New Roman"/>
          <w:sz w:val="43"/>
          <w:szCs w:val="43"/>
          <w:b w:val="1"/>
          <w:bCs w:val="1"/>
          <w:color w:val="auto"/>
        </w:rPr>
        <w:t>SPECTRUM BRANDS HOLDINGS, INC.</w:t>
      </w:r>
    </w:p>
    <w:p>
      <w:pPr>
        <w:spacing w:after="0" w:line="50" w:lineRule="exact"/>
        <w:rPr>
          <w:sz w:val="24"/>
          <w:szCs w:val="24"/>
          <w:color w:val="auto"/>
        </w:rPr>
      </w:pPr>
    </w:p>
    <w:p>
      <w:pPr>
        <w:ind w:left="4080"/>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ectPr>
          <w:pgSz w:w="11900" w:h="16838" w:orient="portrait"/>
          <w:cols w:equalWidth="0" w:num="1">
            <w:col w:w="10740"/>
          </w:cols>
          <w:pgMar w:left="320" w:top="1440" w:right="839" w:bottom="1440" w:gutter="0" w:footer="0" w:header="0"/>
        </w:sectPr>
      </w:pPr>
    </w:p>
    <w:p>
      <w:pPr>
        <w:spacing w:after="0" w:line="350" w:lineRule="exact"/>
        <w:rPr>
          <w:sz w:val="24"/>
          <w:szCs w:val="24"/>
          <w:color w:val="auto"/>
        </w:rPr>
      </w:pPr>
    </w:p>
    <w:p>
      <w:pPr>
        <w:ind w:left="1480"/>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jc w:val="center"/>
        <w:ind w:right="2280"/>
        <w:spacing w:after="0"/>
        <w:rPr>
          <w:sz w:val="20"/>
          <w:szCs w:val="20"/>
          <w:color w:val="auto"/>
        </w:rPr>
      </w:pPr>
      <w:r>
        <w:rPr>
          <w:rFonts w:ascii="Times New Roman" w:cs="Times New Roman" w:eastAsia="Times New Roman" w:hAnsi="Times New Roman"/>
          <w:sz w:val="17"/>
          <w:szCs w:val="17"/>
          <w:b w:val="1"/>
          <w:bCs w:val="1"/>
          <w:color w:val="auto"/>
        </w:rPr>
        <w:t>001-4219</w:t>
      </w:r>
    </w:p>
    <w:p>
      <w:pPr>
        <w:spacing w:after="0" w:line="20" w:lineRule="exact"/>
        <w:rPr>
          <w:sz w:val="24"/>
          <w:szCs w:val="24"/>
          <w:color w:val="auto"/>
        </w:rPr>
      </w:pPr>
      <w:r>
        <w:rPr>
          <w:sz w:val="24"/>
          <w:szCs w:val="24"/>
          <w:color w:val="auto"/>
        </w:rPr>
        <w:br w:type="column"/>
      </w:r>
    </w:p>
    <w:p>
      <w:pPr>
        <w:spacing w:after="0" w:line="33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74-1339132</w:t>
      </w:r>
    </w:p>
    <w:p>
      <w:pPr>
        <w:spacing w:after="0" w:line="43" w:lineRule="exact"/>
        <w:rPr>
          <w:sz w:val="24"/>
          <w:szCs w:val="24"/>
          <w:color w:val="auto"/>
        </w:rPr>
      </w:pPr>
    </w:p>
    <w:p>
      <w:pPr>
        <w:sectPr>
          <w:pgSz w:w="11900" w:h="16838" w:orient="portrait"/>
          <w:cols w:equalWidth="0" w:num="3">
            <w:col w:w="4540" w:space="720"/>
            <w:col w:w="2960" w:space="720"/>
            <w:col w:w="1800"/>
          </w:cols>
          <w:pgMar w:left="320" w:top="1440" w:right="839" w:bottom="1440" w:gutter="0" w:footer="0" w:header="0"/>
          <w:type w:val="continuous"/>
        </w:sectPr>
      </w:pPr>
    </w:p>
    <w:p>
      <w:pPr>
        <w:ind w:left="580"/>
        <w:spacing w:after="0"/>
        <w:rPr>
          <w:sz w:val="20"/>
          <w:szCs w:val="20"/>
          <w:color w:val="auto"/>
        </w:rPr>
      </w:pPr>
      <w:r>
        <w:rPr>
          <w:rFonts w:ascii="Times New Roman" w:cs="Times New Roman" w:eastAsia="Times New Roman" w:hAnsi="Times New Roman"/>
          <w:sz w:val="14"/>
          <w:szCs w:val="14"/>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color w:val="auto"/>
        </w:rPr>
        <w:t>(I.R.S. Employer Identification No.)</w:t>
      </w:r>
    </w:p>
    <w:p>
      <w:pPr>
        <w:spacing w:after="0" w:line="200" w:lineRule="exact"/>
        <w:rPr>
          <w:sz w:val="24"/>
          <w:szCs w:val="24"/>
          <w:color w:val="auto"/>
        </w:rPr>
      </w:pPr>
    </w:p>
    <w:p>
      <w:pPr>
        <w:sectPr>
          <w:pgSz w:w="11900" w:h="16838" w:orient="portrait"/>
          <w:cols w:equalWidth="0" w:num="3">
            <w:col w:w="4080" w:space="720"/>
            <w:col w:w="2800" w:space="720"/>
            <w:col w:w="2420"/>
          </w:cols>
          <w:pgMar w:left="320" w:top="1440" w:right="839" w:bottom="1440" w:gutter="0" w:footer="0" w:header="0"/>
          <w:type w:val="continuous"/>
        </w:sectPr>
      </w:pPr>
    </w:p>
    <w:p>
      <w:pPr>
        <w:spacing w:after="0" w:line="76"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3001 Deming Way</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Middleton, Wisconsin 53562</w:t>
      </w:r>
    </w:p>
    <w:p>
      <w:pPr>
        <w:spacing w:after="0" w:line="2" w:lineRule="exact"/>
        <w:rPr>
          <w:sz w:val="24"/>
          <w:szCs w:val="24"/>
          <w:color w:val="auto"/>
        </w:rPr>
      </w:pPr>
    </w:p>
    <w:p>
      <w:pPr>
        <w:ind w:left="4480"/>
        <w:spacing w:after="0"/>
        <w:rPr>
          <w:sz w:val="20"/>
          <w:szCs w:val="20"/>
          <w:color w:val="auto"/>
        </w:rPr>
      </w:pPr>
      <w:r>
        <w:rPr>
          <w:rFonts w:ascii="Times New Roman" w:cs="Times New Roman" w:eastAsia="Times New Roman" w:hAnsi="Times New Roman"/>
          <w:sz w:val="14"/>
          <w:szCs w:val="14"/>
          <w:color w:val="auto"/>
        </w:rPr>
        <w:t>(Address of principal executive offices)</w:t>
      </w:r>
    </w:p>
    <w:p>
      <w:pPr>
        <w:spacing w:after="0" w:line="242"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(608) 275-3340</w:t>
      </w:r>
    </w:p>
    <w:p>
      <w:pPr>
        <w:spacing w:after="0" w:line="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ectPr>
          <w:pgSz w:w="11900" w:h="16838" w:orient="portrait"/>
          <w:cols w:equalWidth="0" w:num="1">
            <w:col w:w="10740"/>
          </w:cols>
          <w:pgMar w:left="320" w:top="1440" w:right="839" w:bottom="1440" w:gutter="0" w:footer="0" w:header="0"/>
          <w:type w:val="continuous"/>
        </w:sectPr>
      </w:pPr>
    </w:p>
    <w:p>
      <w:pPr>
        <w:spacing w:after="0" w:line="228"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Ehsan Zargar</w:t>
      </w:r>
    </w:p>
    <w:p>
      <w:pPr>
        <w:spacing w:after="0" w:line="31"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Executive Vice President</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General Counsel and Corporate Secretary</w:t>
      </w:r>
    </w:p>
    <w:p>
      <w:pPr>
        <w:spacing w:after="0" w:line="9" w:lineRule="exact"/>
        <w:rPr>
          <w:sz w:val="24"/>
          <w:szCs w:val="24"/>
          <w:color w:val="auto"/>
        </w:rPr>
      </w:pPr>
    </w:p>
    <w:p>
      <w:pPr>
        <w:jc w:val="center"/>
        <w:ind w:right="-499"/>
        <w:spacing w:after="0"/>
        <w:rPr>
          <w:sz w:val="20"/>
          <w:szCs w:val="20"/>
          <w:color w:val="auto"/>
        </w:rPr>
      </w:pPr>
      <w:r>
        <w:rPr>
          <w:rFonts w:ascii="Times New Roman" w:cs="Times New Roman" w:eastAsia="Times New Roman" w:hAnsi="Times New Roman"/>
          <w:sz w:val="18"/>
          <w:szCs w:val="18"/>
          <w:b w:val="1"/>
          <w:bCs w:val="1"/>
          <w:color w:val="auto"/>
        </w:rPr>
        <w:t>(608) 275-4924</w:t>
      </w:r>
    </w:p>
    <w:p>
      <w:pPr>
        <w:spacing w:after="0" w:line="2" w:lineRule="exact"/>
        <w:rPr>
          <w:sz w:val="24"/>
          <w:szCs w:val="24"/>
          <w:color w:val="auto"/>
        </w:rPr>
      </w:pPr>
    </w:p>
    <w:p>
      <w:pPr>
        <w:ind w:left="2580"/>
        <w:spacing w:after="0"/>
        <w:rPr>
          <w:sz w:val="20"/>
          <w:szCs w:val="20"/>
          <w:color w:val="auto"/>
        </w:rPr>
      </w:pPr>
      <w:r>
        <w:rPr>
          <w:rFonts w:ascii="Times New Roman" w:cs="Times New Roman" w:eastAsia="Times New Roman" w:hAnsi="Times New Roman"/>
          <w:sz w:val="14"/>
          <w:szCs w:val="14"/>
          <w:color w:val="auto"/>
        </w:rPr>
        <w:t>(Name and telephone number, including area code, of the person to contact in connection with this report)</w:t>
      </w:r>
    </w:p>
    <w:p>
      <w:pPr>
        <w:spacing w:after="0" w:line="200" w:lineRule="exact"/>
        <w:rPr>
          <w:sz w:val="24"/>
          <w:szCs w:val="24"/>
          <w:color w:val="auto"/>
        </w:rPr>
      </w:pPr>
    </w:p>
    <w:p>
      <w:pPr>
        <w:spacing w:after="0" w:line="37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148" w:lineRule="exact"/>
        <w:rPr>
          <w:sz w:val="24"/>
          <w:szCs w:val="24"/>
          <w:color w:val="auto"/>
        </w:rPr>
      </w:pPr>
    </w:p>
    <w:p>
      <w:pPr>
        <w:ind w:left="300" w:right="580" w:hanging="2"/>
        <w:spacing w:after="0" w:line="246" w:lineRule="exact"/>
        <w:tabs>
          <w:tab w:leader="none" w:pos="77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 xml:space="preserve">Rule 13p-1 under the Securities Exchange Act (17 CFR 240.13p-1) for the reporting period from January 1 to December 31, 2025.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Rule 13q-1 under the Securities Exchange Act (17 CFR 240.13q-1) for the fiscal year ended September 30, 2024.</w:t>
      </w:r>
    </w:p>
    <w:p>
      <w:pPr>
        <w:sectPr>
          <w:pgSz w:w="11900" w:h="16838" w:orient="portrait"/>
          <w:cols w:equalWidth="0" w:num="1">
            <w:col w:w="10740"/>
          </w:cols>
          <w:pgMar w:left="320" w:top="1440" w:right="839" w:bottom="1440" w:gutter="0" w:footer="0" w:header="0"/>
          <w:type w:val="continuous"/>
        </w:sectPr>
      </w:pPr>
    </w:p>
    <w:bookmarkStart w:id="1" w:name="page2"/>
    <w:bookmarkEnd w:id="1"/>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1 - Conflict Minerals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contemplated by Rule 13p-1 under the Securities Exchange Act of 1934, as amended, and Form SD, a Conflict Minerals Report for the reporting period from January 1 to December 31, 2025 is provided as an Exhibit to this Form SD and is available on our website at https://spectrumbrands.com/about-us/our-company/global-sustainability-statement.html.</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website is not incorporated by reference and should not be considered part of this Form SD or our Conflict Minerals Report.</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Conflict Minerals Report described in Item 1.01 is filed as Exhibit 1.01 to this Form SD.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 Resource Extraction Issuer Disclosure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Resource Extraction Issuer Disclosure and Report.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 Exhibits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 is filed as part of this report:</w:t>
      </w:r>
    </w:p>
    <w:p>
      <w:pPr>
        <w:spacing w:after="0" w:line="198"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5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w:t>
            </w:r>
          </w:p>
        </w:tc>
      </w:tr>
      <w:tr>
        <w:trPr>
          <w:trHeight w:val="20"/>
        </w:trPr>
        <w:tc>
          <w:tcPr>
            <w:tcW w:w="88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r>
      <w:tr>
        <w:trPr>
          <w:trHeight w:val="209"/>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760" w:type="dxa"/>
            <w:vAlign w:val="bottom"/>
          </w:tcPr>
          <w:p>
            <w:pPr>
              <w:spacing w:after="0"/>
              <w:rPr>
                <w:sz w:val="18"/>
                <w:szCs w:val="18"/>
                <w:color w:val="auto"/>
              </w:rPr>
            </w:pPr>
          </w:p>
        </w:tc>
        <w:tc>
          <w:tcPr>
            <w:tcW w:w="510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9"/>
              </w:rPr>
              <w:t>Conflict Minerals Report pursuant to Items 1.01 and 1.02 of this Form.</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440" w:right="339" w:bottom="1440" w:gutter="0" w:footer="0" w:header="0"/>
        </w:sectPr>
      </w:pPr>
    </w:p>
    <w:bookmarkStart w:id="2" w:name="page3"/>
    <w:bookmarkEnd w:id="2"/>
    <w:p>
      <w:pPr>
        <w:spacing w:after="0" w:line="13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4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Date: May 29, 2026</w:t>
      </w:r>
    </w:p>
    <w:p>
      <w:pPr>
        <w:spacing w:after="0" w:line="27"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b w:val="1"/>
          <w:bCs w:val="1"/>
          <w:color w:val="auto"/>
        </w:rPr>
        <w:t>SPECTRUM BRANDS HOLDINGS, INC.</w:t>
      </w:r>
    </w:p>
    <w:p>
      <w:pPr>
        <w:spacing w:after="0" w:line="274" w:lineRule="exact"/>
        <w:rPr>
          <w:sz w:val="20"/>
          <w:szCs w:val="20"/>
          <w:color w:val="auto"/>
        </w:rPr>
      </w:pPr>
    </w:p>
    <w:p>
      <w:pPr>
        <w:ind w:left="5180"/>
        <w:spacing w:after="0"/>
        <w:tabs>
          <w:tab w:leader="none" w:pos="574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Ehsan Zargar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17145</wp:posOffset>
            </wp:positionV>
            <wp:extent cx="34975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497580" cy="8255"/>
                    </a:xfrm>
                    <a:prstGeom prst="rect">
                      <a:avLst/>
                    </a:prstGeom>
                    <a:noFill/>
                  </pic:spPr>
                </pic:pic>
              </a:graphicData>
            </a:graphic>
          </wp:anchor>
        </w:drawing>
      </w:r>
    </w:p>
    <w:p>
      <w:pPr>
        <w:spacing w:after="0" w:line="16"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Name: Ehsan Zargar</w:t>
      </w:r>
    </w:p>
    <w:p>
      <w:pPr>
        <w:spacing w:after="0" w:line="27"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color w:val="auto"/>
        </w:rPr>
        <w:t>Title: Executive Vice President, General Counsel and Corporate 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00"/>
          </w:cols>
          <w:pgMar w:left="320" w:top="1440" w:right="379" w:bottom="1440" w:gutter="0" w:footer="0" w:header="0"/>
        </w:sectPr>
      </w:pPr>
    </w:p>
    <w:bookmarkStart w:id="3" w:name="page4"/>
    <w:bookmarkEnd w:id="3"/>
    <w:p>
      <w:pPr>
        <w:spacing w:after="0" w:line="136" w:lineRule="exact"/>
        <w:rPr>
          <w:sz w:val="20"/>
          <w:szCs w:val="20"/>
          <w:color w:val="auto"/>
        </w:rPr>
      </w:pPr>
    </w:p>
    <w:p>
      <w:pPr>
        <w:ind w:left="101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Conflict Minerals Report</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is the Conflict Minerals Report of Spectrum Brands Holdings, Inc. and its consolidated subsidiaries, including SB/RH Holdings, LLC and its consolidated subsidiaries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Spectrum Brands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we</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u w:val="single" w:color="auto"/>
          <w:color w:val="auto"/>
        </w:rPr>
        <w:t>us</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our</w:t>
      </w:r>
      <w:r>
        <w:rPr>
          <w:rFonts w:ascii="Times New Roman" w:cs="Times New Roman" w:eastAsia="Times New Roman" w:hAnsi="Times New Roman"/>
          <w:sz w:val="18"/>
          <w:szCs w:val="18"/>
          <w:color w:val="auto"/>
        </w:rPr>
        <w:t>”), for January 1, 2025 through December 31, 2025 (“</w:t>
      </w:r>
      <w:r>
        <w:rPr>
          <w:rFonts w:ascii="Times New Roman" w:cs="Times New Roman" w:eastAsia="Times New Roman" w:hAnsi="Times New Roman"/>
          <w:sz w:val="18"/>
          <w:szCs w:val="18"/>
          <w:u w:val="single" w:color="auto"/>
          <w:color w:val="auto"/>
        </w:rPr>
        <w:t>Calendar Year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2025</w:t>
      </w:r>
      <w:r>
        <w:rPr>
          <w:rFonts w:ascii="Times New Roman" w:cs="Times New Roman" w:eastAsia="Times New Roman" w:hAnsi="Times New Roman"/>
          <w:sz w:val="18"/>
          <w:szCs w:val="18"/>
          <w:color w:val="auto"/>
        </w:rPr>
        <w:t>”) in accordance with Rule 13p-1 (“</w:t>
      </w:r>
      <w:r>
        <w:rPr>
          <w:rFonts w:ascii="Times New Roman" w:cs="Times New Roman" w:eastAsia="Times New Roman" w:hAnsi="Times New Roman"/>
          <w:sz w:val="18"/>
          <w:szCs w:val="18"/>
          <w:u w:val="single" w:color="auto"/>
          <w:color w:val="auto"/>
        </w:rPr>
        <w:t>Rule 13p-1</w:t>
      </w:r>
      <w:r>
        <w:rPr>
          <w:rFonts w:ascii="Times New Roman" w:cs="Times New Roman" w:eastAsia="Times New Roman" w:hAnsi="Times New Roman"/>
          <w:sz w:val="18"/>
          <w:szCs w:val="18"/>
          <w:color w:val="auto"/>
        </w:rPr>
        <w:t>”) under the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As used herein, “Conflict Minerals” or “3TG” is defined as, consistent with the Conflict Minerals Rule, cassiterite, columbite-tantalite (coltan), gold, wolframite and the derivatives tin, tantalum and tungsten. Please refer to Rule 13p-1, Form SD and Exchange Act Release No. 34-67716 for definitions of the other terms used in this Report, unless otherwise defined herein.</w:t>
      </w:r>
    </w:p>
    <w:p>
      <w:pPr>
        <w:spacing w:after="0" w:line="1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7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This Conflict Minerals Report contains “forward-looking statements” within the meaning of the Private Securities Litigation Reform Act of 1995. These statements relate to, among other things, our future plans, goals, and expectations regarding our due diligence efforts and transparency in our supply chain. Forward-looking statements can generally be identified by words such as “expects,” “anticipates,” “plans,” “projects,” “intends,” “believes,” and “will.” Such statements are based on current assumptions and expectations of future events and are not guarantees of future performance. They involve substantial known and unknown risks and uncertainties that could cause actual results to differ materially from those in the forward-looking statements. These risks include but are not limited to, incomplete or unavailable supplier, smelter or refiner data; errors, omissions, or fraud by suppliers, smelters or refiners; changing regulatory requirements or guidance and other issues. You should not place undue reliance on these statements, which speak only as of the date of this report. For more information on risks that may affect our business, please refer to the section titled “Risk Factors” in our most recent Annual Report on Form 10-K and our other filings with the Securities and Exchange Commission (“SEC”). Except as required by law, we undertake no obligation to update or revise any forward-looking statement to reflect new information or future events.</w:t>
      </w:r>
    </w:p>
    <w:p>
      <w:pPr>
        <w:spacing w:after="0" w:line="13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Applying the Dodd-Frank Act to Spectrum Brands Holdings, Inc.</w:t>
      </w:r>
    </w:p>
    <w:p>
      <w:pPr>
        <w:spacing w:after="0" w:line="17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SEC’s conflict minerals rule requires a three-step compliance approach. The first step is determining applicability of the conflict minerals rule to us; the second step is a reasonable country of origin inquiry (“</w:t>
      </w:r>
      <w:r>
        <w:rPr>
          <w:rFonts w:ascii="Times New Roman" w:cs="Times New Roman" w:eastAsia="Times New Roman" w:hAnsi="Times New Roman"/>
          <w:sz w:val="18"/>
          <w:szCs w:val="18"/>
          <w:u w:val="single" w:color="auto"/>
          <w:color w:val="auto"/>
        </w:rPr>
        <w:t>RCOI</w:t>
      </w:r>
      <w:r>
        <w:rPr>
          <w:rFonts w:ascii="Times New Roman" w:cs="Times New Roman" w:eastAsia="Times New Roman" w:hAnsi="Times New Roman"/>
          <w:sz w:val="18"/>
          <w:szCs w:val="18"/>
          <w:color w:val="auto"/>
        </w:rPr>
        <w:t>”) to determine whether we have reason to believe that conflict minerals from the Democratic Republic of the Congo (the “</w:t>
      </w:r>
      <w:r>
        <w:rPr>
          <w:rFonts w:ascii="Times New Roman" w:cs="Times New Roman" w:eastAsia="Times New Roman" w:hAnsi="Times New Roman"/>
          <w:sz w:val="18"/>
          <w:szCs w:val="18"/>
          <w:u w:val="single" w:color="auto"/>
          <w:color w:val="auto"/>
        </w:rPr>
        <w:t>DRC</w:t>
      </w:r>
      <w:r>
        <w:rPr>
          <w:rFonts w:ascii="Times New Roman" w:cs="Times New Roman" w:eastAsia="Times New Roman" w:hAnsi="Times New Roman"/>
          <w:sz w:val="18"/>
          <w:szCs w:val="18"/>
          <w:color w:val="auto"/>
        </w:rPr>
        <w:t>”) or adjoining countries (collectively, the “</w:t>
      </w:r>
      <w:r>
        <w:rPr>
          <w:rFonts w:ascii="Times New Roman" w:cs="Times New Roman" w:eastAsia="Times New Roman" w:hAnsi="Times New Roman"/>
          <w:sz w:val="18"/>
          <w:szCs w:val="18"/>
          <w:u w:val="single" w:color="auto"/>
          <w:color w:val="auto"/>
        </w:rPr>
        <w:t>Covered Countries</w:t>
      </w:r>
      <w:r>
        <w:rPr>
          <w:rFonts w:ascii="Times New Roman" w:cs="Times New Roman" w:eastAsia="Times New Roman" w:hAnsi="Times New Roman"/>
          <w:sz w:val="18"/>
          <w:szCs w:val="18"/>
          <w:color w:val="auto"/>
        </w:rPr>
        <w:t>”) that are necessary to the functionality or production of products manufactured by us, or contracted to be manufactured by us, are present in our products; and the third step (referred to as “due diligence” in the SEC rule) is to determine the source and origin of any such conflict minerals and the facilities in which they were processed.</w:t>
      </w:r>
    </w:p>
    <w:p>
      <w:pPr>
        <w:spacing w:after="0" w:line="1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As a downstream company, we are several tiers removed from mining operations and smelters or refiners (“</w:t>
      </w:r>
      <w:r>
        <w:rPr>
          <w:rFonts w:ascii="Times New Roman" w:cs="Times New Roman" w:eastAsia="Times New Roman" w:hAnsi="Times New Roman"/>
          <w:sz w:val="18"/>
          <w:szCs w:val="18"/>
          <w:u w:val="single" w:color="auto"/>
          <w:color w:val="auto"/>
        </w:rPr>
        <w:t>SORs</w:t>
      </w:r>
      <w:r>
        <w:rPr>
          <w:rFonts w:ascii="Times New Roman" w:cs="Times New Roman" w:eastAsia="Times New Roman" w:hAnsi="Times New Roman"/>
          <w:sz w:val="18"/>
          <w:szCs w:val="18"/>
          <w:color w:val="auto"/>
        </w:rPr>
        <w:t>”) in dealing with its direct suppliers. Therefore, we must rely on our direct suppliers, who must in turn rely on their suppliers, to gather and report information about the source and chain of custody of Conflict Minerals, if any, in the products they supply to us. For Calendar Year 2025, we hired a third-party provider to assist us in performing the RCOI and Conflict Minerals supply chain due diligence (the “</w:t>
      </w:r>
      <w:r>
        <w:rPr>
          <w:rFonts w:ascii="Times New Roman" w:cs="Times New Roman" w:eastAsia="Times New Roman" w:hAnsi="Times New Roman"/>
          <w:sz w:val="18"/>
          <w:szCs w:val="18"/>
          <w:u w:val="single" w:color="auto"/>
          <w:color w:val="auto"/>
        </w:rPr>
        <w:t>Provider</w:t>
      </w:r>
      <w:r>
        <w:rPr>
          <w:rFonts w:ascii="Times New Roman" w:cs="Times New Roman" w:eastAsia="Times New Roman" w:hAnsi="Times New Roman"/>
          <w:sz w:val="18"/>
          <w:szCs w:val="18"/>
          <w:color w:val="auto"/>
        </w:rPr>
        <w:t>”). Engaging the Provider combined with our supply chain due diligence processes and focusing on accountability within the supply chain by using the industry standard Responsible Minerals Initiative’s (“</w:t>
      </w:r>
      <w:r>
        <w:rPr>
          <w:rFonts w:ascii="Times New Roman" w:cs="Times New Roman" w:eastAsia="Times New Roman" w:hAnsi="Times New Roman"/>
          <w:sz w:val="18"/>
          <w:szCs w:val="18"/>
          <w:u w:val="single" w:color="auto"/>
          <w:color w:val="auto"/>
        </w:rPr>
        <w:t>RMI</w:t>
      </w:r>
      <w:r>
        <w:rPr>
          <w:rFonts w:ascii="Times New Roman" w:cs="Times New Roman" w:eastAsia="Times New Roman" w:hAnsi="Times New Roman"/>
          <w:sz w:val="18"/>
          <w:szCs w:val="18"/>
          <w:color w:val="auto"/>
        </w:rPr>
        <w:t>”) Conflict Minerals Reporting Template (“</w:t>
      </w:r>
      <w:r>
        <w:rPr>
          <w:rFonts w:ascii="Times New Roman" w:cs="Times New Roman" w:eastAsia="Times New Roman" w:hAnsi="Times New Roman"/>
          <w:sz w:val="18"/>
          <w:szCs w:val="18"/>
          <w:u w:val="single" w:color="auto"/>
          <w:color w:val="auto"/>
        </w:rPr>
        <w:t>CMRT</w:t>
      </w:r>
      <w:r>
        <w:rPr>
          <w:rFonts w:ascii="Times New Roman" w:cs="Times New Roman" w:eastAsia="Times New Roman" w:hAnsi="Times New Roman"/>
          <w:sz w:val="18"/>
          <w:szCs w:val="18"/>
          <w:color w:val="auto"/>
        </w:rPr>
        <w:t>”) and reaching out to our suppliers, we seek to gain greater transparency in our supply chain. Certain of the activities described below were performed by the Provider on our behalf.</w:t>
      </w:r>
    </w:p>
    <w:p>
      <w:pPr>
        <w:spacing w:after="0" w:line="13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Products Potentially Subject to Due Diligence</w:t>
      </w:r>
    </w:p>
    <w:p>
      <w:pPr>
        <w:spacing w:after="0" w:line="17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an initial matter, we considered whether Conflict Minerals were necessary for the production or functionality of our products. Our Steering Committee reviewed the products manufactured or contracted to be manufactured by us to determine which products might contain Conflict Minerals necessary to the products’</w:t>
      </w:r>
    </w:p>
    <w:p>
      <w:pPr>
        <w:sectPr>
          <w:pgSz w:w="11900" w:h="16838" w:orient="portrait"/>
          <w:cols w:equalWidth="0" w:num="1">
            <w:col w:w="11240"/>
          </w:cols>
          <w:pgMar w:left="320" w:top="1440" w:right="339" w:bottom="1440" w:gutter="0" w:footer="0" w:header="0"/>
        </w:sectPr>
      </w:pPr>
    </w:p>
    <w:bookmarkStart w:id="4" w:name="page5"/>
    <w:bookmarkEnd w:id="4"/>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functionality or production. The Steering Committee conducted this review at a product level. The list of such products is contained in </w:t>
      </w:r>
      <w:r>
        <w:rPr>
          <w:rFonts w:ascii="Times New Roman" w:cs="Times New Roman" w:eastAsia="Times New Roman" w:hAnsi="Times New Roman"/>
          <w:sz w:val="18"/>
          <w:szCs w:val="18"/>
          <w:u w:val="single" w:color="auto"/>
          <w:color w:val="auto"/>
        </w:rPr>
        <w:t>Attachment A</w:t>
      </w:r>
      <w:r>
        <w:rPr>
          <w:rFonts w:ascii="Times New Roman" w:cs="Times New Roman" w:eastAsia="Times New Roman" w:hAnsi="Times New Roman"/>
          <w:sz w:val="18"/>
          <w:szCs w:val="18"/>
          <w:color w:val="auto"/>
        </w:rPr>
        <w:t xml:space="preserve"> to this Conflict Minerals Report.</w:t>
      </w:r>
    </w:p>
    <w:p>
      <w:pPr>
        <w:spacing w:after="0" w:line="1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Reasonable Country of Origin Inquiry</w:t>
      </w:r>
    </w:p>
    <w:p>
      <w:pPr>
        <w:spacing w:after="0" w:line="17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then determined that 74 of our approximately 416 direct suppliers are “in-scope,” which means the suppliers we reasonably believed represented the highest risk of supplying us with products or components that do or may contain Conflict Minerals from the Covered Countries for Calendar Year 2025. That is where we directed our good-faith efforts to determine the country of origin of Conflict Minerals in our supply chain. The RCOI was then conducted as follows:</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 We sent initial inquiries to the in-scope suppliers and instructed them to complete the CMRT and return it to us.</w:t>
      </w:r>
    </w:p>
    <w:p>
      <w:pPr>
        <w:spacing w:after="0" w:line="171"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b. The Provider engaged with our suppliers to collect information about the presence and sourcing of conflict minerals used in the products and components supplied to us in Calendar Year 2025. This adds more transparency to our supply chain, with the ultimate goal of identifying the related smelters or refiners and associated mine countries of origin.</w:t>
      </w:r>
    </w:p>
    <w:p>
      <w:pPr>
        <w:spacing w:after="0" w:line="122"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c. We or the Provider sent follow-up inquiries to any initially unresponsive suppliers and conducted follow-up inquiries with responsive suppliers for further information if initial CMRT responses were incomplete or unclear; all identified issues were addressed.</w:t>
      </w:r>
    </w:p>
    <w:p>
      <w:pPr>
        <w:spacing w:after="0" w:line="10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 The Provider evaluated the completed CMRTs for plausibility, consistency and gaps. Additional supplier contacts were conducted to attempt to resolve “quality control” flags, such as where: (a) SORs were not provided for a used metal, (b) the supplier listed one or more SORs for an unused metal,</w:t>
      </w:r>
    </w:p>
    <w:p>
      <w:pPr>
        <w:jc w:val="both"/>
        <w:ind w:firstLine="8"/>
        <w:spacing w:after="0" w:line="255" w:lineRule="auto"/>
        <w:tabs>
          <w:tab w:leader="none" w:pos="245"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supplier indicated that it had not identified all SORs for the in-scope products, (d) the supplier indicated it had not received conflict minerals data for each metal from all of its relevant suppliers, or (e) the supplier indicated that all of its conflict minerals were from recycled or scrap sources, but one or more of the SORs listed are not known to be exclusive recyclers.</w:t>
      </w:r>
    </w:p>
    <w:p>
      <w:pPr>
        <w:spacing w:after="0" w:line="131"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conclusion of the RCOI process, we had a 90% CMRT response rate from our in-scope suppliers.</w:t>
      </w:r>
    </w:p>
    <w:p>
      <w:pPr>
        <w:spacing w:after="0" w:line="16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Due Diligence Framework</w:t>
      </w:r>
    </w:p>
    <w:p>
      <w:pPr>
        <w:spacing w:after="0" w:line="17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conducting our due diligence, we implemented the Organisation for Economic Co-Operation and Development Due Diligence Guidance for Responsible Supply Chains of Minerals from Conflict-Affected and High-Risk Areas (the “</w:t>
      </w:r>
      <w:r>
        <w:rPr>
          <w:rFonts w:ascii="Times New Roman" w:cs="Times New Roman" w:eastAsia="Times New Roman" w:hAnsi="Times New Roman"/>
          <w:sz w:val="18"/>
          <w:szCs w:val="18"/>
          <w:u w:val="single" w:color="auto"/>
          <w:color w:val="auto"/>
        </w:rPr>
        <w:t>OECD Framework</w:t>
      </w:r>
      <w:r>
        <w:rPr>
          <w:rFonts w:ascii="Times New Roman" w:cs="Times New Roman" w:eastAsia="Times New Roman" w:hAnsi="Times New Roman"/>
          <w:sz w:val="18"/>
          <w:szCs w:val="18"/>
          <w:color w:val="auto"/>
        </w:rPr>
        <w:t>”), an internationally recognized due diligence framework, and related supplements for each of the Conflict Minerals. Accordingly, the steps taken by us in preparing this Conflict Minerals Report were in accordance with the OECD Framework. As such, we used the RMI’s CMRT versions 6.4 and 6.5, which includes standard supply chain survey and information tracking methods, as part of assessing our supply chain’s adherence to due diligence measures stated by the OECD Framework. These methods and actions include, but are not limited to:</w:t>
      </w:r>
    </w:p>
    <w:p>
      <w:pPr>
        <w:spacing w:after="0" w:line="133" w:lineRule="exact"/>
        <w:rPr>
          <w:sz w:val="20"/>
          <w:szCs w:val="20"/>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Standard follow-up emails sent to all suppliers on a monthly basis over a three-month period;</w:t>
      </w:r>
    </w:p>
    <w:p>
      <w:pPr>
        <w:spacing w:after="0" w:line="27"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Automatic enrollment of non-responsive suppliers in the Provider’s CMRT training webinar;</w:t>
      </w:r>
    </w:p>
    <w:p>
      <w:pPr>
        <w:spacing w:after="0" w:line="9"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targeted follow-up emails to suppliers, supplemented by phone outreach;</w:t>
      </w:r>
    </w:p>
    <w:p>
      <w:pPr>
        <w:spacing w:after="0" w:line="9" w:lineRule="exact"/>
        <w:rPr>
          <w:rFonts w:ascii="Times New Roman" w:cs="Times New Roman" w:eastAsia="Times New Roman" w:hAnsi="Times New Roman"/>
          <w:sz w:val="18"/>
          <w:szCs w:val="18"/>
          <w:color w:val="auto"/>
        </w:rPr>
      </w:pPr>
    </w:p>
    <w:p>
      <w:pPr>
        <w:ind w:left="1300" w:hanging="320"/>
        <w:spacing w:after="0" w:line="250" w:lineRule="auto"/>
        <w:tabs>
          <w:tab w:leader="none" w:pos="129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Follow-up emails issued by the supplier’s Spectrum Brands contact, with our Director of Sourcing and the Environmental Sustainability &amp; Product Regulatory Specialist copied; and</w:t>
      </w:r>
    </w:p>
    <w:p>
      <w:pPr>
        <w:ind w:left="1300" w:hanging="320"/>
        <w:spacing w:after="0"/>
        <w:tabs>
          <w:tab w:leader="none" w:pos="13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escalation emails sent three weeks apart, notifying suppliers that their CMRT submission is past due.</w:t>
      </w:r>
    </w:p>
    <w:p>
      <w:pPr>
        <w:spacing w:after="0" w:line="14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Due Diligence Steps Performed</w:t>
      </w:r>
    </w:p>
    <w:p>
      <w:pPr>
        <w:spacing w:after="0" w:line="175" w:lineRule="exact"/>
        <w:rPr>
          <w:sz w:val="20"/>
          <w:szCs w:val="20"/>
          <w:color w:val="auto"/>
        </w:rPr>
      </w:pPr>
    </w:p>
    <w:p>
      <w:pPr>
        <w:ind w:left="180" w:hanging="172"/>
        <w:spacing w:after="0"/>
        <w:tabs>
          <w:tab w:leader="none" w:pos="1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Steps Taken to Establish Strong Company Management Systems</w:t>
      </w:r>
    </w:p>
    <w:p>
      <w:pPr>
        <w:spacing w:after="0" w:line="171" w:lineRule="exact"/>
        <w:rPr>
          <w:rFonts w:ascii="Times New Roman" w:cs="Times New Roman" w:eastAsia="Times New Roman" w:hAnsi="Times New Roman"/>
          <w:sz w:val="18"/>
          <w:szCs w:val="18"/>
          <w:color w:val="auto"/>
        </w:rPr>
      </w:pPr>
    </w:p>
    <w:p>
      <w:pPr>
        <w:ind w:firstLine="648"/>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We educate our employees and disseminate Conflict Minerals information and updates internally through our Steering Committee, which implements and manages our Conflict Minerals compliance program. We also</w:t>
      </w:r>
    </w:p>
    <w:p>
      <w:pPr>
        <w:sectPr>
          <w:pgSz w:w="11900" w:h="16838" w:orient="portrait"/>
          <w:cols w:equalWidth="0" w:num="1">
            <w:col w:w="11240"/>
          </w:cols>
          <w:pgMar w:left="320" w:top="1440" w:right="339" w:bottom="1440" w:gutter="0" w:footer="0" w:header="0"/>
        </w:sectPr>
      </w:pPr>
    </w:p>
    <w:bookmarkStart w:id="5" w:name="page6"/>
    <w:bookmarkEnd w:id="5"/>
    <w:p>
      <w:pPr>
        <w:spacing w:after="0" w:line="14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disseminate Conflict Minerals information and updates externally through sourcing leads, supply chains, and sales forces. During Calendar Year 2025, we opted into the Smelters Outreach Initiative, which is coordinated by RMI to encourage and facilitate contact with SORs.</w:t>
      </w:r>
    </w:p>
    <w:p>
      <w:pPr>
        <w:spacing w:after="0" w:line="10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b. We are committed to sourcing components and materials from suppliers that share our values about human rights, ethics and environmental responsibility. Our employees are expected to comply with, and the Steering Committee is responsible for enforcing, our Policy Regarding Conflict Minerals (the “</w:t>
      </w:r>
      <w:r>
        <w:rPr>
          <w:rFonts w:ascii="Times New Roman" w:cs="Times New Roman" w:eastAsia="Times New Roman" w:hAnsi="Times New Roman"/>
          <w:sz w:val="18"/>
          <w:szCs w:val="18"/>
          <w:u w:val="single" w:color="auto"/>
          <w:color w:val="auto"/>
        </w:rPr>
        <w:t>Conflict Minerals Policy</w:t>
      </w:r>
      <w:r>
        <w:rPr>
          <w:rFonts w:ascii="Times New Roman" w:cs="Times New Roman" w:eastAsia="Times New Roman" w:hAnsi="Times New Roman"/>
          <w:sz w:val="18"/>
          <w:szCs w:val="18"/>
          <w:color w:val="auto"/>
        </w:rPr>
        <w:t>”), which is available on our website at https://spectrumbrands.com/about-us/our-company/corporate-compliance/conflict-minerals.html. As required by our Conflict Minerals Policy, our suppliers are required to sign our Supplier Code of Conduct, which includes requirements relating to Conflict Minerals and responsible sourcing. A copy of our Supplier Code of Conduct can be found at https://www.spectrumbrands.com/about-us/suppliers/supplier-code-of-conduct.html.</w:t>
      </w:r>
    </w:p>
    <w:p>
      <w:pPr>
        <w:spacing w:after="0" w:line="1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 We maintain a grievance mechanism, including, among other items, an anonymous, 24-hour helpline and reporting system (1-866-384-4277; https://secure.ethicspoint.com/domain/media/en/gui/7424/index.html, to enable any individual to report grievances related to Conflict Minerals and other supply chain matters.</w:t>
      </w:r>
    </w:p>
    <w:p>
      <w:pPr>
        <w:spacing w:after="0" w:line="12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d. We retain Conflict Minerals program documentation in accordance with our record retention policies.</w:t>
      </w:r>
    </w:p>
    <w:p>
      <w:pPr>
        <w:spacing w:after="0" w:line="171" w:lineRule="exact"/>
        <w:rPr>
          <w:sz w:val="20"/>
          <w:szCs w:val="20"/>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Steps Taken to Identify Risks in the Supply Chain and Strategies to Respond to Identified Risks</w:t>
      </w:r>
      <w:r>
        <w:rPr>
          <w:rFonts w:ascii="Times New Roman" w:cs="Times New Roman" w:eastAsia="Times New Roman" w:hAnsi="Times New Roman"/>
          <w:sz w:val="18"/>
          <w:szCs w:val="18"/>
          <w:color w:val="auto"/>
        </w:rPr>
        <w:t>.</w:t>
      </w:r>
    </w:p>
    <w:p>
      <w:pPr>
        <w:spacing w:after="0" w:line="171" w:lineRule="exact"/>
        <w:rPr>
          <w:rFonts w:ascii="Times New Roman" w:cs="Times New Roman" w:eastAsia="Times New Roman" w:hAnsi="Times New Roman"/>
          <w:sz w:val="18"/>
          <w:szCs w:val="18"/>
          <w:color w:val="auto"/>
        </w:rPr>
      </w:pPr>
    </w:p>
    <w:p>
      <w:pPr>
        <w:ind w:left="820" w:hanging="164"/>
        <w:spacing w:after="0"/>
        <w:tabs>
          <w:tab w:leader="none" w:pos="8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identified the products we manufactured or contracted to manufacture in Calendar Year 2025.</w:t>
      </w:r>
    </w:p>
    <w:p>
      <w:pPr>
        <w:spacing w:after="0" w:line="171" w:lineRule="exact"/>
        <w:rPr>
          <w:rFonts w:ascii="Times New Roman" w:cs="Times New Roman" w:eastAsia="Times New Roman" w:hAnsi="Times New Roman"/>
          <w:sz w:val="18"/>
          <w:szCs w:val="18"/>
          <w:color w:val="auto"/>
        </w:rPr>
      </w:pPr>
    </w:p>
    <w:p>
      <w:pPr>
        <w:jc w:val="both"/>
        <w:ind w:firstLine="656"/>
        <w:spacing w:after="0" w:line="261" w:lineRule="auto"/>
        <w:tabs>
          <w:tab w:leader="none" w:pos="843"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We identified 74 in-scope suppliers from whom we purchase components used in the production of those products, and which could contain conflict minerals were necessary for the functionality or production of such products and solicited information from such suppliers as part of our RCOI. The Provider compared the list of the SORs collected to the Provider’s SOR database, which incorporates information from the lists publicly published by the RMI. Attached hereto as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xml:space="preserve"> is a list of SORs identified by our suppliers with valid smelter certification identification numbers.</w:t>
      </w:r>
    </w:p>
    <w:p>
      <w:pPr>
        <w:spacing w:after="0" w:line="125" w:lineRule="exact"/>
        <w:rPr>
          <w:rFonts w:ascii="Times New Roman" w:cs="Times New Roman" w:eastAsia="Times New Roman" w:hAnsi="Times New Roman"/>
          <w:sz w:val="18"/>
          <w:szCs w:val="18"/>
          <w:color w:val="auto"/>
        </w:rPr>
      </w:pPr>
    </w:p>
    <w:p>
      <w:pPr>
        <w:jc w:val="both"/>
        <w:ind w:firstLine="656"/>
        <w:spacing w:after="0" w:line="261" w:lineRule="auto"/>
        <w:tabs>
          <w:tab w:leader="none" w:pos="85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performed, and continue to perform, risk mitigation efforts to bring suppliers into conformity with our Conflict Minerals Policy and contractual requirements. These efforts included working with direct suppliers to consider alternative sources of components or supplying components which contain conflict minerals from sources listed as “conformant” or the equivalent by independent third-party audit programs as sponsored by the RMI, London Bullion Market Association (the “</w:t>
      </w:r>
      <w:r>
        <w:rPr>
          <w:rFonts w:ascii="Times New Roman" w:cs="Times New Roman" w:eastAsia="Times New Roman" w:hAnsi="Times New Roman"/>
          <w:sz w:val="18"/>
          <w:szCs w:val="18"/>
          <w:u w:val="single" w:color="auto"/>
          <w:color w:val="auto"/>
        </w:rPr>
        <w:t>LBMA</w:t>
      </w:r>
      <w:r>
        <w:rPr>
          <w:rFonts w:ascii="Times New Roman" w:cs="Times New Roman" w:eastAsia="Times New Roman" w:hAnsi="Times New Roman"/>
          <w:sz w:val="18"/>
          <w:szCs w:val="18"/>
          <w:color w:val="auto"/>
        </w:rPr>
        <w:t>”) and Responsible Jewellery Council (the “</w:t>
      </w:r>
      <w:r>
        <w:rPr>
          <w:rFonts w:ascii="Times New Roman" w:cs="Times New Roman" w:eastAsia="Times New Roman" w:hAnsi="Times New Roman"/>
          <w:sz w:val="18"/>
          <w:szCs w:val="18"/>
          <w:u w:val="single" w:color="auto"/>
          <w:color w:val="auto"/>
        </w:rPr>
        <w:t>RJC</w:t>
      </w:r>
      <w:r>
        <w:rPr>
          <w:rFonts w:ascii="Times New Roman" w:cs="Times New Roman" w:eastAsia="Times New Roman" w:hAnsi="Times New Roman"/>
          <w:sz w:val="18"/>
          <w:szCs w:val="18"/>
          <w:color w:val="auto"/>
        </w:rPr>
        <w:t>”).</w:t>
      </w:r>
    </w:p>
    <w:p>
      <w:pPr>
        <w:spacing w:after="0" w:line="125" w:lineRule="exact"/>
        <w:rPr>
          <w:rFonts w:ascii="Times New Roman" w:cs="Times New Roman" w:eastAsia="Times New Roman" w:hAnsi="Times New Roman"/>
          <w:sz w:val="18"/>
          <w:szCs w:val="18"/>
          <w:color w:val="auto"/>
        </w:rPr>
      </w:pPr>
    </w:p>
    <w:p>
      <w:pPr>
        <w:ind w:left="180" w:hanging="172"/>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Carry Out Independent Third-Party Audit of Smelter/Refiner Due Diligence Practices</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use information publicly provided by the RMI, LBMA and RJC to confirm the existence and verify the OECD conformance status of SORs identified during due diligence. We are many steps removed from the mining of conflict minerals. We do not purchase raw ore or unrefined conflict minerals, and we do not conduct any purchasing activities directly in the Covered Countries.</w:t>
      </w:r>
    </w:p>
    <w:p>
      <w:pPr>
        <w:spacing w:after="0" w:line="122" w:lineRule="exact"/>
        <w:rPr>
          <w:sz w:val="20"/>
          <w:szCs w:val="20"/>
          <w:color w:val="auto"/>
        </w:rPr>
      </w:pPr>
    </w:p>
    <w:p>
      <w:pPr>
        <w:ind w:left="180" w:hanging="172"/>
        <w:spacing w:after="0"/>
        <w:tabs>
          <w:tab w:leader="none" w:pos="1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Mitigation Steps We Have Taken or Will Take Since the End of Calendar Year 2025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We undertook the following steps since the end of Calendar Year 2025 to mitigate the risk that our products may contain Conflict Minerals that benefit armed groups within the Covered Countries, including steps to improve our due diligence:</w:t>
      </w:r>
    </w:p>
    <w:p>
      <w:pPr>
        <w:spacing w:after="0" w:line="108"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a. Continued to enforce our Conflict Minerals Policy and disseminate the Supplier Code of Conduct to those suppliers who provide raw materials and components in our manufacturing operations and our contract manufacturers.</w:t>
      </w:r>
    </w:p>
    <w:p>
      <w:pPr>
        <w:spacing w:after="0" w:line="108"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b. Continued to enforce the process within our manufacturing operations/procurement function to notify new vendors of our Supplier Code of Conduct.</w:t>
      </w:r>
    </w:p>
    <w:p>
      <w:pPr>
        <w:sectPr>
          <w:pgSz w:w="11900" w:h="16838" w:orient="portrait"/>
          <w:cols w:equalWidth="0" w:num="1">
            <w:col w:w="11240"/>
          </w:cols>
          <w:pgMar w:left="320" w:top="1440" w:right="339" w:bottom="1440" w:gutter="0" w:footer="0" w:header="0"/>
        </w:sectPr>
      </w:pPr>
    </w:p>
    <w:bookmarkStart w:id="6" w:name="page7"/>
    <w:bookmarkEnd w:id="6"/>
    <w:p>
      <w:pPr>
        <w:spacing w:after="0" w:line="14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 xml:space="preserve">c. Published a copy of our current Form SD and this Conflict Minerals Report on our website at </w:t>
      </w:r>
      <w:r>
        <w:rPr>
          <w:rFonts w:ascii="Times New Roman" w:cs="Times New Roman" w:eastAsia="Times New Roman" w:hAnsi="Times New Roman"/>
          <w:sz w:val="18"/>
          <w:szCs w:val="18"/>
          <w:u w:val="single" w:color="auto"/>
          <w:color w:val="0000FF"/>
        </w:rPr>
        <w:t>https://spectrumbrands.com/about-us/our-company/global-sustainability-statement.html</w:t>
      </w:r>
      <w:r>
        <w:rPr>
          <w:rFonts w:ascii="Times New Roman" w:cs="Times New Roman" w:eastAsia="Times New Roman" w:hAnsi="Times New Roman"/>
          <w:sz w:val="18"/>
          <w:szCs w:val="18"/>
          <w:color w:val="000000"/>
        </w:rPr>
        <w:t>.</w:t>
      </w:r>
    </w:p>
    <w:p>
      <w:pPr>
        <w:spacing w:after="0" w:line="10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d. Continued our supply chain due diligence with the assistance of the Provider, on the source and chain of custody of raw materials and components purchased for our manufacturing operations. We plan to continue to enhance supplier communication on Conflict Minerals. We value our supplier relationships, but if any supplier is at risk to or does violate our Conflict Minerals Policy or Supplier Code of Conduct, we intend to require a corrective action plan from the supplier and move towards conflict-free sourcing. We do not intend to ban sourcing from the Covered Countries, but we seek to procure materials from responsible sources in the region to assist legitimate, conflict-free businesses there.</w:t>
      </w:r>
    </w:p>
    <w:p>
      <w:pPr>
        <w:spacing w:after="0" w:line="1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e. Due to our size, the complexity of our products, and the depth, breadth and constant evolution of our supply chain, it is difficult to identify sub-tier suppliers downstream from our direct suppliers. We do not purchase products directly from any suppliers, SORs or mines in the Covered Countries and have no direct contractual relationships with SORs, as previously noted. Instead, we rely on our direct suppliers to gather and provide specific information about the source of Conflict Minerals contained in the components supplied to us. Our direct suppliers are similarly reliant upon information provided by their suppliers. Therefore, the Provider’s assistance with unresponsive first tier suppliers is used to add transparency to our supply chain. Our suppliers identified 103 SORs potentially in our supply chain that the Provider’s database indicated as having valid smelter certification identification numbers. Additional investigation was undertaken to determine the source of and chain of custody of the Conflict Minerals. The following internationally accepted audit standards were reviewed: the RMI Responsible Minerals Assurance Process (“</w:t>
      </w:r>
      <w:r>
        <w:rPr>
          <w:rFonts w:ascii="Times New Roman" w:cs="Times New Roman" w:eastAsia="Times New Roman" w:hAnsi="Times New Roman"/>
          <w:sz w:val="18"/>
          <w:szCs w:val="18"/>
          <w:u w:val="single" w:color="auto"/>
          <w:color w:val="auto"/>
        </w:rPr>
        <w:t>RMAP</w:t>
      </w:r>
      <w:r>
        <w:rPr>
          <w:rFonts w:ascii="Times New Roman" w:cs="Times New Roman" w:eastAsia="Times New Roman" w:hAnsi="Times New Roman"/>
          <w:sz w:val="18"/>
          <w:szCs w:val="18"/>
          <w:color w:val="auto"/>
        </w:rPr>
        <w:t>”), the LBMA Responsible Gold Guidance and the RJC Chain-of-Custody Standard.</w:t>
      </w:r>
    </w:p>
    <w:p>
      <w:pPr>
        <w:spacing w:after="0" w:line="13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f. We identified 74 suppliers that may source from Covered Countries. 67 of those 74 suppliers provided CMRT responses, a response rate of 90%. Attached hereto as </w:t>
      </w:r>
      <w:r>
        <w:rPr>
          <w:rFonts w:ascii="Times New Roman" w:cs="Times New Roman" w:eastAsia="Times New Roman" w:hAnsi="Times New Roman"/>
          <w:sz w:val="18"/>
          <w:szCs w:val="18"/>
          <w:u w:val="single" w:color="auto"/>
          <w:color w:val="auto"/>
        </w:rPr>
        <w:t>Attachment B</w:t>
      </w:r>
      <w:r>
        <w:rPr>
          <w:rFonts w:ascii="Times New Roman" w:cs="Times New Roman" w:eastAsia="Times New Roman" w:hAnsi="Times New Roman"/>
          <w:sz w:val="18"/>
          <w:szCs w:val="18"/>
          <w:color w:val="auto"/>
        </w:rPr>
        <w:t xml:space="preserve"> is a list of the 103 SORs with valid smelter certification numbers identified by the 67 suppliers that provided product specific information, a list of the products covered by this Conflict Minerals Report and a list of the smelter location for the Conflict Minerals that are necessary to the production of our products. For the remainder of calendar year 2026, we plan to continue to emphasize to our suppliers the importance of sourcing responsibly and from conflict-free sources if the suppliers desire to retain our business.</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 xml:space="preserve">g. Based on our due diligence efforts and information from the Provider, we have reason to believe that the Conflict Minerals necessary to the functionality or production of our products, where known, may originate from the countries listed in </w:t>
      </w:r>
      <w:r>
        <w:rPr>
          <w:rFonts w:ascii="Times New Roman" w:cs="Times New Roman" w:eastAsia="Times New Roman" w:hAnsi="Times New Roman"/>
          <w:sz w:val="18"/>
          <w:szCs w:val="18"/>
          <w:u w:val="single" w:color="auto"/>
          <w:color w:val="auto"/>
        </w:rPr>
        <w:t>Attachment C</w:t>
      </w:r>
      <w:r>
        <w:rPr>
          <w:rFonts w:ascii="Times New Roman" w:cs="Times New Roman" w:eastAsia="Times New Roman" w:hAnsi="Times New Roman"/>
          <w:sz w:val="18"/>
          <w:szCs w:val="18"/>
          <w:color w:val="auto"/>
        </w:rPr>
        <w:t xml:space="preserve"> hereto (country of origin).</w:t>
      </w:r>
    </w:p>
    <w:p>
      <w:pPr>
        <w:spacing w:after="0" w:line="1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Pursuant to SEC rules and guidance, this Conflict Minerals Report was not subjected to an independent private sector audit.</w:t>
      </w:r>
    </w:p>
    <w:p>
      <w:pPr>
        <w:sectPr>
          <w:pgSz w:w="11900" w:h="16838" w:orient="portrait"/>
          <w:cols w:equalWidth="0" w:num="1">
            <w:col w:w="11240"/>
          </w:cols>
          <w:pgMar w:left="320" w:top="1440" w:right="339" w:bottom="1440" w:gutter="0" w:footer="0" w:header="0"/>
        </w:sectPr>
      </w:pPr>
    </w:p>
    <w:bookmarkStart w:id="7" w:name="page8"/>
    <w:bookmarkEnd w:id="7"/>
    <w:p>
      <w:pPr>
        <w:spacing w:after="0" w:line="1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List of Products</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products are more fully described in Spectrum Brands Holdings, Inc. Form 10-K, which may be found publicly on our website at:</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https://investor.spectrumbrands.com/sec-spectrum-brands-holdings-inc.</w:t>
      </w:r>
    </w:p>
    <w:p>
      <w:pPr>
        <w:spacing w:after="0" w:line="17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Electric shavers and accessories</w:t>
      </w:r>
    </w:p>
    <w:p>
      <w:pPr>
        <w:spacing w:after="0" w:line="16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Grooming products and hair care appliances</w:t>
      </w:r>
    </w:p>
    <w:p>
      <w:pPr>
        <w:spacing w:after="0" w:line="16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Small household appliances</w:t>
      </w:r>
    </w:p>
    <w:p>
      <w:pPr>
        <w:spacing w:after="0" w:line="179"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Personal care products</w:t>
      </w:r>
    </w:p>
    <w:p>
      <w:pPr>
        <w:spacing w:after="0" w:line="16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Herbicides</w:t>
      </w:r>
    </w:p>
    <w:p>
      <w:pPr>
        <w:spacing w:after="0" w:line="16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Insecticides and repellants</w:t>
      </w:r>
    </w:p>
    <w:p>
      <w:pPr>
        <w:spacing w:after="0" w:line="16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Specialty pet supplies</w:t>
      </w:r>
    </w:p>
    <w:p>
      <w:pPr>
        <w:spacing w:after="0" w:line="165" w:lineRule="exact"/>
        <w:rPr>
          <w:rFonts w:ascii="Times New Roman" w:cs="Times New Roman" w:eastAsia="Times New Roman" w:hAnsi="Times New Roman"/>
          <w:sz w:val="22"/>
          <w:szCs w:val="22"/>
          <w:color w:val="auto"/>
        </w:rPr>
      </w:pPr>
    </w:p>
    <w:p>
      <w:pPr>
        <w:ind w:left="660" w:hanging="652"/>
        <w:spacing w:after="0"/>
        <w:tabs>
          <w:tab w:leader="none" w:pos="66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Household cleaning products</w:t>
      </w:r>
    </w:p>
    <w:p>
      <w:pPr>
        <w:sectPr>
          <w:pgSz w:w="11900" w:h="16838" w:orient="portrait"/>
          <w:cols w:equalWidth="0" w:num="1">
            <w:col w:w="11220"/>
          </w:cols>
          <w:pgMar w:left="320" w:top="1440" w:right="359" w:bottom="1440" w:gutter="0" w:footer="0" w:header="0"/>
        </w:sectPr>
      </w:pPr>
    </w:p>
    <w:bookmarkStart w:id="8" w:name="page9"/>
    <w:bookmarkEnd w:id="8"/>
    <w:p>
      <w:pPr>
        <w:spacing w:after="0" w:line="2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Attachment B</w:t>
      </w:r>
    </w:p>
    <w:p>
      <w:pPr>
        <w:spacing w:after="0" w:line="252"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List of Identified Smelters</w:t>
      </w:r>
    </w:p>
    <w:p>
      <w:pPr>
        <w:spacing w:after="0" w:line="254"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0" w:type="dxa"/>
            <w:vAlign w:val="bottom"/>
            <w:tcBorders>
              <w:top w:val="single" w:sz="8" w:color="auto"/>
              <w:left w:val="single" w:sz="8" w:color="auto"/>
              <w:bottom w:val="single" w:sz="8" w:color="auto"/>
              <w:right w:val="single" w:sz="8" w:color="auto"/>
            </w:tcBorders>
            <w:shd w:val="clear" w:color="auto" w:fill="BFBFBF"/>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40" w:type="dxa"/>
            <w:vAlign w:val="bottom"/>
            <w:tcBorders>
              <w:top w:val="single" w:sz="8" w:color="auto"/>
              <w:bottom w:val="single" w:sz="8" w:color="auto"/>
              <w:right w:val="single" w:sz="8" w:color="auto"/>
            </w:tcBorders>
            <w:shd w:val="clear" w:color="auto" w:fill="BFBFBF"/>
          </w:tcPr>
          <w:p>
            <w:pPr>
              <w:ind w:left="18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960" w:type="dxa"/>
            <w:vAlign w:val="bottom"/>
            <w:tcBorders>
              <w:top w:val="single" w:sz="8" w:color="auto"/>
              <w:bottom w:val="single" w:sz="8" w:color="auto"/>
              <w:right w:val="single" w:sz="8" w:color="auto"/>
            </w:tcBorders>
            <w:shd w:val="clear" w:color="auto" w:fill="BFBFBF"/>
          </w:tcPr>
          <w:p>
            <w:pPr>
              <w:ind w:left="500"/>
              <w:spacing w:after="0"/>
              <w:rPr>
                <w:sz w:val="20"/>
                <w:szCs w:val="20"/>
                <w:color w:val="auto"/>
              </w:rPr>
            </w:pPr>
            <w:r>
              <w:rPr>
                <w:rFonts w:ascii="Times New Roman" w:cs="Times New Roman" w:eastAsia="Times New Roman" w:hAnsi="Times New Roman"/>
                <w:sz w:val="18"/>
                <w:szCs w:val="18"/>
                <w:b w:val="1"/>
                <w:bCs w:val="1"/>
                <w:color w:val="auto"/>
              </w:rPr>
              <w:t>Smelter Facility Location</w:t>
            </w:r>
          </w:p>
        </w:tc>
        <w:tc>
          <w:tcPr>
            <w:tcW w:w="2360" w:type="dxa"/>
            <w:vAlign w:val="bottom"/>
            <w:tcBorders>
              <w:top w:val="single" w:sz="8" w:color="auto"/>
              <w:bottom w:val="single" w:sz="8" w:color="auto"/>
              <w:right w:val="single" w:sz="8" w:color="auto"/>
            </w:tcBorders>
            <w:shd w:val="clear" w:color="auto" w:fill="BFBFBF"/>
          </w:tcPr>
          <w:p>
            <w:pPr>
              <w:ind w:left="74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Jiangxi Copper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CID000855</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Shandong Gold Smelting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CID001916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Zhongyuan Gold Smelter of Zhongjin Gold Corporation</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CID002224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Asahi Pretec Corp.</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CID000082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Dowa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CID000401</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Heraeus Metals Hong Kong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CID000707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LS MnM Inc.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Korea, Republic of</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CID001078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Matsuda Sangyo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CID001119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Metalor Technologies (Suzhou)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CID001147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Metalor Technologies (Hong Kong)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CID001149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Metalor Technologies (Singapore) Pte.,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Singapore</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CID001152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Metalor Technologies S.A.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Switzerland</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CID001153</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Mitsubishi Materials Corporation</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CID001188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Mitsui Mining and Smelting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CID001193</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Nihon Material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CID001259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MKS PAMP SA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Switzerland</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CID001352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Shandong Zhaojin Gold &amp; Silver Refinery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CID001622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Solar Applied Materials Technology Corp.</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Taiwan, Province of 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CID001761</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Sumitomo Metal Mining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CID001798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Tanaka Kikinzoku Kogyo K.K.</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CID001875</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Tokuriki Honten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CID001938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Precious Metal Refining, Inc.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CID001993</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Abington Reldan Metals, LLC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CID002708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L'Orfebre S.A.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Andorra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CID002762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WEEEREFINING</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France</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CID003615</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Gold by Gold Colombia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Colombia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CID003641</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Coimpa Industrial LTDA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Brazil</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CID004010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GG Refinery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Tanzania, United Republic of</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CID004506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Argor-Heraeus S.A.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Switzerland</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CID000077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Hangzhou Fuchunjiang Smelting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CID000671</w:t>
            </w:r>
          </w:p>
        </w:tc>
      </w:tr>
    </w:tbl>
    <w:p>
      <w:pPr>
        <w:sectPr>
          <w:pgSz w:w="11900" w:h="16838" w:orient="portrait"/>
          <w:cols w:equalWidth="0" w:num="1">
            <w:col w:w="11260"/>
          </w:cols>
          <w:pgMar w:left="320" w:top="1440" w:right="319" w:bottom="1440" w:gutter="0" w:footer="0" w:header="0"/>
        </w:sectPr>
      </w:pPr>
    </w:p>
    <w:bookmarkStart w:id="9" w:name="page10"/>
    <w:bookmarkEnd w:id="9"/>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0" w:type="dxa"/>
            <w:vAlign w:val="bottom"/>
            <w:tcBorders>
              <w:top w:val="single" w:sz="8" w:color="auto"/>
              <w:left w:val="single" w:sz="8" w:color="auto"/>
              <w:bottom w:val="single" w:sz="8" w:color="auto"/>
              <w:right w:val="single" w:sz="8" w:color="auto"/>
            </w:tcBorders>
            <w:shd w:val="clear" w:color="auto" w:fill="BFBFBF"/>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40" w:type="dxa"/>
            <w:vAlign w:val="bottom"/>
            <w:tcBorders>
              <w:top w:val="single" w:sz="8" w:color="auto"/>
              <w:bottom w:val="single" w:sz="8" w:color="auto"/>
              <w:right w:val="single" w:sz="8" w:color="auto"/>
            </w:tcBorders>
            <w:shd w:val="clear" w:color="auto" w:fill="BFBFBF"/>
          </w:tcPr>
          <w:p>
            <w:pPr>
              <w:ind w:left="18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960" w:type="dxa"/>
            <w:vAlign w:val="bottom"/>
            <w:tcBorders>
              <w:top w:val="single" w:sz="8" w:color="auto"/>
              <w:bottom w:val="single" w:sz="8" w:color="auto"/>
              <w:right w:val="single" w:sz="8" w:color="auto"/>
            </w:tcBorders>
            <w:shd w:val="clear" w:color="auto" w:fill="BFBFBF"/>
          </w:tcPr>
          <w:p>
            <w:pPr>
              <w:ind w:left="500"/>
              <w:spacing w:after="0"/>
              <w:rPr>
                <w:sz w:val="20"/>
                <w:szCs w:val="20"/>
                <w:color w:val="auto"/>
              </w:rPr>
            </w:pPr>
            <w:r>
              <w:rPr>
                <w:rFonts w:ascii="Times New Roman" w:cs="Times New Roman" w:eastAsia="Times New Roman" w:hAnsi="Times New Roman"/>
                <w:sz w:val="18"/>
                <w:szCs w:val="18"/>
                <w:b w:val="1"/>
                <w:bCs w:val="1"/>
                <w:color w:val="auto"/>
              </w:rPr>
              <w:t>Smelter Facility Location</w:t>
            </w:r>
          </w:p>
        </w:tc>
        <w:tc>
          <w:tcPr>
            <w:tcW w:w="2360" w:type="dxa"/>
            <w:vAlign w:val="bottom"/>
            <w:tcBorders>
              <w:top w:val="single" w:sz="8" w:color="auto"/>
              <w:bottom w:val="single" w:sz="8" w:color="auto"/>
              <w:right w:val="single" w:sz="8" w:color="auto"/>
            </w:tcBorders>
            <w:shd w:val="clear" w:color="auto" w:fill="BFBFBF"/>
          </w:tcPr>
          <w:p>
            <w:pPr>
              <w:ind w:left="74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Aida Chemical Industries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CID000019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Ishifuku Metal Industry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CID000807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JX Nippon Mining &amp; Metals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CID000937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Sichuan Tianze Precious Metals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CID001736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Western Australian Mint (T/a The Perth Mint)</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Australia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CID002030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Yunnan Copper Industry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CID000197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Gold</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Tongling Nonferrous Metals Group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CID001947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F&amp;X Electro-Materials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CID000460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XIMEI RESOURCES (GUANGDONG) LIMITED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CID000616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JiuJiang JinXin Nonferrous Metals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CID000914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Jiujiang Tanbre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CID000917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Mitsui Mining and Smelting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CID001192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NPM Silmet AS</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Estonia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CID001200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Ningxia Orient Tantalum Industry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CID001277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Yanling Jincheng Tantalum &amp; Niobium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CID001522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Taki Chemical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CID001869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Ulba Metallurgical Plant JSC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Kazakhstan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CID001969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Hengyang King Xing Lifeng New Materials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CID002492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Jiujiang Zhongao Tantalum &amp; Niobium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CID002506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TANIOBIS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Thailand</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CID002544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TANIOBIS GmbH</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Germany</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CID002545</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Materion Newton Inc.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CID002548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TANIOBIS Japan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CID002549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TANIOBIS Smelting GmbH &amp; Co. KG</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Germany</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CID002550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Global Advanced Metals Boyertown</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CID002557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Jiangxi Tuohong New Raw Material</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CID002842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Tantalum</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PowerX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Korea, Republic of</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CID004054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Gejiu Non-Ferrous Metal Processing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CID000538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 Tin Group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CID001070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PT Timah Tbk Kundur</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Indonesia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CID001477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PT Timah Tbk Mentok</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Indonesia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CID001482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Thaisarco</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Thailand</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CID001898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Tin Smelting Branch of Yunnan Tin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CID002180</w:t>
            </w:r>
          </w:p>
        </w:tc>
      </w:tr>
    </w:tbl>
    <w:p>
      <w:pPr>
        <w:sectPr>
          <w:pgSz w:w="11900" w:h="16838" w:orient="portrait"/>
          <w:cols w:equalWidth="0" w:num="1">
            <w:col w:w="11260"/>
          </w:cols>
          <w:pgMar w:left="320" w:top="1440" w:right="319" w:bottom="1440" w:gutter="0" w:footer="0" w:header="0"/>
        </w:sectPr>
      </w:pPr>
    </w:p>
    <w:bookmarkStart w:id="10" w:name="page11"/>
    <w:bookmarkEnd w:id="10"/>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0" w:type="dxa"/>
            <w:vAlign w:val="bottom"/>
            <w:tcBorders>
              <w:top w:val="single" w:sz="8" w:color="auto"/>
              <w:left w:val="single" w:sz="8" w:color="auto"/>
              <w:bottom w:val="single" w:sz="8" w:color="auto"/>
              <w:right w:val="single" w:sz="8" w:color="auto"/>
            </w:tcBorders>
            <w:shd w:val="clear" w:color="auto" w:fill="BFBFBF"/>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40" w:type="dxa"/>
            <w:vAlign w:val="bottom"/>
            <w:tcBorders>
              <w:top w:val="single" w:sz="8" w:color="auto"/>
              <w:bottom w:val="single" w:sz="8" w:color="auto"/>
              <w:right w:val="single" w:sz="8" w:color="auto"/>
            </w:tcBorders>
            <w:shd w:val="clear" w:color="auto" w:fill="BFBFBF"/>
          </w:tcPr>
          <w:p>
            <w:pPr>
              <w:ind w:left="18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960" w:type="dxa"/>
            <w:vAlign w:val="bottom"/>
            <w:tcBorders>
              <w:top w:val="single" w:sz="8" w:color="auto"/>
              <w:bottom w:val="single" w:sz="8" w:color="auto"/>
              <w:right w:val="single" w:sz="8" w:color="auto"/>
            </w:tcBorders>
            <w:shd w:val="clear" w:color="auto" w:fill="BFBFBF"/>
          </w:tcPr>
          <w:p>
            <w:pPr>
              <w:ind w:left="500"/>
              <w:spacing w:after="0"/>
              <w:rPr>
                <w:sz w:val="20"/>
                <w:szCs w:val="20"/>
                <w:color w:val="auto"/>
              </w:rPr>
            </w:pPr>
            <w:r>
              <w:rPr>
                <w:rFonts w:ascii="Times New Roman" w:cs="Times New Roman" w:eastAsia="Times New Roman" w:hAnsi="Times New Roman"/>
                <w:sz w:val="18"/>
                <w:szCs w:val="18"/>
                <w:b w:val="1"/>
                <w:bCs w:val="1"/>
                <w:color w:val="auto"/>
              </w:rPr>
              <w:t>Smelter Facility Location</w:t>
            </w:r>
          </w:p>
        </w:tc>
        <w:tc>
          <w:tcPr>
            <w:tcW w:w="2360" w:type="dxa"/>
            <w:vAlign w:val="bottom"/>
            <w:tcBorders>
              <w:top w:val="single" w:sz="8" w:color="auto"/>
              <w:bottom w:val="single" w:sz="8" w:color="auto"/>
              <w:right w:val="single" w:sz="8" w:color="auto"/>
            </w:tcBorders>
            <w:shd w:val="clear" w:color="auto" w:fill="BFBFBF"/>
          </w:tcPr>
          <w:p>
            <w:pPr>
              <w:ind w:left="74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Chenzhou Yunxiang Mining and Metallurgy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CID000228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Alpha Assembly Solutions Inc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CID000292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Dowa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CID000402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Fenix Metals</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Poland</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CID000468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Gejiu Zili Mining And Metallurgy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CID000555</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Mineracao Taboca S.A.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Brazil</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CID001173</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Minsur</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Peru</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CID001182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Mitsubishi Materials Corporation</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CID001191</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Jiangxi New Nanshan Technology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CID001231</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Operaciones Metalurgicas S.A.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Bolivia (Plurinational State Of)</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CID001337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Rui Da Hung</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Taiwan, Province of 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CID001539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Yunnan Chengfeng Non-ferrous Metals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CID002158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O.M. Manufacturing Philippines, Inc.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Philippines</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CID002517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Aurubis Beerse</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Belgium</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CID002773</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Guangdong Hanhe Non-Ferrous Metal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CID003116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Chifeng Dajingzi Tin Industry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CID003190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Gejiu City Fuxiang Industry and Trade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CID003410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Malaysia Smelting Corporation Berhad (Port Klang)</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Malaysia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CID004434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Metallic Resources, Inc.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CID001142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PT Mitra Stania Prima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Indonesia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CID001453</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Estanho de Rondonia S.A.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Brazil</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CID000448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Super Ligas</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Brazil</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CID002756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Luna Smelter,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Rwanda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CID003387</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Precious Minerals and Smelting Limited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India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CID003409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Woodcross Smelting Company Limited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Uganda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CID004724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EM Vinto</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Bolivia (Plurinational State Of)</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CID000438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Tin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Dongguan CiEXPO Environmental Engineering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CID003356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Chongyi Zhangyuan Tungsten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CID000258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 New Metals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CID000825</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Xiamen Tungsten (H.C.)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CID002320</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A.L.M.T. Corp.</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Japan</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CID000004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Global Tungsten &amp; Powders LLC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CID000568</w:t>
            </w:r>
          </w:p>
        </w:tc>
      </w:tr>
    </w:tbl>
    <w:p>
      <w:pPr>
        <w:sectPr>
          <w:pgSz w:w="11900" w:h="16838" w:orient="portrait"/>
          <w:cols w:equalWidth="0" w:num="1">
            <w:col w:w="11260"/>
          </w:cols>
          <w:pgMar w:left="320" w:top="1440" w:right="319" w:bottom="1440" w:gutter="0" w:footer="0" w:header="0"/>
        </w:sectPr>
      </w:pPr>
    </w:p>
    <w:bookmarkStart w:id="11" w:name="page12"/>
    <w:bookmarkEnd w:id="11"/>
    <w:p>
      <w:pPr>
        <w:spacing w:after="0" w:line="3" w:lineRule="exact"/>
        <w:rPr>
          <w:sz w:val="20"/>
          <w:szCs w:val="20"/>
          <w:color w:val="auto"/>
        </w:rPr>
      </w:pPr>
    </w:p>
    <w:tbl>
      <w:tblPr>
        <w:tblLayout w:type="fixed"/>
        <w:tblInd w:w="10" w:type="dxa"/>
        <w:tblCellMar>
          <w:top w:w="0" w:type="dxa"/>
          <w:left w:w="0" w:type="dxa"/>
          <w:bottom w:w="0" w:type="dxa"/>
          <w:right w:w="0" w:type="dxa"/>
        </w:tblCellMar>
      </w:tblPr>
      <w:tr>
        <w:trPr>
          <w:trHeight w:val="243"/>
        </w:trPr>
        <w:tc>
          <w:tcPr>
            <w:tcW w:w="1200" w:type="dxa"/>
            <w:vAlign w:val="bottom"/>
            <w:tcBorders>
              <w:top w:val="single" w:sz="8" w:color="auto"/>
              <w:left w:val="single" w:sz="8" w:color="auto"/>
              <w:bottom w:val="single" w:sz="8" w:color="auto"/>
              <w:right w:val="single" w:sz="8" w:color="auto"/>
            </w:tcBorders>
            <w:shd w:val="clear" w:color="auto" w:fill="BFBFBF"/>
          </w:tcPr>
          <w:p>
            <w:pPr>
              <w:ind w:left="380"/>
              <w:spacing w:after="0"/>
              <w:rPr>
                <w:sz w:val="20"/>
                <w:szCs w:val="20"/>
                <w:color w:val="auto"/>
              </w:rPr>
            </w:pPr>
            <w:r>
              <w:rPr>
                <w:rFonts w:ascii="Times New Roman" w:cs="Times New Roman" w:eastAsia="Times New Roman" w:hAnsi="Times New Roman"/>
                <w:sz w:val="18"/>
                <w:szCs w:val="18"/>
                <w:b w:val="1"/>
                <w:bCs w:val="1"/>
                <w:color w:val="auto"/>
              </w:rPr>
              <w:t>Metal</w:t>
            </w:r>
          </w:p>
        </w:tc>
        <w:tc>
          <w:tcPr>
            <w:tcW w:w="4740" w:type="dxa"/>
            <w:vAlign w:val="bottom"/>
            <w:tcBorders>
              <w:top w:val="single" w:sz="8" w:color="auto"/>
              <w:bottom w:val="single" w:sz="8" w:color="auto"/>
              <w:right w:val="single" w:sz="8" w:color="auto"/>
            </w:tcBorders>
            <w:shd w:val="clear" w:color="auto" w:fill="BFBFBF"/>
          </w:tcPr>
          <w:p>
            <w:pPr>
              <w:ind w:left="1820"/>
              <w:spacing w:after="0"/>
              <w:rPr>
                <w:sz w:val="20"/>
                <w:szCs w:val="20"/>
                <w:color w:val="auto"/>
              </w:rPr>
            </w:pPr>
            <w:r>
              <w:rPr>
                <w:rFonts w:ascii="Times New Roman" w:cs="Times New Roman" w:eastAsia="Times New Roman" w:hAnsi="Times New Roman"/>
                <w:sz w:val="18"/>
                <w:szCs w:val="18"/>
                <w:b w:val="1"/>
                <w:bCs w:val="1"/>
                <w:color w:val="auto"/>
              </w:rPr>
              <w:t>Smelter Name</w:t>
            </w:r>
          </w:p>
        </w:tc>
        <w:tc>
          <w:tcPr>
            <w:tcW w:w="2960" w:type="dxa"/>
            <w:vAlign w:val="bottom"/>
            <w:tcBorders>
              <w:top w:val="single" w:sz="8" w:color="auto"/>
              <w:bottom w:val="single" w:sz="8" w:color="auto"/>
              <w:right w:val="single" w:sz="8" w:color="auto"/>
            </w:tcBorders>
            <w:shd w:val="clear" w:color="auto" w:fill="BFBFBF"/>
          </w:tcPr>
          <w:p>
            <w:pPr>
              <w:ind w:left="500"/>
              <w:spacing w:after="0"/>
              <w:rPr>
                <w:sz w:val="20"/>
                <w:szCs w:val="20"/>
                <w:color w:val="auto"/>
              </w:rPr>
            </w:pPr>
            <w:r>
              <w:rPr>
                <w:rFonts w:ascii="Times New Roman" w:cs="Times New Roman" w:eastAsia="Times New Roman" w:hAnsi="Times New Roman"/>
                <w:sz w:val="18"/>
                <w:szCs w:val="18"/>
                <w:b w:val="1"/>
                <w:bCs w:val="1"/>
                <w:color w:val="auto"/>
              </w:rPr>
              <w:t>Smelter Facility Location</w:t>
            </w:r>
          </w:p>
        </w:tc>
        <w:tc>
          <w:tcPr>
            <w:tcW w:w="2360" w:type="dxa"/>
            <w:vAlign w:val="bottom"/>
            <w:tcBorders>
              <w:top w:val="single" w:sz="8" w:color="auto"/>
              <w:bottom w:val="single" w:sz="8" w:color="auto"/>
              <w:right w:val="single" w:sz="8" w:color="auto"/>
            </w:tcBorders>
            <w:shd w:val="clear" w:color="auto" w:fill="BFBFBF"/>
          </w:tcPr>
          <w:p>
            <w:pPr>
              <w:ind w:left="740"/>
              <w:spacing w:after="0"/>
              <w:rPr>
                <w:sz w:val="20"/>
                <w:szCs w:val="20"/>
                <w:color w:val="auto"/>
              </w:rPr>
            </w:pPr>
            <w:r>
              <w:rPr>
                <w:rFonts w:ascii="Times New Roman" w:cs="Times New Roman" w:eastAsia="Times New Roman" w:hAnsi="Times New Roman"/>
                <w:sz w:val="18"/>
                <w:szCs w:val="18"/>
                <w:b w:val="1"/>
                <w:bCs w:val="1"/>
                <w:color w:val="auto"/>
              </w:rPr>
              <w:t>Smelter ID</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Wolfram Bergbau und Hutten AG</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Austria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CID002044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Xiamen Tungsten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CID002082</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Ganzhou Seadragon W &amp; Mo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CID002494</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Masan High-Tech Materials</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Viet Nam</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CID002543</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Niagara Refining LLC</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United States of America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CID002589</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Cronimet Brasil Ltda</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Brazil</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CID003468</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Jiangxi Yaosheng Tungsten Co., Ltd.</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China</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CID002316</w:t>
            </w:r>
          </w:p>
        </w:tc>
      </w:tr>
      <w:tr>
        <w:trPr>
          <w:trHeight w:val="223"/>
        </w:trPr>
        <w:tc>
          <w:tcPr>
            <w:tcW w:w="1200" w:type="dxa"/>
            <w:vAlign w:val="bottom"/>
            <w:tcBorders>
              <w:left w:val="single" w:sz="8" w:color="auto"/>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343A40"/>
              </w:rPr>
              <w:t>Tungsten</w:t>
            </w:r>
          </w:p>
        </w:tc>
        <w:tc>
          <w:tcPr>
            <w:tcW w:w="474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H.C. Starck Tungsten GmbH</w:t>
            </w:r>
          </w:p>
        </w:tc>
        <w:tc>
          <w:tcPr>
            <w:tcW w:w="29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Germany</w:t>
            </w:r>
          </w:p>
        </w:tc>
        <w:tc>
          <w:tcPr>
            <w:tcW w:w="2360" w:type="dxa"/>
            <w:vAlign w:val="bottom"/>
            <w:tcBorders>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343A40"/>
              </w:rPr>
              <w:t>CID002541</w:t>
            </w:r>
          </w:p>
        </w:tc>
      </w:tr>
    </w:tbl>
    <w:p>
      <w:pPr>
        <w:sectPr>
          <w:pgSz w:w="11900" w:h="16838" w:orient="portrait"/>
          <w:cols w:equalWidth="0" w:num="1">
            <w:col w:w="11260"/>
          </w:cols>
          <w:pgMar w:left="320" w:top="1440" w:right="31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6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9"/>
              </w:rPr>
              <w:t>Attachment C</w:t>
            </w:r>
          </w:p>
        </w:tc>
        <w:tc>
          <w:tcPr>
            <w:tcW w:w="1500" w:type="dxa"/>
            <w:vAlign w:val="bottom"/>
          </w:tcPr>
          <w:p>
            <w:pPr>
              <w:spacing w:after="0"/>
              <w:rPr>
                <w:sz w:val="17"/>
                <w:szCs w:val="17"/>
                <w:color w:val="auto"/>
              </w:rPr>
            </w:pPr>
          </w:p>
        </w:tc>
      </w:tr>
      <w:tr>
        <w:trPr>
          <w:trHeight w:val="20"/>
        </w:trPr>
        <w:tc>
          <w:tcPr>
            <w:tcW w:w="28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480"/>
        </w:trPr>
        <w:tc>
          <w:tcPr>
            <w:tcW w:w="2880" w:type="dxa"/>
            <w:vAlign w:val="bottom"/>
          </w:tcPr>
          <w:p>
            <w:pPr>
              <w:spacing w:after="0"/>
              <w:rPr>
                <w:sz w:val="24"/>
                <w:szCs w:val="24"/>
                <w:color w:val="auto"/>
              </w:rPr>
            </w:pPr>
          </w:p>
        </w:tc>
        <w:tc>
          <w:tcPr>
            <w:tcW w:w="3040" w:type="dxa"/>
            <w:vAlign w:val="bottom"/>
            <w:gridSpan w:val="3"/>
          </w:tcPr>
          <w:p>
            <w:pPr>
              <w:jc w:val="center"/>
              <w:ind w:left="670"/>
              <w:spacing w:after="0"/>
              <w:rPr>
                <w:sz w:val="20"/>
                <w:szCs w:val="20"/>
                <w:color w:val="auto"/>
              </w:rPr>
            </w:pPr>
            <w:r>
              <w:rPr>
                <w:rFonts w:ascii="Times New Roman" w:cs="Times New Roman" w:eastAsia="Times New Roman" w:hAnsi="Times New Roman"/>
                <w:sz w:val="18"/>
                <w:szCs w:val="18"/>
                <w:b w:val="1"/>
                <w:bCs w:val="1"/>
                <w:color w:val="auto"/>
                <w:w w:val="99"/>
              </w:rPr>
              <w:t>List of Countries of Origin</w:t>
            </w:r>
          </w:p>
        </w:tc>
        <w:tc>
          <w:tcPr>
            <w:tcW w:w="1500" w:type="dxa"/>
            <w:vAlign w:val="bottom"/>
          </w:tcPr>
          <w:p>
            <w:pPr>
              <w:spacing w:after="0"/>
              <w:rPr>
                <w:sz w:val="24"/>
                <w:szCs w:val="24"/>
                <w:color w:val="auto"/>
              </w:rPr>
            </w:pPr>
          </w:p>
        </w:tc>
      </w:tr>
      <w:tr>
        <w:trPr>
          <w:trHeight w:val="468"/>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Albania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France</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Nicaragua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Andorra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Germany</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Niger</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Angola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Ghana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Nigeria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Argentina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Guatemala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Panama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Armenia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Guinea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Papua New Guinea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Australia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Guyana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Peru</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Austria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Honduras</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Philippines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Azerbaijan</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Hong Kong</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Poland</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Belarus</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Hungary</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Portugal</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Belgium</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India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w w:val="99"/>
              </w:rPr>
              <w:t>Russian Federation</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Benin</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Indonesia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Rwanda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Bolivia (Plurinational State of)</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Ireland</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Saudi Arabia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Brazil</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Israel</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Sierra Leone</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Burkina Faso</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Japan</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Singapore</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Burundi</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Jersey</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Slovakia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Cambodia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Kazakhstan</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South Africa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Canada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Korea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South Sudan</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Central African Republic</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Kyrgyzstan</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Spain</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Chile</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Liberia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Sudan</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China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Liechtenstein</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Suriname</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Colombia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Luxembourg</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Sweden</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Congo</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Madagascar</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Switzerland</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Democratic Republic of Congo</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Malaysia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Taiwan</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Djibouti</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Mali</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Tanzania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Dominica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Mauritania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Thailand</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Dominican Republic</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Mexico</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Uganda</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Ecuador</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Mongolia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Kingdom</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Egypt</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Morocco</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United States</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El Salvador</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Mozambique</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Uzbekistan</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Eritrea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Myanmar</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Viet Nam</w:t>
            </w:r>
          </w:p>
        </w:tc>
      </w:tr>
      <w:tr>
        <w:trPr>
          <w:trHeight w:val="216"/>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Estonia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Namibia</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Zambia</w:t>
            </w:r>
          </w:p>
        </w:tc>
      </w:tr>
      <w:tr>
        <w:trPr>
          <w:trHeight w:val="234"/>
        </w:trPr>
        <w:tc>
          <w:tcPr>
            <w:tcW w:w="2880" w:type="dxa"/>
            <w:vAlign w:val="bottom"/>
          </w:tcPr>
          <w:p>
            <w:pPr>
              <w:spacing w:after="0"/>
              <w:rPr>
                <w:sz w:val="20"/>
                <w:szCs w:val="20"/>
                <w:color w:val="auto"/>
              </w:rPr>
            </w:pPr>
            <w:r>
              <w:rPr>
                <w:rFonts w:ascii="Times New Roman" w:cs="Times New Roman" w:eastAsia="Times New Roman" w:hAnsi="Times New Roman"/>
                <w:sz w:val="18"/>
                <w:szCs w:val="18"/>
                <w:color w:val="auto"/>
              </w:rPr>
              <w:t>Ethiopia</w:t>
            </w:r>
          </w:p>
        </w:tc>
        <w:tc>
          <w:tcPr>
            <w:tcW w:w="3040" w:type="dxa"/>
            <w:vAlign w:val="bottom"/>
            <w:gridSpan w:val="3"/>
          </w:tcPr>
          <w:p>
            <w:pPr>
              <w:ind w:left="620"/>
              <w:spacing w:after="0"/>
              <w:rPr>
                <w:sz w:val="20"/>
                <w:szCs w:val="20"/>
                <w:color w:val="auto"/>
              </w:rPr>
            </w:pPr>
            <w:r>
              <w:rPr>
                <w:rFonts w:ascii="Times New Roman" w:cs="Times New Roman" w:eastAsia="Times New Roman" w:hAnsi="Times New Roman"/>
                <w:sz w:val="18"/>
                <w:szCs w:val="18"/>
                <w:color w:val="auto"/>
              </w:rPr>
              <w:t>Netherlands</w:t>
            </w:r>
          </w:p>
        </w:tc>
        <w:tc>
          <w:tcPr>
            <w:tcW w:w="15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Zimbabwe</w:t>
            </w:r>
          </w:p>
        </w:tc>
      </w:tr>
    </w:tbl>
    <w:p>
      <w:pPr>
        <w:spacing w:after="0" w:line="1" w:lineRule="exact"/>
        <w:rPr>
          <w:sz w:val="20"/>
          <w:szCs w:val="20"/>
          <w:color w:val="auto"/>
        </w:rPr>
      </w:pPr>
    </w:p>
    <w:sectPr>
      <w:pgSz w:w="11900" w:h="16838" w:orient="portrait"/>
      <w:cols w:equalWidth="0" w:num="1">
        <w:col w:w="9299"/>
      </w:cols>
      <w:pgMar w:left="1160" w:top="140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1)"/>
      <w:numFmt w:val="lowerLetter"/>
      <w:start w:val="3"/>
    </w:lvl>
    <w:lvl w:ilvl="1">
      <w:lvlJc w:val="left"/>
      <w:lvlText w:val="%2."/>
      <w:numFmt w:val="lowerLetter"/>
      <w:start w:val="5"/>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1."/>
      <w:numFmt w:val="decimal"/>
      <w:start w:val="1"/>
    </w:lvl>
    <w:lvl w:ilvl="1">
      <w:lvlJc w:val="left"/>
      <w:lvlText w:val="%2"/>
      <w:numFmt w:val="lowerLetter"/>
      <w:start w:val="1"/>
    </w:lvl>
  </w:abstractNum>
  <w:abstractNum w:abstractNumId="4">
    <w:nsid w:val="507ED7AB"/>
    <w:multiLevelType w:val="hybridMultilevel"/>
    <w:lvl w:ilvl="0">
      <w:lvlJc w:val="left"/>
      <w:lvlText w:val="%1."/>
      <w:numFmt w:val="decimal"/>
      <w:start w:val="2"/>
    </w:lvl>
    <w:lvl w:ilvl="1">
      <w:lvlJc w:val="left"/>
      <w:lvlText w:val="%2."/>
      <w:numFmt w:val="lowerLetter"/>
      <w:start w:val="1"/>
    </w:lvl>
  </w:abstractNum>
  <w:abstractNum w:abstractNumId="5">
    <w:nsid w:val="2EB141F2"/>
    <w:multiLevelType w:val="hybridMultilevel"/>
    <w:lvl w:ilvl="0">
      <w:lvlJc w:val="left"/>
      <w:lvlText w:val="%1."/>
      <w:numFmt w:val="decimal"/>
      <w:start w:val="4"/>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2026-05-29T07:58:56Z</dcterms:created>
  <dcterms:modified xsi:type="dcterms:W3CDTF">2026-05-29T07:58:56Z</dcterms:modified>
</cp:coreProperties>
</file>