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Jeremy Smeltser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 Brands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3001 Deming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Middleton, WI 53562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Spectrum Brands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2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2023 Response dated June 26, 2024 File No. 001-04219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Jeremy Smeltser: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June 26,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June 12,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Measurements, page 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your Form 10-K states that Adjusted EBITDA provides useful information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investors because it reflects the ongoing operating performance and trends of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segments, excluding certain non-cash based expenses and/or non-recurring items during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comparable periods. Please revise your disclosure in future filings to more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explain why Adjusted EBITDA on a consolidated basis is useful to investors as 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non-GAAP performance measure. Refer to Item 10(e)(1)(i)(C) of Regulation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Adjusted EBITDA has been disclosed as the measure of profit or loss for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reportable segments pursuant to FASB ASC 280. However, you provide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from Net income (loss) from continuing operations to EBITDA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for your reportable segments. In addition, it does not appear that Net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(loss) from continuing operations for your reportable segments includes income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31,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expense or interest expense. Please tell us how you determined that the presentation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is consistent with Items 10(e)(1)(i)(A) and (B) of Regulation S-K. For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guidance, refer to Question 104.01 of the Division of Corporation Finance Compliance</w:t>
      </w:r>
    </w:p>
    <w:p>
      <w:pPr>
        <w:ind w:left="960" w:hanging="215"/>
        <w:spacing w:after="0"/>
        <w:tabs>
          <w:tab w:leader="none" w:pos="96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March 29 response to comment 2 regarding the Tristar Business acquisition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integration adjustment refers to incremental compensation for personnel supporting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and integration efforts during the transitionary period. Please quantify these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for each of the last two fiscal years and describe the roles performed by these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personnel.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May 20 response to comment 1 regarding the non-GAAP adjustments for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HPC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 portfolio transitions notes a shift in strategy required for the utilization of your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brands towards brand development and acquisition to transition away from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use of the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B+D tradename</w:t>
            </w: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). Please tell 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Black &amp; Decker tradename (</w:t>
            </w: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whether actions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as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6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shifts in strategy and managing the transition of your business to new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brands are deemed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6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be a normal activity considering your operations, revenue generating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activities, and</w:t>
            </w:r>
          </w:p>
        </w:tc>
        <w:tc>
          <w:tcPr>
            <w:tcW w:w="48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strategy. Also, tell us the extent to which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sizeable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</w:t>
            </w:r>
          </w:p>
        </w:tc>
        <w:tc>
          <w:tcPr>
            <w:tcW w:w="4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necessary to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 a factor in applying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transition away from the B+D tradename</w:t>
            </w:r>
          </w:p>
        </w:tc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Question 100.01</w:t>
            </w:r>
          </w:p>
        </w:tc>
        <w:tc>
          <w:tcPr>
            <w:tcW w:w="2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</w:t>
            </w:r>
          </w:p>
        </w:tc>
        <w:tc>
          <w:tcPr>
            <w:tcW w:w="6580" w:type="dxa"/>
            <w:vAlign w:val="bottom"/>
            <w:gridSpan w:val="5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Corporation Finance Compliance &amp; Disclosure Interpretations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Non-GAAP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regards to costs associated with the Global ERP Transformation, your March 29</w:t>
      </w:r>
    </w:p>
    <w:p>
      <w:pPr>
        <w:ind w:left="74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comment 2 notes the non-GAAP adjustments include incremental compensatory costs for a dedicated project management team. Please tell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whether the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 management team is made up of employees or external professionals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consultants and describe their roles and responsibilities. In addition, quantify the amount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compensatory costs included in this non-GAAP adjustment for each of the last two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years and the most recent interim period.</w:t>
      </w:r>
    </w:p>
    <w:p>
      <w:pPr>
        <w:ind w:right="285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May 20 response to comment 2 regarding the Strategic Plan Development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 of the non-GAAP adjustment for Other project costs explains that you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with a third-party consulting partner to assist in the development of a long-term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strategic plan in consideration of the divestiture transactions that you had executed 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in process of executing. Please describe the services provided by these consultants in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detail and further explain why costs incurred related to long-term strategic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planning are not a normal, recurring operating expense per Question 100.01 of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 Compliance &amp; Disclosure Interpretations on Non-GAAP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June 26 response to comment 3 that the HPC Business Transformation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 of Other project costs includes retention related costs for two key executive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positions. Please revise to remove this adjustment as these costs appear to be normal,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recurring operating expenses based on Question 100.01 of the Division of Corporation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Compliance &amp; Disclosure Interpretations on Non-GAAP Financial Measures.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May 20 response to comment 2 states that the Business Development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 of Other project costs primarily consists of personnel costs related to business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activities, diligence, and transformation initiatives. As these costs appear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normal, recurring operating expenses based on Question 100.01 of the Division of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31,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 Compliance &amp; Disclosure Interpretations on Non-GAAP Financial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please revise to remove the related non-GAAP adjustment.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May 20 response to comment 2, you state that the recognition of the IPL Product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Exit component of Other project costs was triggered by your decision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exit the product category. As the costs related to your exit from the IPL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category, such as the costs incurred to dispose of the remaining product and parts,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be normal, recurring operating expenses based on Question 100.01 of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 Compliance &amp; Disclosure Interpretations on Non-GAAP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Measures, please revise to remove this adjustment.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dated June 26 to comment 4 states that the unallocated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costs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relates to a shared operating center for the consolidated group attributable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HHI segment that are excluded from the reporting of discontinued operations.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remove this non-GAAP adjustment as it appears that these costs are normal,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recurring operating expenses based on Question 100.01 of the Division of Corporation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Compliance &amp; Disclosure Interpretations on Non-GAAP Financial Measures.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May 20 response to comment 5 that the costs associated with the non-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adjustments for HPC product disposal were contributed by the Tristar Business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acquisition, the realization of poor product performance, and quality issues associated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products from the acquisition. Please explain in greater detail why these losses are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unusual (e.g., further address the relevant facts and circumstances specific to the Tristar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acquisition, the timing of the inventory disposition, and the link to product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recalls) and clarify the nature of the poor product performance and quality issues noted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 May 20 response to comment 6 as it does not appear to adequately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circumstances leading to the product recalls and explain how the activities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actions taken were event driven and specific to responses required by the CPSC. In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explain the statement that facilitating product recalls is not a component of your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normal operations and are not a substantial consideration for your product history as risk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in your Form 10-K appears to indicate that you may be subject to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liability claims and product recalls in the ordinary course of your business.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Martin James at 202-551-3671 if you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&amp;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2024-11-20T23:12:51Z</dcterms:created>
  <dcterms:modified xsi:type="dcterms:W3CDTF">2024-11-20T23:12:51Z</dcterms:modified>
</cp:coreProperties>
</file>