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780" w:type="dxa"/>
        <w:tblCellMar>
          <w:top w:w="0" w:type="dxa"/>
          <w:left w:w="0" w:type="dxa"/>
          <w:bottom w:w="0" w:type="dxa"/>
          <w:right w:w="0" w:type="dxa"/>
        </w:tblCellMar>
      </w:tblPr>
      <w:tr>
        <w:trPr>
          <w:trHeight w:val="216"/>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260" w:type="dxa"/>
            <w:vAlign w:val="bottom"/>
          </w:tcPr>
          <w:p>
            <w:pPr>
              <w:spacing w:after="0"/>
              <w:rPr>
                <w:sz w:val="18"/>
                <w:szCs w:val="18"/>
                <w:color w:val="auto"/>
              </w:rPr>
            </w:pPr>
          </w:p>
        </w:tc>
      </w:tr>
      <w:tr>
        <w:trPr>
          <w:trHeight w:val="216"/>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260" w:type="dxa"/>
            <w:vAlign w:val="bottom"/>
          </w:tcPr>
          <w:p>
            <w:pPr>
              <w:spacing w:after="0"/>
              <w:rPr>
                <w:sz w:val="18"/>
                <w:szCs w:val="18"/>
                <w:color w:val="auto"/>
              </w:rPr>
            </w:pPr>
          </w:p>
        </w:tc>
      </w:tr>
      <w:tr>
        <w:trPr>
          <w:trHeight w:val="238"/>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260" w:type="dxa"/>
            <w:vAlign w:val="bottom"/>
          </w:tcPr>
          <w:p>
            <w:pPr>
              <w:spacing w:after="0"/>
              <w:rPr>
                <w:sz w:val="20"/>
                <w:szCs w:val="20"/>
                <w:color w:val="auto"/>
              </w:rPr>
            </w:pPr>
          </w:p>
        </w:tc>
      </w:tr>
      <w:tr>
        <w:trPr>
          <w:trHeight w:val="432"/>
        </w:trPr>
        <w:tc>
          <w:tcPr>
            <w:tcW w:w="5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FORM SD</w:t>
            </w:r>
          </w:p>
        </w:tc>
        <w:tc>
          <w:tcPr>
            <w:tcW w:w="1260" w:type="dxa"/>
            <w:vAlign w:val="bottom"/>
          </w:tcPr>
          <w:p>
            <w:pPr>
              <w:spacing w:after="0"/>
              <w:rPr>
                <w:sz w:val="24"/>
                <w:szCs w:val="24"/>
                <w:color w:val="auto"/>
              </w:rPr>
            </w:pPr>
          </w:p>
        </w:tc>
      </w:tr>
      <w:tr>
        <w:trPr>
          <w:trHeight w:val="432"/>
        </w:trPr>
        <w:tc>
          <w:tcPr>
            <w:tcW w:w="5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SPECIALIZED DISCLOSURE REPORT</w:t>
            </w:r>
          </w:p>
        </w:tc>
        <w:tc>
          <w:tcPr>
            <w:tcW w:w="1260" w:type="dxa"/>
            <w:vAlign w:val="bottom"/>
          </w:tcPr>
          <w:p>
            <w:pPr>
              <w:spacing w:after="0"/>
              <w:rPr>
                <w:sz w:val="24"/>
                <w:szCs w:val="24"/>
                <w:color w:val="auto"/>
              </w:rPr>
            </w:pPr>
          </w:p>
        </w:tc>
      </w:tr>
      <w:tr>
        <w:trPr>
          <w:trHeight w:val="414"/>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Spectrum Brands Holdings, Inc.</w:t>
            </w:r>
          </w:p>
        </w:tc>
        <w:tc>
          <w:tcPr>
            <w:tcW w:w="1260" w:type="dxa"/>
            <w:vAlign w:val="bottom"/>
          </w:tcPr>
          <w:p>
            <w:pPr>
              <w:spacing w:after="0"/>
              <w:rPr>
                <w:sz w:val="24"/>
                <w:szCs w:val="24"/>
                <w:color w:val="auto"/>
              </w:rPr>
            </w:pPr>
          </w:p>
        </w:tc>
      </w:tr>
      <w:tr>
        <w:trPr>
          <w:trHeight w:val="234"/>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260" w:type="dxa"/>
            <w:vAlign w:val="bottom"/>
          </w:tcPr>
          <w:p>
            <w:pPr>
              <w:spacing w:after="0"/>
              <w:rPr>
                <w:sz w:val="20"/>
                <w:szCs w:val="20"/>
                <w:color w:val="auto"/>
              </w:rPr>
            </w:pPr>
          </w:p>
        </w:tc>
      </w:tr>
      <w:tr>
        <w:trPr>
          <w:trHeight w:val="414"/>
        </w:trPr>
        <w:tc>
          <w:tcPr>
            <w:tcW w:w="5940" w:type="dxa"/>
            <w:vAlign w:val="bottom"/>
          </w:tcPr>
          <w:p>
            <w:pPr>
              <w:jc w:val="center"/>
              <w:ind w:right="37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001-4219</w:t>
            </w:r>
          </w:p>
        </w:tc>
      </w:tr>
      <w:tr>
        <w:trPr>
          <w:trHeight w:val="216"/>
        </w:trPr>
        <w:tc>
          <w:tcPr>
            <w:tcW w:w="5940" w:type="dxa"/>
            <w:vAlign w:val="bottom"/>
          </w:tcPr>
          <w:p>
            <w:pPr>
              <w:jc w:val="center"/>
              <w:ind w:right="3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w:t>
            </w:r>
          </w:p>
        </w:tc>
      </w:tr>
      <w:tr>
        <w:trPr>
          <w:trHeight w:val="234"/>
        </w:trPr>
        <w:tc>
          <w:tcPr>
            <w:tcW w:w="5940" w:type="dxa"/>
            <w:vAlign w:val="bottom"/>
          </w:tcPr>
          <w:p>
            <w:pPr>
              <w:jc w:val="center"/>
              <w:ind w:right="3770"/>
              <w:spacing w:after="0"/>
              <w:rPr>
                <w:sz w:val="20"/>
                <w:szCs w:val="20"/>
                <w:color w:val="auto"/>
              </w:rPr>
            </w:pPr>
            <w:r>
              <w:rPr>
                <w:rFonts w:ascii="Times New Roman" w:cs="Times New Roman" w:eastAsia="Times New Roman" w:hAnsi="Times New Roman"/>
                <w:sz w:val="18"/>
                <w:szCs w:val="18"/>
                <w:color w:val="auto"/>
              </w:rPr>
              <w:t>incorporation)</w:t>
            </w: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 Number)</w:t>
            </w:r>
          </w:p>
        </w:tc>
      </w:tr>
      <w:tr>
        <w:trPr>
          <w:trHeight w:val="414"/>
        </w:trPr>
        <w:tc>
          <w:tcPr>
            <w:tcW w:w="5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SB/RH Holdings, LLC</w:t>
            </w:r>
          </w:p>
        </w:tc>
        <w:tc>
          <w:tcPr>
            <w:tcW w:w="1260" w:type="dxa"/>
            <w:vAlign w:val="bottom"/>
          </w:tcPr>
          <w:p>
            <w:pPr>
              <w:spacing w:after="0"/>
              <w:rPr>
                <w:sz w:val="24"/>
                <w:szCs w:val="24"/>
                <w:color w:val="auto"/>
              </w:rPr>
            </w:pPr>
          </w:p>
        </w:tc>
      </w:tr>
      <w:tr>
        <w:trPr>
          <w:trHeight w:val="234"/>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260" w:type="dxa"/>
            <w:vAlign w:val="bottom"/>
          </w:tcPr>
          <w:p>
            <w:pPr>
              <w:spacing w:after="0"/>
              <w:rPr>
                <w:sz w:val="20"/>
                <w:szCs w:val="20"/>
                <w:color w:val="auto"/>
              </w:rPr>
            </w:pPr>
          </w:p>
        </w:tc>
      </w:tr>
      <w:tr>
        <w:trPr>
          <w:trHeight w:val="414"/>
        </w:trPr>
        <w:tc>
          <w:tcPr>
            <w:tcW w:w="5940" w:type="dxa"/>
            <w:vAlign w:val="bottom"/>
          </w:tcPr>
          <w:p>
            <w:pPr>
              <w:jc w:val="center"/>
              <w:ind w:right="37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333-192634-03</w:t>
            </w:r>
          </w:p>
        </w:tc>
      </w:tr>
      <w:tr>
        <w:trPr>
          <w:trHeight w:val="216"/>
        </w:trPr>
        <w:tc>
          <w:tcPr>
            <w:tcW w:w="5940" w:type="dxa"/>
            <w:vAlign w:val="bottom"/>
          </w:tcPr>
          <w:p>
            <w:pPr>
              <w:jc w:val="center"/>
              <w:ind w:right="3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w:t>
            </w:r>
          </w:p>
        </w:tc>
      </w:tr>
      <w:tr>
        <w:trPr>
          <w:trHeight w:val="234"/>
        </w:trPr>
        <w:tc>
          <w:tcPr>
            <w:tcW w:w="5940" w:type="dxa"/>
            <w:vAlign w:val="bottom"/>
          </w:tcPr>
          <w:p>
            <w:pPr>
              <w:jc w:val="center"/>
              <w:ind w:right="3770"/>
              <w:spacing w:after="0"/>
              <w:rPr>
                <w:sz w:val="20"/>
                <w:szCs w:val="20"/>
                <w:color w:val="auto"/>
              </w:rPr>
            </w:pPr>
            <w:r>
              <w:rPr>
                <w:rFonts w:ascii="Times New Roman" w:cs="Times New Roman" w:eastAsia="Times New Roman" w:hAnsi="Times New Roman"/>
                <w:sz w:val="18"/>
                <w:szCs w:val="18"/>
                <w:color w:val="auto"/>
              </w:rPr>
              <w:t>incorporation)</w:t>
            </w: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 Number)</w:t>
            </w:r>
          </w:p>
        </w:tc>
      </w:tr>
      <w:tr>
        <w:trPr>
          <w:trHeight w:val="626"/>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3001 Deming Way</w:t>
            </w:r>
          </w:p>
        </w:tc>
        <w:tc>
          <w:tcPr>
            <w:tcW w:w="1260" w:type="dxa"/>
            <w:vAlign w:val="bottom"/>
          </w:tcPr>
          <w:p>
            <w:pPr>
              <w:spacing w:after="0"/>
              <w:rPr>
                <w:sz w:val="24"/>
                <w:szCs w:val="24"/>
                <w:color w:val="auto"/>
              </w:rPr>
            </w:pPr>
          </w:p>
        </w:tc>
      </w:tr>
      <w:tr>
        <w:trPr>
          <w:trHeight w:val="216"/>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Middleton, Wisconsin 53562</w:t>
            </w:r>
          </w:p>
        </w:tc>
        <w:tc>
          <w:tcPr>
            <w:tcW w:w="1260" w:type="dxa"/>
            <w:vAlign w:val="bottom"/>
          </w:tcPr>
          <w:p>
            <w:pPr>
              <w:spacing w:after="0"/>
              <w:rPr>
                <w:sz w:val="18"/>
                <w:szCs w:val="18"/>
                <w:color w:val="auto"/>
              </w:rPr>
            </w:pPr>
          </w:p>
        </w:tc>
      </w:tr>
      <w:tr>
        <w:trPr>
          <w:trHeight w:val="234"/>
        </w:trPr>
        <w:tc>
          <w:tcPr>
            <w:tcW w:w="594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(608) 275-3340</w:t>
            </w:r>
          </w:p>
        </w:tc>
        <w:tc>
          <w:tcPr>
            <w:tcW w:w="1260" w:type="dxa"/>
            <w:vAlign w:val="bottom"/>
          </w:tcPr>
          <w:p>
            <w:pPr>
              <w:spacing w:after="0"/>
              <w:rPr>
                <w:sz w:val="20"/>
                <w:szCs w:val="20"/>
                <w:color w:val="auto"/>
              </w:rPr>
            </w:pPr>
          </w:p>
        </w:tc>
      </w:tr>
      <w:tr>
        <w:trPr>
          <w:trHeight w:val="234"/>
        </w:trPr>
        <w:tc>
          <w:tcPr>
            <w:tcW w:w="594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60" w:type="dxa"/>
            <w:vAlign w:val="bottom"/>
          </w:tcPr>
          <w:p>
            <w:pPr>
              <w:spacing w:after="0"/>
              <w:rPr>
                <w:sz w:val="20"/>
                <w:szCs w:val="20"/>
                <w:color w:val="auto"/>
              </w:rPr>
            </w:pPr>
          </w:p>
        </w:tc>
      </w:tr>
      <w:tr>
        <w:trPr>
          <w:trHeight w:val="410"/>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Ehsan Zargar</w:t>
            </w:r>
          </w:p>
        </w:tc>
        <w:tc>
          <w:tcPr>
            <w:tcW w:w="1260" w:type="dxa"/>
            <w:vAlign w:val="bottom"/>
          </w:tcPr>
          <w:p>
            <w:pPr>
              <w:spacing w:after="0"/>
              <w:rPr>
                <w:sz w:val="24"/>
                <w:szCs w:val="24"/>
                <w:color w:val="auto"/>
              </w:rPr>
            </w:pPr>
          </w:p>
        </w:tc>
      </w:tr>
      <w:tr>
        <w:trPr>
          <w:trHeight w:val="216"/>
        </w:trPr>
        <w:tc>
          <w:tcPr>
            <w:tcW w:w="5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Executive Vice President</w:t>
            </w:r>
          </w:p>
        </w:tc>
        <w:tc>
          <w:tcPr>
            <w:tcW w:w="1260" w:type="dxa"/>
            <w:vAlign w:val="bottom"/>
          </w:tcPr>
          <w:p>
            <w:pPr>
              <w:spacing w:after="0"/>
              <w:rPr>
                <w:sz w:val="18"/>
                <w:szCs w:val="18"/>
                <w:color w:val="auto"/>
              </w:rPr>
            </w:pPr>
          </w:p>
        </w:tc>
      </w:tr>
      <w:tr>
        <w:trPr>
          <w:trHeight w:val="216"/>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General Counsel and Corporate Secretary</w:t>
            </w:r>
          </w:p>
        </w:tc>
        <w:tc>
          <w:tcPr>
            <w:tcW w:w="1260" w:type="dxa"/>
            <w:vAlign w:val="bottom"/>
          </w:tcPr>
          <w:p>
            <w:pPr>
              <w:spacing w:after="0"/>
              <w:rPr>
                <w:sz w:val="18"/>
                <w:szCs w:val="18"/>
                <w:color w:val="auto"/>
              </w:rPr>
            </w:pPr>
          </w:p>
        </w:tc>
      </w:tr>
      <w:tr>
        <w:trPr>
          <w:trHeight w:val="220"/>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(608) 275-4924</w:t>
            </w:r>
          </w:p>
        </w:tc>
        <w:tc>
          <w:tcPr>
            <w:tcW w:w="1260" w:type="dxa"/>
            <w:vAlign w:val="bottom"/>
          </w:tcPr>
          <w:p>
            <w:pPr>
              <w:spacing w:after="0"/>
              <w:rPr>
                <w:sz w:val="19"/>
                <w:szCs w:val="19"/>
                <w:color w:val="auto"/>
              </w:rPr>
            </w:pPr>
          </w:p>
        </w:tc>
      </w:tr>
      <w:tr>
        <w:trPr>
          <w:trHeight w:val="216"/>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(Name and telephone number, including area code,</w:t>
            </w:r>
          </w:p>
        </w:tc>
        <w:tc>
          <w:tcPr>
            <w:tcW w:w="1260" w:type="dxa"/>
            <w:vAlign w:val="bottom"/>
          </w:tcPr>
          <w:p>
            <w:pPr>
              <w:spacing w:after="0"/>
              <w:rPr>
                <w:sz w:val="18"/>
                <w:szCs w:val="18"/>
                <w:color w:val="auto"/>
              </w:rPr>
            </w:pPr>
          </w:p>
        </w:tc>
      </w:tr>
      <w:tr>
        <w:trPr>
          <w:trHeight w:val="234"/>
        </w:trPr>
        <w:tc>
          <w:tcPr>
            <w:tcW w:w="59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tc>
        <w:tc>
          <w:tcPr>
            <w:tcW w:w="1260" w:type="dxa"/>
            <w:vAlign w:val="bottom"/>
          </w:tcPr>
          <w:p>
            <w:pPr>
              <w:spacing w:after="0"/>
              <w:rPr>
                <w:sz w:val="20"/>
                <w:szCs w:val="20"/>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779"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contemplated by Rule 13p-1 under the Securities Exchange Act of 1934, as amended, and Form SD, a Conflict Minerals Report for the reporting period from January 1 to December 31, 2023 is provided as an Exhibit to this Form SD and is available on our website at https://spectrumbrands.com/about-us/our-company/corporate-compliance-and-social-responsibility.html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website is not incorporated by reference and should not be considered part of this Form SD or our Conflict Minerals Report.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08" w:lineRule="exact"/>
        <w:rPr>
          <w:sz w:val="20"/>
          <w:szCs w:val="20"/>
          <w:color w:val="auto"/>
        </w:rPr>
      </w:pPr>
    </w:p>
    <w:p>
      <w:pPr>
        <w:ind w:left="1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Conflict Minerals Report as required by Items 1.01 and 1.02 of this Form.</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92" w:right="9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SPECTRUM BRANDS HOLDINGS,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SB/RH HOLDINGS, LLC</w:t>
      </w:r>
    </w:p>
    <w:p>
      <w:pPr>
        <w:sectPr>
          <w:pgSz w:w="11900" w:h="16838" w:orient="portrait"/>
          <w:cols w:equalWidth="0" w:num="1">
            <w:col w:w="10920"/>
          </w:cols>
          <w:pgMar w:left="320" w:top="792" w:right="6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248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4920" w:space="720"/>
            <w:col w:w="260" w:space="300"/>
            <w:col w:w="4720"/>
          </w:cols>
          <w:pgMar w:left="320" w:top="792" w:right="659" w:bottom="1440" w:gutter="0" w:footer="0" w:header="0"/>
          <w:type w:val="continuous"/>
        </w:sectPr>
      </w:pPr>
    </w:p>
    <w:p>
      <w:pPr>
        <w:ind w:left="6200"/>
        <w:spacing w:after="0"/>
        <w:rPr>
          <w:sz w:val="20"/>
          <w:szCs w:val="20"/>
          <w:color w:val="auto"/>
        </w:rPr>
      </w:pPr>
      <w:r>
        <w:rPr>
          <w:rFonts w:ascii="Times New Roman" w:cs="Times New Roman" w:eastAsia="Times New Roman" w:hAnsi="Times New Roman"/>
          <w:sz w:val="18"/>
          <w:szCs w:val="18"/>
          <w:color w:val="auto"/>
        </w:rPr>
        <w:t>Name: Ehsan Zargar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type w:val="continuous"/>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Minerals Report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is the Conflict Minerals Report of Spectrum Brands Holdings, Inc. and its consolidated subsidiaries, including SB/RH Holdings, LLC and its consolidated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Spectrum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for January 1, 2023 through December 31, 2023 (“</w:t>
      </w:r>
      <w:r>
        <w:rPr>
          <w:rFonts w:ascii="Times New Roman" w:cs="Times New Roman" w:eastAsia="Times New Roman" w:hAnsi="Times New Roman"/>
          <w:sz w:val="18"/>
          <w:szCs w:val="18"/>
          <w:u w:val="single" w:color="auto"/>
          <w:color w:val="auto"/>
        </w:rPr>
        <w:t>Calendar Year 2023</w:t>
      </w:r>
      <w:r>
        <w:rPr>
          <w:rFonts w:ascii="Times New Roman" w:cs="Times New Roman" w:eastAsia="Times New Roman" w:hAnsi="Times New Roman"/>
          <w:sz w:val="18"/>
          <w:szCs w:val="18"/>
          <w:color w:val="auto"/>
        </w:rPr>
        <w:t>”) in accordance with Rule 13p-1 (“</w:t>
      </w:r>
      <w:r>
        <w:rPr>
          <w:rFonts w:ascii="Times New Roman" w:cs="Times New Roman" w:eastAsia="Times New Roman" w:hAnsi="Times New Roman"/>
          <w:sz w:val="18"/>
          <w:szCs w:val="18"/>
          <w:u w:val="single" w:color="auto"/>
          <w:color w:val="auto"/>
        </w:rPr>
        <w:t>Rule 13p-1</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Please refer to Rule 13p-1, Form SD and the 1934 Act Release No. 34-67716 for definitions of the terms used in this Report, unless otherwise defined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Applying the Dodd-Frank Act to Spectrum Brands Holdings, Inc.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conflict minerals rules require a three-step compliance approach. The first step is determining applicability of the conflict minerals rules to Spectrum; the second step is a reasonable country of origin inquiry (“</w:t>
      </w:r>
      <w:r>
        <w:rPr>
          <w:rFonts w:ascii="Times New Roman" w:cs="Times New Roman" w:eastAsia="Times New Roman" w:hAnsi="Times New Roman"/>
          <w:sz w:val="18"/>
          <w:szCs w:val="18"/>
          <w:u w:val="single" w:color="auto"/>
          <w:color w:val="auto"/>
        </w:rPr>
        <w:t>RCOI</w:t>
      </w:r>
      <w:r>
        <w:rPr>
          <w:rFonts w:ascii="Times New Roman" w:cs="Times New Roman" w:eastAsia="Times New Roman" w:hAnsi="Times New Roman"/>
          <w:sz w:val="18"/>
          <w:szCs w:val="18"/>
          <w:color w:val="auto"/>
        </w:rPr>
        <w:t>”) to determine whether we have reason to believe that conflict minerals from the Democratic Republic of Congo (the “</w:t>
      </w:r>
      <w:r>
        <w:rPr>
          <w:rFonts w:ascii="Times New Roman" w:cs="Times New Roman" w:eastAsia="Times New Roman" w:hAnsi="Times New Roman"/>
          <w:sz w:val="18"/>
          <w:szCs w:val="18"/>
          <w:u w:val="single" w:color="auto"/>
          <w:color w:val="auto"/>
        </w:rPr>
        <w:t>DRC</w:t>
      </w:r>
      <w:r>
        <w:rPr>
          <w:rFonts w:ascii="Times New Roman" w:cs="Times New Roman" w:eastAsia="Times New Roman" w:hAnsi="Times New Roman"/>
          <w:sz w:val="18"/>
          <w:szCs w:val="18"/>
          <w:color w:val="auto"/>
        </w:rPr>
        <w:t>”) or adjoining countries (the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Countries</w:t>
      </w:r>
      <w:r>
        <w:rPr>
          <w:rFonts w:ascii="Times New Roman" w:cs="Times New Roman" w:eastAsia="Times New Roman" w:hAnsi="Times New Roman"/>
          <w:sz w:val="18"/>
          <w:szCs w:val="18"/>
          <w:color w:val="auto"/>
        </w:rPr>
        <w:t>”) that are necessary to the functionality or production of products manufactured by us, or contracted to be manufactured by us, are present in our products; and the third step (referred to as “due diligence” in the SEC rules) is to determine the source and origin of any such conflict minerals and the facilities in which they were processed.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downstream company, Spectrum is several tiers removed from mining operations and smelters or refiners (“</w:t>
      </w:r>
      <w:r>
        <w:rPr>
          <w:rFonts w:ascii="Times New Roman" w:cs="Times New Roman" w:eastAsia="Times New Roman" w:hAnsi="Times New Roman"/>
          <w:sz w:val="18"/>
          <w:szCs w:val="18"/>
          <w:u w:val="single" w:color="auto"/>
          <w:color w:val="auto"/>
        </w:rPr>
        <w:t>SORs</w:t>
      </w:r>
      <w:r>
        <w:rPr>
          <w:rFonts w:ascii="Times New Roman" w:cs="Times New Roman" w:eastAsia="Times New Roman" w:hAnsi="Times New Roman"/>
          <w:sz w:val="18"/>
          <w:szCs w:val="18"/>
          <w:color w:val="auto"/>
        </w:rPr>
        <w:t>”) in dealing with its direct suppliers. Spectrum hired a third-party provider to assist it in performing conflict mineral supply chain due diligence (the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Using our Provider as well as our supply chain due diligence processes and focusing on accountability within the supply chain by using the industry standard Responsible Minerals Initiative’s (“</w:t>
      </w:r>
      <w:r>
        <w:rPr>
          <w:rFonts w:ascii="Times New Roman" w:cs="Times New Roman" w:eastAsia="Times New Roman" w:hAnsi="Times New Roman"/>
          <w:sz w:val="18"/>
          <w:szCs w:val="18"/>
          <w:u w:val="single" w:color="auto"/>
          <w:color w:val="auto"/>
        </w:rPr>
        <w:t>RMI</w:t>
      </w:r>
      <w:r>
        <w:rPr>
          <w:rFonts w:ascii="Times New Roman" w:cs="Times New Roman" w:eastAsia="Times New Roman" w:hAnsi="Times New Roman"/>
          <w:sz w:val="18"/>
          <w:szCs w:val="18"/>
          <w:color w:val="auto"/>
        </w:rPr>
        <w:t>”) Conflict Minerals Reporting Template (“</w:t>
      </w:r>
      <w:r>
        <w:rPr>
          <w:rFonts w:ascii="Times New Roman" w:cs="Times New Roman" w:eastAsia="Times New Roman" w:hAnsi="Times New Roman"/>
          <w:sz w:val="18"/>
          <w:szCs w:val="18"/>
          <w:u w:val="single" w:color="auto"/>
          <w:color w:val="auto"/>
        </w:rPr>
        <w:t>CMRT</w:t>
      </w:r>
      <w:r>
        <w:rPr>
          <w:rFonts w:ascii="Times New Roman" w:cs="Times New Roman" w:eastAsia="Times New Roman" w:hAnsi="Times New Roman"/>
          <w:sz w:val="18"/>
          <w:szCs w:val="18"/>
          <w:color w:val="auto"/>
        </w:rPr>
        <w:t>”) and reaching out to our suppliers, we hope to gain greater transparency in our supply chain.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Due Diligence Framework and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Spectrum undertook due diligence to determine if conflict minerals were necessary to the production or functionality of its products. In conducting its due diligence, Spectrum implemented the Organization for Economic Co-Operation and Development Due Diligence Guidance for Responsible Supply Chains of Minerals from Conflict-Affected and High-Risk Areas (the “</w:t>
      </w:r>
      <w:r>
        <w:rPr>
          <w:rFonts w:ascii="Times New Roman" w:cs="Times New Roman" w:eastAsia="Times New Roman" w:hAnsi="Times New Roman"/>
          <w:sz w:val="18"/>
          <w:szCs w:val="18"/>
          <w:u w:val="single" w:color="auto"/>
          <w:color w:val="auto"/>
        </w:rPr>
        <w:t>OECD Framework</w:t>
      </w:r>
      <w:r>
        <w:rPr>
          <w:rFonts w:ascii="Times New Roman" w:cs="Times New Roman" w:eastAsia="Times New Roman" w:hAnsi="Times New Roman"/>
          <w:sz w:val="18"/>
          <w:szCs w:val="18"/>
          <w:color w:val="auto"/>
        </w:rPr>
        <w:t>”), an internationally recognized due diligence framework, and related supplements for each of the conflict minerals. Accordingly, the steps taken by Spectrum in preparing this Conflict Minerals Report were in accordance with the OECD Framework. As such, we used the RMI’s CMRT, which includes standard supply chain survey and information tracking methods to: (i) determine if our manufactured products contained conflict minerals necessary to their functionality or production, (ii) perform a RCOI to determine whether such minerals originated in the DRC or a Covered Country, or are from recycled or scrap sources, and (iii) assess our supply chain’s adherence to due diligence measures stated by the OECD Framework.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Steering Committee reviewed the products manufactured or contracted to be manufactured by the Company in order to determine which products might contain conflict minerals that are necessary to their functionality or production; the list of products is contained on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to this Conflict Minerals Report. The Company conducted this review at a product level. A list of the suppliers determined to be in-scope for purposes of the conflict minerals rules was compiled and the RCOI was conducted as follows:</w:t>
      </w:r>
    </w:p>
    <w:p>
      <w:pPr>
        <w:spacing w:after="0" w:line="180"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sent initial inquiries to 136 suppliers and instructed them to complete the CMRT and return it to Spectrum.</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 2024 (October 1, 2023 through September 30, 2024) (“Fiscal Year 2024”), Spectrum hired the Provider to engage its suppliers to collect information about the presence and sourcing of conflict minerals used in the products and components supplied to Spectrum in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1292"/>
        <w:spacing w:after="0" w:line="282" w:lineRule="auto"/>
        <w:rPr>
          <w:sz w:val="20"/>
          <w:szCs w:val="20"/>
          <w:color w:val="auto"/>
        </w:rPr>
      </w:pPr>
      <w:r>
        <w:rPr>
          <w:rFonts w:ascii="Times New Roman" w:cs="Times New Roman" w:eastAsia="Times New Roman" w:hAnsi="Times New Roman"/>
          <w:sz w:val="18"/>
          <w:szCs w:val="18"/>
          <w:color w:val="auto"/>
        </w:rPr>
        <w:t>Calendar Year 2023 and by doing so add more transparency to Spectrum’s supply chain with the ultimate goal of identifying the related smelters or refiners and associated mine countries of origin.</w:t>
      </w:r>
    </w:p>
    <w:p>
      <w:pPr>
        <w:spacing w:after="0" w:line="162" w:lineRule="exact"/>
        <w:rPr>
          <w:sz w:val="20"/>
          <w:szCs w:val="20"/>
          <w:color w:val="auto"/>
        </w:rPr>
      </w:pPr>
    </w:p>
    <w:p>
      <w:pPr>
        <w:ind w:left="1292" w:hanging="644"/>
        <w:spacing w:after="0"/>
        <w:tabs>
          <w:tab w:leader="none" w:pos="1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and the Provider conducted up to eight follow-up inquiries of the initially unresponsive suppliers.</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and the Provider also conducted follow-ups with suppliers for further information if initial responses were incomplete or unclear.</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performed follow-ups (up to two times) with suppliers who returned an incomplete CMRT; all issues were addressed.</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Provider also evaluated the completed CMRTs for plausibility, consistency and gaps. Additional supplier contacts were conducted to attempt to resolve “quality control” flags, such as: (a) Smelters or Refiners (SORs) were not provided for a used metal, (b) Supplier listed one or more SORs for an unused metal, (c) supplier indicated that it had not identified all SORs for the in-scope products, (d) supplier indicated it had not received conflict minerals data for each metal from all of its relevant suppliers, or (e) supplier indicated that all of its conflict minerals were from recycled or scrap sources, but one or more of the SORs listed are not known to be exclusive recyclers.</w:t>
      </w:r>
    </w:p>
    <w:p>
      <w:pPr>
        <w:spacing w:after="0" w:line="183"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follow-up, Spectrum had a 90% supplier response rate, with 29.41% of the responding suppliers indicating that one or more of the conflict minerals are necessary to the functionality or production of the products they supply to Spectrum.</w:t>
      </w:r>
    </w:p>
    <w:p>
      <w:pPr>
        <w:spacing w:after="0" w:line="15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Due Diligence Steps Performed</w:t>
      </w:r>
    </w:p>
    <w:p>
      <w:pPr>
        <w:spacing w:after="0" w:line="229" w:lineRule="exact"/>
        <w:rPr>
          <w:sz w:val="20"/>
          <w:szCs w:val="20"/>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Steps Taken to Establish Strong Company Management Systems</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continued disseminating conflict minerals information and updates through its Steering Committee, which implements and manages Spectrum’s conflict minerals compliance program.</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54"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is committed to sourcing components and materials from companies that share its values about human rights, ethics and environmental responsibility. Spectrum’s employees and the Steering Committee continue to enforce its Conflict Minerals Policy, which is available on the Company’s website at https://spectrumbrands.com/about-us/our-company/corporate-compliance/conflict-minerals.html. As required by our Conflict Minerals Policy, all of our suppliers are required to sign Spectrum’s Supplier Code of Conduct, which includes requirements relating to conflict minerals and responsible sourcing. A copy of Spectrum’s Supplier Code of Conduct can be found at https://www.spectrumbrands.com/about-us/suppliers/supplier-code-of-conduct.html. Spectrum’s Supplier Code of Conduct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incorporates requirements related to conflict minerals so that current and future suppliers are obligated to comply with Spectrum’s policies on conflict minerals, including participation in related due diligence activities.</w:t>
      </w:r>
    </w:p>
    <w:p>
      <w:pPr>
        <w:spacing w:after="0" w:line="19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educates its employees and, in addition the Steering Committee, disseminates conflict minerals information through division heads, supply chains, and sales forces.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maintains a grievance mechanism to enable the reporting of grievances related to conflict minerals and other supply chain matters.</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retains conflict minerals program documentation in accordance with the Company’s record retention policies.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5" w:name="page6"/>
    <w:bookmarkEnd w:id="5"/>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Steps Taken to Identify Risks in the Supply Chain and Strategies to Respond to Identified Risks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identified the products it manufactured or contracted to manufacture in Calendar Year 2023.</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Spectrum identified 40 suppliers from whom it purchases components used in the production of those products, and which could contain conflict minerals necessary to the functionality or production of such products and solicited information from such suppliers as part of its RCOI. Spectrum, with the assistance of the Provider, compared the list of the SORs collected to the Provider’s SOR database, which incorporates information from the lists publicly published by the RMI.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list of SORs identified by our suppliers with valid smelter certification identification numbers.</w:t>
      </w:r>
    </w:p>
    <w:p>
      <w:pPr>
        <w:spacing w:after="0" w:line="183" w:lineRule="exact"/>
        <w:rPr>
          <w:rFonts w:ascii="Times New Roman" w:cs="Times New Roman" w:eastAsia="Times New Roman" w:hAnsi="Times New Roman"/>
          <w:sz w:val="18"/>
          <w:szCs w:val="18"/>
          <w:color w:val="auto"/>
        </w:rPr>
      </w:pPr>
    </w:p>
    <w:p>
      <w:pPr>
        <w:jc w:val="both"/>
        <w:ind w:left="129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performed, and continues to perform, risk mitigation efforts to bring suppliers into conformity with its Conflict Minerals Policy and contractual requirements. These efforts included working with direct suppliers during Spectrum’s supplier meetings to consider alternative sources of components or supplying components which contain conflict minerals from OECD-conformant sources based on the internationally recognized certifications. Spectrum publicly communicated its Conflict Minerals’ Policy on its website at https://spectrumbrands.com/about-us/our-company/corporate-compliance/conflict-minerals.html.</w:t>
      </w:r>
    </w:p>
    <w:p>
      <w:pPr>
        <w:spacing w:after="0" w:line="183"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Carry out independent third-party audit of smelter/refiner due diligence practices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information provided by independent third party audit programs, including the (RMI), London Bullion Market Association (LBMA), and Responsible Jewelry Council (RJC), to confirm the existence and verify the OECD conformance status of SORs identified during due diligence. We are many steps removed from the mining of conflict minerals. We do not purchase raw ore or unrefined conflict minerals, and we do not conduct any purchasing activities directly in the Covered Countries.</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 Steps Spectrum Has Taken or Will Take Since the End of Calendar Year 2023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undertook the following steps since the end of Calendar Year 2023 to mitigate the risk that our products may contain conflict minerals that benefit armed groups within the Covered Countries, including steps to improve our due diligence:</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enforce our Conflict Minerals Policy, which is embedded in our Code, and disseminate the Code to those suppliers who provide raw materials and components in Spectrum’s manufacturing operations and Spectrum’s contract manufacturers.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enforce the process within Spectrum’s manufacturing operations/procurement function to notify new vendors of our conflict minerals policy within the Code.</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a copy of our current Form SD and this Conflict Minerals Report on our website at https://spectrumbrands.com/about-us/our-company/corporate-compliance-and-social-responsibility.html.</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our supply chain due diligence with the assistance of our Provider, on the source and chain of custody of raw materials and components purchased for Spectrum’s manufacturing operations. Spectrum plans to continue to enhance supplier communication and training on conflict minerals. Spectrum values its supplier relationships, but if any supplier is at risk to or violates Spectrum’s Conflict Minerals Policy or its Code, Spectrum plans to require a corrective action plan from the supplier and move towards conflict free sourcing. Spectrum will not ban sourcing from the Covered Countries, but it seeks to procure materials from responsible sources in the region to assist legitimate, conflict-free businesses there.</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6" w:name="page7"/>
    <w:bookmarkEnd w:id="6"/>
    <w:p>
      <w:pPr>
        <w:jc w:val="both"/>
        <w:ind w:left="1300" w:hanging="644"/>
        <w:spacing w:after="0" w:line="25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Spectrum’s size, the complexity of its products, and the depth, breadth and constant evolution of its supply chain, it is difficult to identify sub-tier suppliers downstream from its direct suppliers. Spectrum does not purchase products directly from any suppliers, smelters, refiners or mines in the Covered Countries and has no direct contractual relationships with smelters and refiners, as previously noted. Instead, it relies on its direct suppliers to gather and provide specific information about the source of conflict minerals contained in the components supplied to it. Spectrum’s direct suppliers are similarly reliant upon information provided by their suppliers. Therefore, the Provider’s assistance with unresponsive first tier suppliers will be valuable to continue to add transparency to the Spectrum supply chain. Our suppliers identified 134 smelters/refiners potentially in the Spectrum supply chain that our Provider’s database indicated as having valid smelter certification identification numbers. Additional investigation was undertaken to determine the source of and chain of custody of the regulated metals. The following internationally accepted audit standards were checked to determine the OECD conformance status of the SORs: the RMI Responsible Minerals Assurance Process (“</w:t>
      </w:r>
      <w:r>
        <w:rPr>
          <w:rFonts w:ascii="Times New Roman" w:cs="Times New Roman" w:eastAsia="Times New Roman" w:hAnsi="Times New Roman"/>
          <w:sz w:val="18"/>
          <w:szCs w:val="18"/>
          <w:u w:val="single" w:color="auto"/>
          <w:color w:val="auto"/>
        </w:rPr>
        <w:t>RMAP</w:t>
      </w:r>
      <w:r>
        <w:rPr>
          <w:rFonts w:ascii="Times New Roman" w:cs="Times New Roman" w:eastAsia="Times New Roman" w:hAnsi="Times New Roman"/>
          <w:sz w:val="18"/>
          <w:szCs w:val="18"/>
          <w:color w:val="auto"/>
        </w:rPr>
        <w:t>”), the London Bullion Market Association Responsible Gold Guidance and the Responsible Jewelry Council Chain-of-Custody Standard. If the SOR was not certified by these internationally-recognized schemes, Provider attempted to contact the SOR to encourage their participation with the RMI’s RMAP or a cross-recognized program. Additionally, communications were sent to suppliers to encourage them to engage with smelters and refiners that have not been audited and encourage these smelters to undergo an independent third-party audit (e.g., RMAP or equivalent).</w:t>
      </w:r>
    </w:p>
    <w:p>
      <w:pPr>
        <w:spacing w:after="0" w:line="19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to this Conflict Minerals Report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is a list of the 134 smelters with valid smelter certification numbers identified by our suppliers that provided product specific information; a list of the products covered by this Conflict Minerals Report; and a list of countries of origin associated with these smelters for the metals that are necessary to the production of our products. For the remainder of Spectrum’s Fiscal Year 2024, Spectrum plans to continue to emphasize to its suppliers the importance of sourcing responsibly and from conflict-free sources if the suppliers desire to retain Spectrum’s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 rules and guidance, this Conflict Minerals Report was not subjected to an independent private sector audit.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Spectrum’s review of its Conflict Minerals Report for January 1, 2022 through December 31, 2022 (“</w:t>
      </w:r>
      <w:r>
        <w:rPr>
          <w:rFonts w:ascii="Times New Roman" w:cs="Times New Roman" w:eastAsia="Times New Roman" w:hAnsi="Times New Roman"/>
          <w:sz w:val="18"/>
          <w:szCs w:val="18"/>
          <w:u w:val="single" w:color="auto"/>
          <w:color w:val="auto"/>
        </w:rPr>
        <w:t>Calendar Year 2022</w:t>
      </w:r>
      <w:r>
        <w:rPr>
          <w:rFonts w:ascii="Times New Roman" w:cs="Times New Roman" w:eastAsia="Times New Roman" w:hAnsi="Times New Roman"/>
          <w:sz w:val="18"/>
          <w:szCs w:val="18"/>
          <w:color w:val="auto"/>
        </w:rPr>
        <w:t>”) found that Spectrum had included African Gold Refinery among the smelters in its supply chain. The inclusion of African Gold Refinery in Spectrum’s Conflict Minerals Report for Calendar Year 2022 was in error; Spectrum has not and does not knowingly source any conflict minerals from African Gold Refinery within its global supply chain.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Products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products are more fully described in Spectrum Brands Holdings, Inc. Form 10-K, which may be found publicly on our website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https://investor.spectrumbrands.com/sec-spectrum-brands-holdings-inc</w:t>
      </w:r>
    </w:p>
    <w:p>
      <w:pPr>
        <w:spacing w:after="0" w:line="207"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shavers and accessories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Grooming products and hair care appliances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household appliances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care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improvement and plumbing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locksets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Builders’ hardware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Faucets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Herbicides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Insecticides and repellants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pet supplies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Household cleaning products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List of Identified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156845</wp:posOffset>
            </wp:positionV>
            <wp:extent cx="8255" cy="6566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6566535"/>
                    </a:xfrm>
                    <a:prstGeom prst="rect">
                      <a:avLst/>
                    </a:prstGeom>
                    <a:noFill/>
                  </pic:spPr>
                </pic:pic>
              </a:graphicData>
            </a:graphic>
          </wp:anchor>
        </w:drawing>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50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060" w:type="dxa"/>
            <w:vAlign w:val="bottom"/>
            <w:tcBorders>
              <w:top w:val="single" w:sz="8" w:color="auto"/>
              <w:bottom w:val="single" w:sz="8" w:color="auto"/>
            </w:tcBorders>
            <w:shd w:val="clear" w:color="auto" w:fill="BFBFBF"/>
          </w:tcPr>
          <w:p>
            <w:pPr>
              <w:ind w:left="130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80" w:type="dxa"/>
            <w:vAlign w:val="bottom"/>
            <w:tcBorders>
              <w:top w:val="single" w:sz="8" w:color="auto"/>
              <w:bottom w:val="single" w:sz="8" w:color="auto"/>
            </w:tcBorders>
            <w:shd w:val="clear" w:color="auto" w:fill="BFBFBF"/>
          </w:tcPr>
          <w:p>
            <w:pPr>
              <w:spacing w:after="0"/>
              <w:rPr>
                <w:sz w:val="19"/>
                <w:szCs w:val="19"/>
                <w:color w:val="auto"/>
              </w:rPr>
            </w:pPr>
          </w:p>
        </w:tc>
        <w:tc>
          <w:tcPr>
            <w:tcW w:w="3260" w:type="dxa"/>
            <w:vAlign w:val="bottom"/>
            <w:tcBorders>
              <w:top w:val="single" w:sz="8" w:color="auto"/>
              <w:bottom w:val="single" w:sz="8" w:color="auto"/>
              <w:right w:val="single" w:sz="8" w:color="auto"/>
            </w:tcBorders>
            <w:shd w:val="clear" w:color="auto" w:fill="BFBFBF"/>
          </w:tcPr>
          <w:p>
            <w:pPr>
              <w:ind w:left="940"/>
              <w:spacing w:after="0"/>
              <w:rPr>
                <w:sz w:val="20"/>
                <w:szCs w:val="20"/>
                <w:color w:val="auto"/>
              </w:rPr>
            </w:pPr>
            <w:r>
              <w:rPr>
                <w:rFonts w:ascii="Times New Roman" w:cs="Times New Roman" w:eastAsia="Times New Roman" w:hAnsi="Times New Roman"/>
                <w:sz w:val="18"/>
                <w:szCs w:val="18"/>
                <w:b w:val="1"/>
                <w:bCs w:val="1"/>
                <w:color w:val="auto"/>
              </w:rPr>
              <w:t>Country Location</w:t>
            </w:r>
          </w:p>
        </w:tc>
        <w:tc>
          <w:tcPr>
            <w:tcW w:w="2040" w:type="dxa"/>
            <w:vAlign w:val="bottom"/>
            <w:tcBorders>
              <w:top w:val="single" w:sz="8" w:color="auto"/>
              <w:bottom w:val="single" w:sz="8" w:color="auto"/>
              <w:right w:val="single" w:sz="8" w:color="auto"/>
            </w:tcBorders>
            <w:shd w:val="clear" w:color="auto" w:fill="BFBFBF"/>
          </w:tcPr>
          <w:p>
            <w:pPr>
              <w:ind w:left="60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CID001622</w:t>
            </w: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Zhongyuan Gold Smelter of Zhongjin Gold Corporation</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CID002224</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CID000707</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MKS PAMP SA</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CID001352</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CID000969</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CID001147</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CID002030</w:t>
            </w: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LS MnM Inc.</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CID001078</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CID001119</w:t>
            </w: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CID001188</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CID000711</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CID001875</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CID000920</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CID000019</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Asahi Pretec Corp.</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CID000082</w:t>
            </w: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CID000807</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CID000937</w:t>
            </w: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CID000981</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CID001193</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CID001259</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CID001798</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CID001938</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CID000058</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CID000077</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CID000924</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CID000090</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Aurubis AG</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CID000113</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77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Philippines)PHILIPPINES</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CID000128</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CID000176</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CID000185</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Chimet S.p.A.</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CID000233</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CID000401</w:t>
            </w:r>
          </w:p>
        </w:tc>
      </w:tr>
      <w:tr>
        <w:trPr>
          <w:trHeight w:val="209"/>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CID000425</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CID000694</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CID000814</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CID000855</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Materion</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CID001113</w:t>
            </w: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CID001149</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CID001152</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CID001153</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CID001157</w:t>
            </w: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CID001161</w:t>
            </w:r>
          </w:p>
        </w:tc>
      </w:tr>
      <w:tr>
        <w:trPr>
          <w:trHeight w:val="210"/>
        </w:trPr>
        <w:tc>
          <w:tcPr>
            <w:tcW w:w="15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80" w:type="dxa"/>
            <w:vAlign w:val="bottom"/>
            <w:tcBorders>
              <w:bottom w:val="single" w:sz="8" w:color="auto"/>
            </w:tcBorders>
            <w:shd w:val="clear" w:color="auto" w:fill="C6F4F9"/>
          </w:tcPr>
          <w:p>
            <w:pPr>
              <w:spacing w:after="0"/>
              <w:rPr>
                <w:sz w:val="18"/>
                <w:szCs w:val="18"/>
                <w:color w:val="auto"/>
              </w:rPr>
            </w:pPr>
          </w:p>
        </w:tc>
        <w:tc>
          <w:tcPr>
            <w:tcW w:w="326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20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CID001220</w:t>
            </w: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CID003189</w:t>
            </w:r>
          </w:p>
        </w:tc>
      </w:tr>
      <w:tr>
        <w:trPr>
          <w:trHeight w:val="540"/>
        </w:trPr>
        <w:tc>
          <w:tcPr>
            <w:tcW w:w="15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3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020" w:type="dxa"/>
            <w:vAlign w:val="bottom"/>
            <w:tcBorders>
              <w:top w:val="single" w:sz="8" w:color="auto"/>
              <w:bottom w:val="single" w:sz="8" w:color="auto"/>
            </w:tcBorders>
            <w:shd w:val="clear" w:color="auto" w:fill="BFBFBF"/>
          </w:tcPr>
          <w:p>
            <w:pPr>
              <w:ind w:left="13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580" w:type="dxa"/>
            <w:vAlign w:val="bottom"/>
            <w:tcBorders>
              <w:top w:val="single" w:sz="8" w:color="auto"/>
              <w:bottom w:val="single" w:sz="8" w:color="auto"/>
              <w:right w:val="single" w:sz="8" w:color="auto"/>
            </w:tcBorders>
            <w:shd w:val="clear" w:color="auto" w:fill="BFBFBF"/>
          </w:tcPr>
          <w:p>
            <w:pPr>
              <w:spacing w:after="0"/>
              <w:rPr>
                <w:sz w:val="19"/>
                <w:szCs w:val="19"/>
                <w:color w:val="auto"/>
              </w:rPr>
            </w:pPr>
          </w:p>
        </w:tc>
        <w:tc>
          <w:tcPr>
            <w:tcW w:w="3200" w:type="dxa"/>
            <w:vAlign w:val="bottom"/>
            <w:tcBorders>
              <w:top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8"/>
                <w:szCs w:val="18"/>
                <w:b w:val="1"/>
                <w:bCs w:val="1"/>
                <w:color w:val="auto"/>
              </w:rPr>
              <w:t>Country Location</w:t>
            </w:r>
          </w:p>
        </w:tc>
        <w:tc>
          <w:tcPr>
            <w:tcW w:w="1960" w:type="dxa"/>
            <w:vAlign w:val="bottom"/>
            <w:tcBorders>
              <w:top w:val="single" w:sz="8" w:color="auto"/>
              <w:bottom w:val="single" w:sz="8" w:color="auto"/>
              <w:right w:val="single" w:sz="8" w:color="auto"/>
            </w:tcBorders>
            <w:shd w:val="clear" w:color="auto" w:fill="BFBFBF"/>
          </w:tcPr>
          <w:p>
            <w:pPr>
              <w:ind w:left="56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00" w:type="dxa"/>
            <w:vAlign w:val="bottom"/>
            <w:tcBorders>
              <w:bottom w:val="single" w:sz="8" w:color="auto"/>
              <w:right w:val="single" w:sz="8" w:color="auto"/>
            </w:tcBorders>
            <w:gridSpan w:val="2"/>
            <w:shd w:val="clear" w:color="auto" w:fill="C6F4F9"/>
          </w:tcPr>
          <w:p>
            <w:pPr>
              <w:spacing w:after="0"/>
              <w:rPr>
                <w:sz w:val="20"/>
                <w:szCs w:val="20"/>
                <w:color w:val="auto"/>
              </w:rPr>
            </w:pPr>
            <w:r>
              <w:rPr>
                <w:rFonts w:ascii="Times New Roman" w:cs="Times New Roman" w:eastAsia="Times New Roman" w:hAnsi="Times New Roman"/>
                <w:sz w:val="18"/>
                <w:szCs w:val="18"/>
                <w:color w:val="auto"/>
                <w:w w:val="99"/>
              </w:rPr>
              <w:t>Ogussa Osterreichische Gold- und Silber-Scheideanstalt GmbH</w:t>
            </w: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AUSTRIA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CID002779</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CID001325</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INDONESIA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CID001397</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CID001498</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CID001512</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CID001534</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SPAIN</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CID001585</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CID001736</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CID001761</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CID001980</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CID001993</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Valcambi S.A.</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CID002003</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CID002100</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CID002129</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GERMANY</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CID002545</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CID002550</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THAILAND</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CID002544</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CID002548</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CID002549</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CID001192</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CID002557</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CID002558</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KAZAKHSTAN</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CID001969</w:t>
            </w:r>
          </w:p>
        </w:tc>
      </w:tr>
      <w:tr>
        <w:trPr>
          <w:trHeight w:val="209"/>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CID001277</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CID001869</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CID002504</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CID000460</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CID002505</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CID002492</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CID000914</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CID000917</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CID001163</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ESTONIA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CID001200</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CID000616</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AMG Brasil</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BRAZIL</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CID001076</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CID001175</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CID001891</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CID002158</w:t>
            </w:r>
          </w:p>
        </w:tc>
      </w:tr>
      <w:tr>
        <w:trPr>
          <w:trHeight w:val="209"/>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MALAYSIA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CID001105</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CID001482</w:t>
            </w:r>
          </w:p>
        </w:tc>
      </w:tr>
      <w:tr>
        <w:trPr>
          <w:trHeight w:val="210"/>
        </w:trPr>
        <w:tc>
          <w:tcPr>
            <w:tcW w:w="148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2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Alpha</w:t>
            </w:r>
          </w:p>
        </w:tc>
        <w:tc>
          <w:tcPr>
            <w:tcW w:w="580" w:type="dxa"/>
            <w:vAlign w:val="bottom"/>
            <w:tcBorders>
              <w:bottom w:val="single" w:sz="8" w:color="auto"/>
              <w:right w:val="single" w:sz="8" w:color="auto"/>
            </w:tcBorders>
            <w:shd w:val="clear" w:color="auto" w:fill="C6F4F9"/>
          </w:tcPr>
          <w:p>
            <w:pPr>
              <w:spacing w:after="0"/>
              <w:rPr>
                <w:sz w:val="18"/>
                <w:szCs w:val="18"/>
                <w:color w:val="auto"/>
              </w:rPr>
            </w:pPr>
          </w:p>
        </w:tc>
        <w:tc>
          <w:tcPr>
            <w:tcW w:w="32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CID000292</w:t>
            </w:r>
          </w:p>
        </w:tc>
      </w:tr>
      <w:tr>
        <w:trPr>
          <w:trHeight w:val="210"/>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5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CID002180</w:t>
            </w:r>
          </w:p>
        </w:tc>
      </w:tr>
      <w:tr>
        <w:trPr>
          <w:trHeight w:val="540"/>
        </w:trPr>
        <w:tc>
          <w:tcPr>
            <w:tcW w:w="14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3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4639945</wp:posOffset>
            </wp:positionH>
            <wp:positionV relativeFrom="page">
              <wp:posOffset>517525</wp:posOffset>
            </wp:positionV>
            <wp:extent cx="8255" cy="6711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671195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right w:val="single" w:sz="8" w:color="auto"/>
            </w:tcBorders>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00" w:type="dxa"/>
            <w:vAlign w:val="bottom"/>
            <w:tcBorders>
              <w:top w:val="single" w:sz="8" w:color="auto"/>
              <w:bottom w:val="single" w:sz="8" w:color="auto"/>
            </w:tcBorders>
            <w:shd w:val="clear" w:color="auto" w:fill="BFBFBF"/>
          </w:tcPr>
          <w:p>
            <w:pPr>
              <w:ind w:left="214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1470" w:type="dxa"/>
            <w:vAlign w:val="bottom"/>
            <w:tcBorders>
              <w:top w:val="single" w:sz="8" w:color="auto"/>
              <w:bottom w:val="single" w:sz="8" w:color="auto"/>
            </w:tcBorders>
            <w:shd w:val="clear" w:color="auto" w:fill="BFBFBF"/>
          </w:tcPr>
          <w:p>
            <w:pPr>
              <w:spacing w:after="0"/>
              <w:rPr>
                <w:sz w:val="19"/>
                <w:szCs w:val="19"/>
                <w:color w:val="auto"/>
              </w:rPr>
            </w:pPr>
          </w:p>
        </w:tc>
        <w:tc>
          <w:tcPr>
            <w:tcW w:w="3250" w:type="dxa"/>
            <w:vAlign w:val="bottom"/>
            <w:tcBorders>
              <w:top w:val="single" w:sz="8" w:color="auto"/>
              <w:bottom w:val="single" w:sz="8" w:color="auto"/>
              <w:right w:val="single" w:sz="8" w:color="auto"/>
            </w:tcBorders>
            <w:shd w:val="clear" w:color="auto" w:fill="BFBFBF"/>
          </w:tcPr>
          <w:p>
            <w:pPr>
              <w:ind w:left="930"/>
              <w:spacing w:after="0"/>
              <w:rPr>
                <w:sz w:val="20"/>
                <w:szCs w:val="20"/>
                <w:color w:val="auto"/>
              </w:rPr>
            </w:pPr>
            <w:r>
              <w:rPr>
                <w:rFonts w:ascii="Times New Roman" w:cs="Times New Roman" w:eastAsia="Times New Roman" w:hAnsi="Times New Roman"/>
                <w:sz w:val="18"/>
                <w:szCs w:val="18"/>
                <w:b w:val="1"/>
                <w:bCs w:val="1"/>
                <w:color w:val="auto"/>
              </w:rPr>
              <w:t>Country Location</w:t>
            </w:r>
          </w:p>
        </w:tc>
        <w:tc>
          <w:tcPr>
            <w:tcW w:w="1000" w:type="dxa"/>
            <w:vAlign w:val="bottom"/>
            <w:tcBorders>
              <w:top w:val="single" w:sz="8" w:color="auto"/>
              <w:bottom w:val="single" w:sz="8" w:color="auto"/>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CID000538</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CID001070</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CID001142</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CID003325</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CID001477</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Thaisarco</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THAILAND</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CID001898</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Minsur</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PERU</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CID001182</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 Vinto</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w w:val="98"/>
              </w:rPr>
              <w:t>BOLIVIA (PLURINATIONAL STATE OF)</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CID000438</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CID001173</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Serumpun</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CID003205</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 Refined Bangka Tin</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CID001460</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CID000402</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CID001191</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CID001453</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Rui Da Hung</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CID001539</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CID002517</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BELGIUM</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CID002773</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SPAIN</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CID002774</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CID003190</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POLAND</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CID000468</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CID003116</w:t>
            </w:r>
          </w:p>
        </w:tc>
      </w:tr>
      <w:tr>
        <w:trPr>
          <w:trHeight w:val="209"/>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CID001231</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CID002468</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THAILAND</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CID001314</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CID002706</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CID002036</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A.L.M.T. Corp.</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CID000004</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CID002082</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AUSTRIA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CID002044</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CID002320</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CID000258</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CID002494</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CID002551</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94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BranchCHINA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CID002513</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CID000218</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CID002541</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CID000769</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CID000825</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CID002318</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CID002317</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CID000105</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CID002543</w:t>
            </w:r>
          </w:p>
        </w:tc>
      </w:tr>
      <w:tr>
        <w:trPr>
          <w:trHeight w:val="210"/>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CID002589</w:t>
            </w:r>
          </w:p>
        </w:tc>
      </w:tr>
      <w:tr>
        <w:trPr>
          <w:trHeight w:val="210"/>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470" w:type="dxa"/>
            <w:vAlign w:val="bottom"/>
            <w:tcBorders>
              <w:bottom w:val="single" w:sz="8" w:color="auto"/>
            </w:tcBorders>
          </w:tcPr>
          <w:p>
            <w:pPr>
              <w:spacing w:after="0"/>
              <w:rPr>
                <w:sz w:val="18"/>
                <w:szCs w:val="18"/>
                <w:color w:val="auto"/>
              </w:rPr>
            </w:pPr>
          </w:p>
        </w:tc>
        <w:tc>
          <w:tcPr>
            <w:tcW w:w="3250" w:type="dxa"/>
            <w:vAlign w:val="bottom"/>
            <w:tcBorders>
              <w:bottom w:val="single" w:sz="8" w:color="auto"/>
              <w:right w:val="single" w:sz="8" w:color="auto"/>
            </w:tcBorders>
          </w:tcPr>
          <w:p>
            <w:pPr>
              <w:ind w:left="10"/>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CID002542</w:t>
            </w:r>
          </w:p>
        </w:tc>
      </w:tr>
      <w:tr>
        <w:trPr>
          <w:trHeight w:val="209"/>
        </w:trPr>
        <w:tc>
          <w:tcPr>
            <w:tcW w:w="8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0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470" w:type="dxa"/>
            <w:vAlign w:val="bottom"/>
            <w:tcBorders>
              <w:bottom w:val="single" w:sz="8" w:color="auto"/>
            </w:tcBorders>
            <w:shd w:val="clear" w:color="auto" w:fill="C6F4F9"/>
          </w:tcPr>
          <w:p>
            <w:pPr>
              <w:spacing w:after="0"/>
              <w:rPr>
                <w:sz w:val="18"/>
                <w:szCs w:val="18"/>
                <w:color w:val="auto"/>
              </w:rPr>
            </w:pPr>
          </w:p>
        </w:tc>
        <w:tc>
          <w:tcPr>
            <w:tcW w:w="3250" w:type="dxa"/>
            <w:vAlign w:val="bottom"/>
            <w:tcBorders>
              <w:bottom w:val="single" w:sz="8" w:color="auto"/>
              <w:right w:val="single" w:sz="8" w:color="auto"/>
            </w:tcBorders>
            <w:shd w:val="clear" w:color="auto" w:fill="C6F4F9"/>
          </w:tcPr>
          <w:p>
            <w:pPr>
              <w:ind w:left="1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CID002315</w:t>
            </w:r>
          </w:p>
        </w:tc>
      </w:tr>
      <w:tr>
        <w:trPr>
          <w:trHeight w:val="541"/>
        </w:trPr>
        <w:tc>
          <w:tcPr>
            <w:tcW w:w="8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470" w:type="dxa"/>
            <w:vAlign w:val="bottom"/>
            <w:tcBorders>
              <w:bottom w:val="single" w:sz="8" w:color="auto"/>
            </w:tcBorders>
          </w:tcPr>
          <w:p>
            <w:pPr>
              <w:jc w:val="right"/>
              <w:ind w:right="1220"/>
              <w:spacing w:after="0"/>
              <w:rPr>
                <w:sz w:val="20"/>
                <w:szCs w:val="20"/>
                <w:color w:val="auto"/>
              </w:rPr>
            </w:pPr>
            <w:r>
              <w:rPr>
                <w:rFonts w:ascii="Times New Roman" w:cs="Times New Roman" w:eastAsia="Times New Roman" w:hAnsi="Times New Roman"/>
                <w:sz w:val="18"/>
                <w:szCs w:val="18"/>
                <w:color w:val="auto"/>
              </w:rPr>
              <w:t>8</w:t>
            </w:r>
          </w:p>
        </w:tc>
        <w:tc>
          <w:tcPr>
            <w:tcW w:w="325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Borders>
              <w:top w:val="single" w:sz="8" w:color="auto"/>
              <w:left w:val="single" w:sz="8" w:color="auto"/>
              <w:bottom w:val="single" w:sz="8" w:color="auto"/>
              <w:right w:val="single" w:sz="8" w:color="auto"/>
            </w:tcBorders>
            <w:shd w:val="clear" w:color="auto" w:fill="BFBFBF"/>
          </w:tcPr>
          <w:p>
            <w:pPr>
              <w:ind w:left="6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3380" w:type="dxa"/>
            <w:vAlign w:val="bottom"/>
            <w:tcBorders>
              <w:top w:val="single" w:sz="8" w:color="auto"/>
              <w:bottom w:val="single" w:sz="8" w:color="auto"/>
            </w:tcBorders>
            <w:shd w:val="clear" w:color="auto" w:fill="BFBFBF"/>
          </w:tcPr>
          <w:p>
            <w:pPr>
              <w:ind w:left="102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540" w:type="dxa"/>
            <w:vAlign w:val="bottom"/>
            <w:tcBorders>
              <w:top w:val="single" w:sz="8" w:color="auto"/>
              <w:bottom w:val="single" w:sz="8" w:color="auto"/>
              <w:right w:val="single" w:sz="8" w:color="auto"/>
            </w:tcBorders>
            <w:shd w:val="clear" w:color="auto" w:fill="BFBFBF"/>
          </w:tcPr>
          <w:p>
            <w:pPr>
              <w:spacing w:after="0"/>
              <w:rPr>
                <w:sz w:val="19"/>
                <w:szCs w:val="19"/>
                <w:color w:val="auto"/>
              </w:rPr>
            </w:pPr>
          </w:p>
        </w:tc>
        <w:tc>
          <w:tcPr>
            <w:tcW w:w="3360" w:type="dxa"/>
            <w:vAlign w:val="bottom"/>
            <w:tcBorders>
              <w:top w:val="single" w:sz="8" w:color="auto"/>
              <w:bottom w:val="single" w:sz="8" w:color="auto"/>
              <w:right w:val="single" w:sz="8" w:color="auto"/>
            </w:tcBorders>
            <w:shd w:val="clear" w:color="auto" w:fill="BFBFBF"/>
          </w:tcPr>
          <w:p>
            <w:pPr>
              <w:ind w:left="980"/>
              <w:spacing w:after="0"/>
              <w:rPr>
                <w:sz w:val="20"/>
                <w:szCs w:val="20"/>
                <w:color w:val="auto"/>
              </w:rPr>
            </w:pPr>
            <w:r>
              <w:rPr>
                <w:rFonts w:ascii="Times New Roman" w:cs="Times New Roman" w:eastAsia="Times New Roman" w:hAnsi="Times New Roman"/>
                <w:sz w:val="18"/>
                <w:szCs w:val="18"/>
                <w:b w:val="1"/>
                <w:bCs w:val="1"/>
                <w:color w:val="auto"/>
              </w:rPr>
              <w:t>Country Location</w:t>
            </w:r>
          </w:p>
        </w:tc>
        <w:tc>
          <w:tcPr>
            <w:tcW w:w="2240" w:type="dxa"/>
            <w:vAlign w:val="bottom"/>
            <w:tcBorders>
              <w:top w:val="single" w:sz="8" w:color="auto"/>
              <w:bottom w:val="single" w:sz="8" w:color="auto"/>
              <w:right w:val="single" w:sz="8" w:color="auto"/>
            </w:tcBorders>
            <w:shd w:val="clear" w:color="auto" w:fill="BFBFBF"/>
          </w:tcPr>
          <w:p>
            <w:pPr>
              <w:ind w:left="70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09"/>
        </w:trPr>
        <w:tc>
          <w:tcPr>
            <w:tcW w:w="17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38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5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CID000766</w:t>
            </w:r>
          </w:p>
        </w:tc>
      </w:tr>
      <w:tr>
        <w:trPr>
          <w:trHeight w:val="209"/>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5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CID002321</w:t>
            </w:r>
          </w:p>
        </w:tc>
      </w:tr>
      <w:tr>
        <w:trPr>
          <w:trHeight w:val="210"/>
        </w:trPr>
        <w:tc>
          <w:tcPr>
            <w:tcW w:w="17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380" w:type="dxa"/>
            <w:vAlign w:val="bottom"/>
            <w:tcBorders>
              <w:bottom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5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CID000966</w:t>
            </w:r>
          </w:p>
        </w:tc>
      </w:tr>
      <w:tr>
        <w:trPr>
          <w:trHeight w:val="810"/>
        </w:trPr>
        <w:tc>
          <w:tcPr>
            <w:tcW w:w="17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3230"/>
              <w:spacing w:after="0"/>
              <w:rPr>
                <w:sz w:val="20"/>
                <w:szCs w:val="20"/>
                <w:color w:val="auto"/>
              </w:rPr>
            </w:pPr>
            <w:r>
              <w:rPr>
                <w:rFonts w:ascii="Times New Roman" w:cs="Times New Roman" w:eastAsia="Times New Roman" w:hAnsi="Times New Roman"/>
                <w:sz w:val="18"/>
                <w:szCs w:val="18"/>
                <w:color w:val="auto"/>
              </w:rPr>
              <w:t>9</w:t>
            </w:r>
          </w:p>
        </w:tc>
        <w:tc>
          <w:tcPr>
            <w:tcW w:w="2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2"/>
    </w:lvl>
    <w:lvl w:ilvl="1">
      <w:lvlJc w:val="left"/>
      <w:lvlText w:val="%2."/>
      <w:numFmt w:val="lowerLetter"/>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2024-05-31T16:02:22Z</dcterms:created>
  <dcterms:modified xsi:type="dcterms:W3CDTF">2024-05-31T16:02:22Z</dcterms:modified>
</cp:coreProperties>
</file>