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0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0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259080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6"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0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ind w:left="2644"/>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28,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43"/>
          <w:szCs w:val="43"/>
          <w:b w:val="1"/>
          <w:bCs w:val="1"/>
          <w:color w:val="auto"/>
        </w:rPr>
        <w:t>SPECTRUM BRANDS HOLDINGS, INC.</w:t>
      </w:r>
    </w:p>
    <w:p>
      <w:pPr>
        <w:spacing w:after="0" w:line="58"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044" w:type="dxa"/>
        <w:tblCellMar>
          <w:top w:w="0" w:type="dxa"/>
          <w:left w:w="0" w:type="dxa"/>
          <w:bottom w:w="0" w:type="dxa"/>
          <w:right w:w="0" w:type="dxa"/>
        </w:tblCellMar>
      </w:tblPr>
      <w:tr>
        <w:trPr>
          <w:trHeight w:val="214"/>
        </w:trPr>
        <w:tc>
          <w:tcPr>
            <w:tcW w:w="2900" w:type="dxa"/>
            <w:vAlign w:val="bottom"/>
          </w:tcPr>
          <w:p>
            <w:pPr>
              <w:jc w:val="center"/>
              <w:ind w:right="118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001-4219</w:t>
            </w:r>
          </w:p>
        </w:tc>
        <w:tc>
          <w:tcPr>
            <w:tcW w:w="2460" w:type="dxa"/>
            <w:vAlign w:val="bottom"/>
          </w:tcPr>
          <w:p>
            <w:pPr>
              <w:jc w:val="center"/>
              <w:ind w:left="1242"/>
              <w:spacing w:after="0"/>
              <w:rPr>
                <w:sz w:val="20"/>
                <w:szCs w:val="20"/>
                <w:color w:val="auto"/>
              </w:rPr>
            </w:pPr>
            <w:r>
              <w:rPr>
                <w:rFonts w:ascii="Times New Roman" w:cs="Times New Roman" w:eastAsia="Times New Roman" w:hAnsi="Times New Roman"/>
                <w:sz w:val="18"/>
                <w:szCs w:val="18"/>
                <w:b w:val="1"/>
                <w:bCs w:val="1"/>
                <w:color w:val="auto"/>
                <w:w w:val="98"/>
              </w:rPr>
              <w:t>74-1339132</w:t>
            </w:r>
          </w:p>
        </w:tc>
      </w:tr>
      <w:tr>
        <w:trPr>
          <w:trHeight w:val="149"/>
        </w:trPr>
        <w:tc>
          <w:tcPr>
            <w:tcW w:w="2900" w:type="dxa"/>
            <w:vAlign w:val="bottom"/>
          </w:tcPr>
          <w:p>
            <w:pPr>
              <w:jc w:val="center"/>
              <w:ind w:right="118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60" w:type="dxa"/>
            <w:vAlign w:val="bottom"/>
          </w:tcPr>
          <w:p>
            <w:pPr>
              <w:jc w:val="center"/>
              <w:ind w:left="124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900" w:type="dxa"/>
            <w:vAlign w:val="bottom"/>
          </w:tcPr>
          <w:p>
            <w:pPr>
              <w:jc w:val="center"/>
              <w:ind w:right="116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3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60" w:type="dxa"/>
            <w:vAlign w:val="bottom"/>
          </w:tcPr>
          <w:p>
            <w:pPr>
              <w:jc w:val="center"/>
              <w:ind w:left="124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220345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43"/>
          <w:szCs w:val="43"/>
          <w:b w:val="1"/>
          <w:bCs w:val="1"/>
          <w:color w:val="auto"/>
        </w:rPr>
        <w:t>SB/RH HOLDINGS, LLC</w:t>
      </w:r>
    </w:p>
    <w:p>
      <w:pPr>
        <w:spacing w:after="0" w:line="58"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924" w:type="dxa"/>
        <w:tblCellMar>
          <w:top w:w="0" w:type="dxa"/>
          <w:left w:w="0" w:type="dxa"/>
          <w:bottom w:w="0" w:type="dxa"/>
          <w:right w:w="0" w:type="dxa"/>
        </w:tblCellMar>
      </w:tblPr>
      <w:tr>
        <w:trPr>
          <w:trHeight w:val="214"/>
        </w:trPr>
        <w:tc>
          <w:tcPr>
            <w:tcW w:w="2120" w:type="dxa"/>
            <w:vAlign w:val="bottom"/>
          </w:tcPr>
          <w:p>
            <w:pPr>
              <w:jc w:val="center"/>
              <w:ind w:right="40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160" w:type="dxa"/>
            <w:vAlign w:val="bottom"/>
          </w:tcPr>
          <w:p>
            <w:pPr>
              <w:jc w:val="right"/>
              <w:ind w:right="1999"/>
              <w:spacing w:after="0"/>
              <w:rPr>
                <w:sz w:val="20"/>
                <w:szCs w:val="20"/>
                <w:color w:val="auto"/>
              </w:rPr>
            </w:pPr>
            <w:r>
              <w:rPr>
                <w:rFonts w:ascii="Times New Roman" w:cs="Times New Roman" w:eastAsia="Times New Roman" w:hAnsi="Times New Roman"/>
                <w:sz w:val="18"/>
                <w:szCs w:val="18"/>
                <w:b w:val="1"/>
                <w:bCs w:val="1"/>
                <w:color w:val="auto"/>
              </w:rPr>
              <w:t>333-192634-03</w:t>
            </w:r>
          </w:p>
        </w:tc>
        <w:tc>
          <w:tcPr>
            <w:tcW w:w="1720" w:type="dxa"/>
            <w:vAlign w:val="bottom"/>
          </w:tcPr>
          <w:p>
            <w:pPr>
              <w:jc w:val="center"/>
              <w:ind w:left="542"/>
              <w:spacing w:after="0"/>
              <w:rPr>
                <w:sz w:val="20"/>
                <w:szCs w:val="20"/>
                <w:color w:val="auto"/>
              </w:rPr>
            </w:pPr>
            <w:r>
              <w:rPr>
                <w:rFonts w:ascii="Times New Roman" w:cs="Times New Roman" w:eastAsia="Times New Roman" w:hAnsi="Times New Roman"/>
                <w:sz w:val="18"/>
                <w:szCs w:val="18"/>
                <w:b w:val="1"/>
                <w:bCs w:val="1"/>
                <w:color w:val="auto"/>
                <w:w w:val="98"/>
              </w:rPr>
              <w:t>27-2812840</w:t>
            </w:r>
          </w:p>
        </w:tc>
      </w:tr>
      <w:tr>
        <w:trPr>
          <w:trHeight w:val="149"/>
        </w:trPr>
        <w:tc>
          <w:tcPr>
            <w:tcW w:w="2120" w:type="dxa"/>
            <w:vAlign w:val="bottom"/>
          </w:tcPr>
          <w:p>
            <w:pPr>
              <w:jc w:val="center"/>
              <w:ind w:right="40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160" w:type="dxa"/>
            <w:vAlign w:val="bottom"/>
          </w:tcPr>
          <w:p>
            <w:pPr>
              <w:jc w:val="center"/>
              <w:ind w:right="19"/>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720" w:type="dxa"/>
            <w:vAlign w:val="bottom"/>
          </w:tcPr>
          <w:p>
            <w:pPr>
              <w:jc w:val="center"/>
              <w:ind w:left="52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120" w:type="dxa"/>
            <w:vAlign w:val="bottom"/>
          </w:tcPr>
          <w:p>
            <w:pPr>
              <w:jc w:val="center"/>
              <w:ind w:right="40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16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720" w:type="dxa"/>
            <w:vAlign w:val="bottom"/>
          </w:tcPr>
          <w:p>
            <w:pPr>
              <w:jc w:val="center"/>
              <w:ind w:left="52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2120" w:type="dxa"/>
            <w:vAlign w:val="bottom"/>
          </w:tcPr>
          <w:p>
            <w:pPr>
              <w:spacing w:after="0"/>
              <w:rPr>
                <w:sz w:val="24"/>
                <w:szCs w:val="24"/>
                <w:color w:val="auto"/>
              </w:rPr>
            </w:pPr>
          </w:p>
        </w:tc>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3001 Deming Way</w:t>
            </w:r>
          </w:p>
        </w:tc>
        <w:tc>
          <w:tcPr>
            <w:tcW w:w="1720" w:type="dxa"/>
            <w:vAlign w:val="bottom"/>
          </w:tcPr>
          <w:p>
            <w:pPr>
              <w:spacing w:after="0"/>
              <w:rPr>
                <w:sz w:val="24"/>
                <w:szCs w:val="24"/>
                <w:color w:val="auto"/>
              </w:rPr>
            </w:pPr>
          </w:p>
        </w:tc>
      </w:tr>
      <w:tr>
        <w:trPr>
          <w:trHeight w:val="227"/>
        </w:trPr>
        <w:tc>
          <w:tcPr>
            <w:tcW w:w="2120" w:type="dxa"/>
            <w:vAlign w:val="bottom"/>
          </w:tcPr>
          <w:p>
            <w:pPr>
              <w:spacing w:after="0"/>
              <w:rPr>
                <w:sz w:val="19"/>
                <w:szCs w:val="19"/>
                <w:color w:val="auto"/>
              </w:rPr>
            </w:pPr>
          </w:p>
        </w:tc>
        <w:tc>
          <w:tcPr>
            <w:tcW w:w="5160" w:type="dxa"/>
            <w:vAlign w:val="bottom"/>
          </w:tcPr>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Middleton, Wisconsin 53562</w:t>
            </w:r>
          </w:p>
        </w:tc>
        <w:tc>
          <w:tcPr>
            <w:tcW w:w="1720" w:type="dxa"/>
            <w:vAlign w:val="bottom"/>
          </w:tcPr>
          <w:p>
            <w:pPr>
              <w:spacing w:after="0"/>
              <w:rPr>
                <w:sz w:val="19"/>
                <w:szCs w:val="19"/>
                <w:color w:val="auto"/>
              </w:rPr>
            </w:pPr>
          </w:p>
        </w:tc>
      </w:tr>
      <w:tr>
        <w:trPr>
          <w:trHeight w:val="190"/>
        </w:trPr>
        <w:tc>
          <w:tcPr>
            <w:tcW w:w="2120" w:type="dxa"/>
            <w:vAlign w:val="bottom"/>
          </w:tcPr>
          <w:p>
            <w:pPr>
              <w:spacing w:after="0"/>
              <w:rPr>
                <w:sz w:val="16"/>
                <w:szCs w:val="16"/>
                <w:color w:val="auto"/>
              </w:rPr>
            </w:pPr>
          </w:p>
        </w:tc>
        <w:tc>
          <w:tcPr>
            <w:tcW w:w="516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720" w:type="dxa"/>
            <w:vAlign w:val="bottom"/>
          </w:tcPr>
          <w:p>
            <w:pPr>
              <w:spacing w:after="0"/>
              <w:rPr>
                <w:sz w:val="16"/>
                <w:szCs w:val="16"/>
                <w:color w:val="auto"/>
              </w:rPr>
            </w:pPr>
          </w:p>
        </w:tc>
      </w:tr>
      <w:tr>
        <w:trPr>
          <w:trHeight w:val="390"/>
        </w:trPr>
        <w:tc>
          <w:tcPr>
            <w:tcW w:w="2120" w:type="dxa"/>
            <w:vAlign w:val="bottom"/>
          </w:tcPr>
          <w:p>
            <w:pPr>
              <w:spacing w:after="0"/>
              <w:rPr>
                <w:sz w:val="24"/>
                <w:szCs w:val="24"/>
                <w:color w:val="auto"/>
              </w:rPr>
            </w:pPr>
          </w:p>
        </w:tc>
        <w:tc>
          <w:tcPr>
            <w:tcW w:w="5160" w:type="dxa"/>
            <w:vAlign w:val="bottom"/>
          </w:tcPr>
          <w:p>
            <w:pPr>
              <w:jc w:val="right"/>
              <w:ind w:right="1979"/>
              <w:spacing w:after="0"/>
              <w:rPr>
                <w:sz w:val="20"/>
                <w:szCs w:val="20"/>
                <w:color w:val="auto"/>
              </w:rPr>
            </w:pPr>
            <w:r>
              <w:rPr>
                <w:rFonts w:ascii="Times New Roman" w:cs="Times New Roman" w:eastAsia="Times New Roman" w:hAnsi="Times New Roman"/>
                <w:sz w:val="18"/>
                <w:szCs w:val="18"/>
                <w:b w:val="1"/>
                <w:bCs w:val="1"/>
                <w:color w:val="auto"/>
              </w:rPr>
              <w:t>(608) 275-3340</w:t>
            </w:r>
          </w:p>
        </w:tc>
        <w:tc>
          <w:tcPr>
            <w:tcW w:w="1720" w:type="dxa"/>
            <w:vAlign w:val="bottom"/>
          </w:tcPr>
          <w:p>
            <w:pPr>
              <w:spacing w:after="0"/>
              <w:rPr>
                <w:sz w:val="24"/>
                <w:szCs w:val="24"/>
                <w:color w:val="auto"/>
              </w:rPr>
            </w:pPr>
          </w:p>
        </w:tc>
      </w:tr>
      <w:tr>
        <w:trPr>
          <w:trHeight w:val="190"/>
        </w:trPr>
        <w:tc>
          <w:tcPr>
            <w:tcW w:w="2120" w:type="dxa"/>
            <w:vAlign w:val="bottom"/>
          </w:tcPr>
          <w:p>
            <w:pPr>
              <w:spacing w:after="0"/>
              <w:rPr>
                <w:sz w:val="16"/>
                <w:szCs w:val="16"/>
                <w:color w:val="auto"/>
              </w:rPr>
            </w:pPr>
          </w:p>
        </w:tc>
        <w:tc>
          <w:tcPr>
            <w:tcW w:w="516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720" w:type="dxa"/>
            <w:vAlign w:val="bottom"/>
          </w:tcPr>
          <w:p>
            <w:pPr>
              <w:spacing w:after="0"/>
              <w:rPr>
                <w:sz w:val="16"/>
                <w:szCs w:val="16"/>
                <w:color w:val="auto"/>
              </w:rPr>
            </w:pPr>
          </w:p>
        </w:tc>
      </w:tr>
      <w:tr>
        <w:trPr>
          <w:trHeight w:val="390"/>
        </w:trPr>
        <w:tc>
          <w:tcPr>
            <w:tcW w:w="2120" w:type="dxa"/>
            <w:vAlign w:val="bottom"/>
          </w:tcPr>
          <w:p>
            <w:pPr>
              <w:spacing w:after="0"/>
              <w:rPr>
                <w:sz w:val="24"/>
                <w:szCs w:val="24"/>
                <w:color w:val="auto"/>
              </w:rPr>
            </w:pPr>
          </w:p>
        </w:tc>
        <w:tc>
          <w:tcPr>
            <w:tcW w:w="5160" w:type="dxa"/>
            <w:vAlign w:val="bottom"/>
          </w:tcPr>
          <w:p>
            <w:pPr>
              <w:jc w:val="center"/>
              <w:ind w:right="19"/>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c>
          <w:tcPr>
            <w:tcW w:w="1720" w:type="dxa"/>
            <w:vAlign w:val="bottom"/>
          </w:tcPr>
          <w:p>
            <w:pPr>
              <w:spacing w:after="0"/>
              <w:rPr>
                <w:sz w:val="24"/>
                <w:szCs w:val="24"/>
                <w:color w:val="auto"/>
              </w:rPr>
            </w:pPr>
          </w:p>
        </w:tc>
      </w:tr>
      <w:tr>
        <w:trPr>
          <w:trHeight w:val="190"/>
        </w:trPr>
        <w:tc>
          <w:tcPr>
            <w:tcW w:w="2120" w:type="dxa"/>
            <w:vAlign w:val="bottom"/>
          </w:tcPr>
          <w:p>
            <w:pPr>
              <w:spacing w:after="0"/>
              <w:rPr>
                <w:sz w:val="16"/>
                <w:szCs w:val="16"/>
                <w:color w:val="auto"/>
              </w:rPr>
            </w:pPr>
          </w:p>
        </w:tc>
        <w:tc>
          <w:tcPr>
            <w:tcW w:w="516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72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220980</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9" w:lineRule="exact"/>
        <w:rPr>
          <w:sz w:val="24"/>
          <w:szCs w:val="24"/>
          <w:color w:val="auto"/>
        </w:rPr>
      </w:pPr>
    </w:p>
    <w:p>
      <w:pPr>
        <w:ind w:left="4" w:right="1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(§232.405 of this chapter) or Rule 12b-2 of the Securities Exchange Act of 1934 (§240.12b-2 of this chapter).</w:t>
      </w:r>
    </w:p>
    <w:p>
      <w:pPr>
        <w:sectPr>
          <w:pgSz w:w="11900" w:h="16838" w:orient="portrait"/>
          <w:cols w:equalWidth="0" w:num="1">
            <w:col w:w="10724"/>
          </w:cols>
          <w:pgMar w:left="436" w:top="443" w:right="739" w:bottom="0" w:gutter="0" w:footer="0" w:header="0"/>
        </w:sectPr>
      </w:pPr>
    </w:p>
    <w:p>
      <w:pPr>
        <w:spacing w:after="0" w:line="18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7"/>
          <w:szCs w:val="17"/>
          <w:color w:val="auto"/>
        </w:rPr>
        <w:t>Spectrum Brands Holdings, Inc.</w:t>
      </w:r>
    </w:p>
    <w:p>
      <w:pPr>
        <w:spacing w:after="0" w:line="3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SB/RH Holdings, LLC</w:t>
      </w:r>
    </w:p>
    <w:p>
      <w:pPr>
        <w:spacing w:after="0" w:line="20" w:lineRule="exact"/>
        <w:rPr>
          <w:sz w:val="24"/>
          <w:szCs w:val="24"/>
          <w:color w:val="auto"/>
        </w:rPr>
      </w:pPr>
      <w:r>
        <w:rPr>
          <w:sz w:val="24"/>
          <w:szCs w:val="24"/>
          <w:color w:val="auto"/>
        </w:rPr>
        <w:br w:type="column"/>
      </w:r>
    </w:p>
    <w:p>
      <w:pPr>
        <w:spacing w:after="0" w:line="12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1" w:lineRule="exact"/>
        <w:rPr>
          <w:sz w:val="24"/>
          <w:szCs w:val="24"/>
          <w:color w:val="auto"/>
        </w:rPr>
      </w:pPr>
    </w:p>
    <w:p>
      <w:pPr>
        <w:sectPr>
          <w:pgSz w:w="11900" w:h="16838" w:orient="portrait"/>
          <w:cols w:equalWidth="0" w:num="2">
            <w:col w:w="2444" w:space="720"/>
            <w:col w:w="7560"/>
          </w:cols>
          <w:pgMar w:left="436" w:top="443" w:right="739" w:bottom="0" w:gutter="0" w:footer="0" w:header="0"/>
          <w:type w:val="continuous"/>
        </w:sectPr>
      </w:pPr>
    </w:p>
    <w:p>
      <w:pPr>
        <w:spacing w:after="0" w:line="7" w:lineRule="exact"/>
        <w:rPr>
          <w:sz w:val="24"/>
          <w:szCs w:val="24"/>
          <w:color w:val="auto"/>
        </w:rPr>
      </w:pPr>
    </w:p>
    <w:p>
      <w:pPr>
        <w:ind w:left="4" w:right="4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checkmark if the registrant has elected not to use the extended transition period for complying with any new or revised financial accounting standards provided pursuant to Section 13(a) of the Exchange Act.</w:t>
      </w:r>
    </w:p>
    <w:p>
      <w:pPr>
        <w:sectPr>
          <w:pgSz w:w="11900" w:h="16838" w:orient="portrait"/>
          <w:cols w:equalWidth="0" w:num="1">
            <w:col w:w="10724"/>
          </w:cols>
          <w:pgMar w:left="436" w:top="443" w:right="739" w:bottom="0" w:gutter="0" w:footer="0" w:header="0"/>
          <w:type w:val="continuous"/>
        </w:sectPr>
      </w:pPr>
    </w:p>
    <w:p>
      <w:pPr>
        <w:spacing w:after="0" w:line="18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7"/>
          <w:szCs w:val="17"/>
          <w:color w:val="auto"/>
        </w:rPr>
        <w:t>Spectrum Brands Holdings, Inc.</w:t>
      </w:r>
    </w:p>
    <w:p>
      <w:pPr>
        <w:spacing w:after="0" w:line="3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SB/RH Holdings, LLC</w:t>
      </w:r>
    </w:p>
    <w:p>
      <w:pPr>
        <w:spacing w:after="0" w:line="20" w:lineRule="exact"/>
        <w:rPr>
          <w:sz w:val="24"/>
          <w:szCs w:val="24"/>
          <w:color w:val="auto"/>
        </w:rPr>
      </w:pPr>
      <w:r>
        <w:rPr>
          <w:sz w:val="24"/>
          <w:szCs w:val="24"/>
          <w:color w:val="auto"/>
        </w:rPr>
        <w:br w:type="column"/>
      </w:r>
    </w:p>
    <w:p>
      <w:pPr>
        <w:spacing w:after="0" w:line="12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1" w:lineRule="exact"/>
        <w:rPr>
          <w:sz w:val="24"/>
          <w:szCs w:val="24"/>
          <w:color w:val="auto"/>
        </w:rPr>
      </w:pPr>
    </w:p>
    <w:p>
      <w:pPr>
        <w:sectPr>
          <w:pgSz w:w="11900" w:h="16838" w:orient="portrait"/>
          <w:cols w:equalWidth="0" w:num="2">
            <w:col w:w="2444" w:space="720"/>
            <w:col w:w="7560"/>
          </w:cols>
          <w:pgMar w:left="436" w:top="443" w:right="739" w:bottom="0" w:gutter="0" w:footer="0" w:header="0"/>
          <w:type w:val="continuous"/>
        </w:sectPr>
      </w:pPr>
    </w:p>
    <w:p>
      <w:pPr>
        <w:spacing w:after="0" w:line="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7"/>
          <w:szCs w:val="17"/>
          <w:color w:val="auto"/>
        </w:rPr>
        <w:t>Securities registered pursuant to Section 12(b) of the Exchange Act:</w:t>
      </w:r>
    </w:p>
    <w:p>
      <w:pPr>
        <w:sectPr>
          <w:pgSz w:w="11900" w:h="16838" w:orient="portrait"/>
          <w:cols w:equalWidth="0" w:num="1">
            <w:col w:w="10724"/>
          </w:cols>
          <w:pgMar w:left="436" w:top="443" w:right="7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27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Registrant</w:t>
            </w:r>
          </w:p>
        </w:tc>
        <w:tc>
          <w:tcPr>
            <w:tcW w:w="27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8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2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Exchange</w:t>
            </w:r>
          </w:p>
        </w:tc>
        <w:tc>
          <w:tcPr>
            <w:tcW w:w="0" w:type="dxa"/>
            <w:vAlign w:val="bottom"/>
          </w:tcPr>
          <w:p>
            <w:pPr>
              <w:spacing w:after="0"/>
              <w:rPr>
                <w:sz w:val="1"/>
                <w:szCs w:val="1"/>
                <w:color w:val="auto"/>
              </w:rPr>
            </w:pPr>
          </w:p>
        </w:tc>
      </w:tr>
      <w:tr>
        <w:trPr>
          <w:trHeight w:val="187"/>
        </w:trPr>
        <w:tc>
          <w:tcPr>
            <w:tcW w:w="2780" w:type="dxa"/>
            <w:vAlign w:val="bottom"/>
            <w:gridSpan w:val="2"/>
            <w:vMerge w:val="continue"/>
          </w:tcPr>
          <w:p>
            <w:pPr>
              <w:spacing w:after="0"/>
              <w:rPr>
                <w:sz w:val="16"/>
                <w:szCs w:val="16"/>
                <w:color w:val="auto"/>
              </w:rPr>
            </w:pPr>
          </w:p>
        </w:tc>
        <w:tc>
          <w:tcPr>
            <w:tcW w:w="2740" w:type="dxa"/>
            <w:vAlign w:val="bottom"/>
            <w:gridSpan w:val="2"/>
            <w:vMerge w:val="continue"/>
          </w:tcPr>
          <w:p>
            <w:pPr>
              <w:spacing w:after="0"/>
              <w:rPr>
                <w:sz w:val="16"/>
                <w:szCs w:val="16"/>
                <w:color w:val="auto"/>
              </w:rPr>
            </w:pPr>
          </w:p>
        </w:tc>
        <w:tc>
          <w:tcPr>
            <w:tcW w:w="28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2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2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Spectrum Brands Holdings, Inc.</w:t>
            </w:r>
          </w:p>
        </w:tc>
        <w:tc>
          <w:tcPr>
            <w:tcW w:w="160" w:type="dxa"/>
            <w:vAlign w:val="bottom"/>
          </w:tcPr>
          <w:p>
            <w:pPr>
              <w:spacing w:after="0"/>
              <w:rPr>
                <w:sz w:val="19"/>
                <w:szCs w:val="19"/>
                <w:color w:val="auto"/>
              </w:rPr>
            </w:pPr>
          </w:p>
        </w:tc>
        <w:tc>
          <w:tcPr>
            <w:tcW w:w="2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120" w:type="dxa"/>
            <w:vAlign w:val="bottom"/>
          </w:tcPr>
          <w:p>
            <w:pPr>
              <w:spacing w:after="0"/>
              <w:rPr>
                <w:sz w:val="19"/>
                <w:szCs w:val="19"/>
                <w:color w:val="auto"/>
              </w:rPr>
            </w:pPr>
          </w:p>
        </w:tc>
        <w:tc>
          <w:tcPr>
            <w:tcW w:w="2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SPB</w:t>
            </w:r>
          </w:p>
        </w:tc>
        <w:tc>
          <w:tcPr>
            <w:tcW w:w="100" w:type="dxa"/>
            <w:vAlign w:val="bottom"/>
          </w:tcPr>
          <w:p>
            <w:pPr>
              <w:spacing w:after="0"/>
              <w:rPr>
                <w:sz w:val="19"/>
                <w:szCs w:val="19"/>
                <w:color w:val="auto"/>
              </w:rPr>
            </w:pPr>
          </w:p>
        </w:tc>
        <w:tc>
          <w:tcPr>
            <w:tcW w:w="2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11"/>
        </w:trPr>
        <w:tc>
          <w:tcPr>
            <w:tcW w:w="26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26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6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7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345" w:right="439" w:bottom="1440" w:gutter="0" w:footer="0" w:header="0"/>
        </w:sectPr>
      </w:pPr>
    </w:p>
    <w:bookmarkStart w:id="2" w:name="page3"/>
    <w:bookmarkEnd w:id="2"/>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previously disclosed, on June 20, 2023, Spectrum Brands, Inc. (“SBI”), an indirect wholly-owned subsidiary of Spectrum Brands Holdings, Inc. (the “Company”), completed the sale of its Hardware and Home Improvement business to ASSA ABLOY (the “HHI Sale”) for $4.36 billion after customary adjustments. On May 20, 2024, SBI launched a tender offer and consent solicitation for its 4.00% Senior Notes due 2026, its 5.00% Senior Notes due 2029 and its 5.50% Senior Notes due 2030, and tender offer for its 3.875% Senior Notes due 2031 (collectively, the “Notes”).</w:t>
      </w:r>
    </w:p>
    <w:p>
      <w:pPr>
        <w:spacing w:after="0" w:line="18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certain circumstances, the “Limitation on Asset Sales” covenant in the respective indentures governing the Notes may require SBI to make offers to purchase Notes (“Asset Sale Offers”) using the “net proceeds” of the HHI Sale (as that term is defined in the indentures governing the Notes, “Net Proceeds”).</w:t>
      </w:r>
    </w:p>
    <w:p>
      <w:pPr>
        <w:spacing w:after="0" w:line="17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 this report, the Company is providing the estimated amount of Net Proceeds that remain available for Asset Sale Offers. The Company estimates the available Net Proceeds as follows:</w:t>
      </w:r>
    </w:p>
    <w:p>
      <w:pPr>
        <w:spacing w:after="0" w:line="172"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5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(in billions,</w:t>
            </w:r>
          </w:p>
        </w:tc>
      </w:tr>
      <w:tr>
        <w:trPr>
          <w:trHeight w:val="171"/>
        </w:trPr>
        <w:tc>
          <w:tcPr>
            <w:tcW w:w="5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rounded)</w:t>
            </w:r>
          </w:p>
        </w:tc>
      </w:t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proceeds from HHI Sale</w:t>
            </w:r>
          </w:p>
        </w:tc>
        <w:tc>
          <w:tcPr>
            <w:tcW w:w="122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Less:</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costs relating to the sale</w:t>
            </w: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Taxes payable, after taking into account tax sharing arrangements</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(0.8)</w:t>
            </w:r>
          </w:p>
        </w:tc>
      </w:t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Less:</w:t>
            </w: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debt</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 and purchases of assets</w:t>
            </w: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(0.5)</w:t>
            </w:r>
          </w:p>
        </w:tc>
      </w:tr>
      <w:tr>
        <w:trPr>
          <w:trHeight w:val="228"/>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Remaining Net Proceeds</w:t>
            </w:r>
          </w:p>
        </w:tc>
        <w:tc>
          <w:tcPr>
            <w:tcW w:w="980" w:type="dxa"/>
            <w:vAlign w:val="bottom"/>
          </w:tcPr>
          <w:p>
            <w:pPr>
              <w:spacing w:after="0"/>
              <w:rPr>
                <w:sz w:val="19"/>
                <w:szCs w:val="19"/>
                <w:color w:val="auto"/>
              </w:rPr>
            </w:pPr>
          </w:p>
        </w:tc>
        <w:tc>
          <w:tcPr>
            <w:tcW w:w="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Readers of this report should note that:</w:t>
      </w:r>
    </w:p>
    <w:p>
      <w:pPr>
        <w:spacing w:after="0" w:line="131" w:lineRule="exact"/>
        <w:rPr>
          <w:sz w:val="20"/>
          <w:szCs w:val="20"/>
          <w:color w:val="auto"/>
        </w:rPr>
      </w:pPr>
    </w:p>
    <w:p>
      <w:pPr>
        <w:ind w:left="960" w:right="6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presented in this report do not reflect the use of any Net Proceeds to complete the tender offers described above because as of the date of this report, SBI has not completed the purchase of any Notes pursuant to the tender offers;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presented in this report are approximations and subject to change;</w:t>
      </w:r>
    </w:p>
    <w:p>
      <w:pPr>
        <w:spacing w:after="0" w:line="130" w:lineRule="exact"/>
        <w:rPr>
          <w:rFonts w:ascii="Times New Roman" w:cs="Times New Roman" w:eastAsia="Times New Roman" w:hAnsi="Times New Roman"/>
          <w:sz w:val="18"/>
          <w:szCs w:val="18"/>
          <w:color w:val="auto"/>
        </w:rPr>
      </w:pPr>
    </w:p>
    <w:p>
      <w:pPr>
        <w:ind w:left="960" w:right="34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presented do not include any further investments or capital expenditures in the existing business or any asset acquisitions that could occur before an Asset Sale Offer is required to be made;</w:t>
      </w:r>
    </w:p>
    <w:p>
      <w:pPr>
        <w:spacing w:after="0" w:line="67" w:lineRule="exact"/>
        <w:rPr>
          <w:rFonts w:ascii="Times New Roman" w:cs="Times New Roman" w:eastAsia="Times New Roman" w:hAnsi="Times New Roman"/>
          <w:sz w:val="18"/>
          <w:szCs w:val="18"/>
          <w:color w:val="auto"/>
        </w:rPr>
      </w:pPr>
    </w:p>
    <w:p>
      <w:pPr>
        <w:ind w:left="960" w:right="26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SBI would be required to make an Asset Sale Offer depends on a number of factors, including the outcome of the tender offers and any other actions that SBI may take before an Asset Sale Offer is required to be made; and</w:t>
      </w:r>
    </w:p>
    <w:p>
      <w:pPr>
        <w:spacing w:after="0" w:line="67" w:lineRule="exact"/>
        <w:rPr>
          <w:rFonts w:ascii="Times New Roman" w:cs="Times New Roman" w:eastAsia="Times New Roman" w:hAnsi="Times New Roman"/>
          <w:sz w:val="18"/>
          <w:szCs w:val="18"/>
          <w:color w:val="auto"/>
        </w:rPr>
      </w:pPr>
    </w:p>
    <w:p>
      <w:pPr>
        <w:ind w:left="960" w:right="34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to a series of Notes, any Asset Sale Offer is only required to be made if the amount of available Net Proceeds on June 20, 2024 exceeds $50.0 million.</w:t>
      </w:r>
    </w:p>
    <w:p>
      <w:pPr>
        <w:spacing w:after="0" w:line="16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Company, SBI and their affiliates reserve the right, in their sole discretion and subject to applicable law, to upsize or otherwise change the terms of the tender offers, to redeem any of the Notes that remain outstanding after the completion of the tender offers in accordance with the terms of the respective indentures governing the Notes, to repurchase any such Notes in open market purchases, privately negotiated transactions or otherwise, upon such terms and at such prices as they may determine, which in each case may be more or less than the price to be paid pursuant to the tender offers, to defease the covenants of the Notes, including the covenant on the “Limitation on Asset Sales,” or to satisfy and discharge SBI’s obligations pursuant to the indentures governing such Notes.</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80"/>
          </w:cols>
          <w:pgMar w:left="440" w:top="293" w:right="47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28, 2024</w:t>
      </w:r>
    </w:p>
    <w:p>
      <w:pPr>
        <w:spacing w:after="0" w:line="24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SPECTRUM BRANDS HOLDINGS, INC.</w:t>
      </w:r>
    </w:p>
    <w:p>
      <w:pPr>
        <w:spacing w:after="0" w:line="229" w:lineRule="exact"/>
        <w:rPr>
          <w:sz w:val="20"/>
          <w:szCs w:val="20"/>
          <w:color w:val="auto"/>
        </w:rPr>
      </w:pPr>
    </w:p>
    <w:tbl>
      <w:tblPr>
        <w:tblLayout w:type="fixed"/>
        <w:tblInd w:w="552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Jeremy W. Smeltser</w:t>
            </w:r>
          </w:p>
        </w:tc>
      </w:tr>
      <w:tr>
        <w:trPr>
          <w:trHeight w:val="205"/>
        </w:trPr>
        <w:tc>
          <w:tcPr>
            <w:tcW w:w="6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Jeremy W. Smeltser</w:t>
            </w:r>
          </w:p>
        </w:tc>
      </w:tr>
      <w:tr>
        <w:trPr>
          <w:trHeight w:val="23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432"/>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SB/RH HOLDINGS, LLC</w:t>
            </w:r>
          </w:p>
        </w:tc>
      </w:tr>
      <w:tr>
        <w:trPr>
          <w:trHeight w:val="432"/>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Jeremy W. Smeltser</w:t>
            </w:r>
          </w:p>
        </w:tc>
      </w:tr>
      <w:tr>
        <w:trPr>
          <w:trHeight w:val="205"/>
        </w:trPr>
        <w:tc>
          <w:tcPr>
            <w:tcW w:w="6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Jeremy W. Smeltser</w:t>
            </w:r>
          </w:p>
        </w:tc>
      </w:tr>
      <w:tr>
        <w:trPr>
          <w:trHeight w:val="23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bl>
    <w:p>
      <w:pPr>
        <w:spacing w:after="0" w:line="1" w:lineRule="exact"/>
        <w:rPr>
          <w:sz w:val="20"/>
          <w:szCs w:val="20"/>
          <w:color w:val="auto"/>
        </w:rPr>
      </w:pPr>
    </w:p>
    <w:sectPr>
      <w:pgSz w:w="11900" w:h="16838" w:orient="portrait"/>
      <w:cols w:equalWidth="0" w:num="1">
        <w:col w:w="11020"/>
      </w:cols>
      <w:pgMar w:left="440" w:top="29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2024-05-28T17:40:50Z</dcterms:created>
  <dcterms:modified xsi:type="dcterms:W3CDTF">2024-05-28T17:40:50Z</dcterms:modified>
</cp:coreProperties>
</file>