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123" w:lineRule="exact"/>
        <w:rPr>
          <w:sz w:val="24"/>
          <w:szCs w:val="24"/>
          <w:color w:val="auto"/>
        </w:rPr>
      </w:pPr>
    </w:p>
    <w:p>
      <w:pPr>
        <w:ind w:left="4280" w:right="1800" w:hanging="2469"/>
        <w:spacing w:after="0" w:line="412" w:lineRule="auto"/>
        <w:tabs>
          <w:tab w:leader="none" w:pos="2132"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xml:space="preserve">QUARTERLY REPORT PURSUANT TO SECTION 13 OR 15(d) OF THE SECURITIES EXCHANGE ACT OF 1934 </w:t>
      </w:r>
      <w:r>
        <w:rPr>
          <w:rFonts w:ascii="Times New Roman" w:cs="Times New Roman" w:eastAsia="Times New Roman" w:hAnsi="Times New Roman"/>
          <w:sz w:val="14"/>
          <w:szCs w:val="14"/>
          <w:color w:val="auto"/>
        </w:rPr>
        <w:t>For the quarterly period ended March 30, 2025</w:t>
      </w:r>
    </w:p>
    <w:p>
      <w:pPr>
        <w:ind w:left="55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122" w:lineRule="exact"/>
        <w:rPr>
          <w:rFonts w:ascii="MS PGothic" w:cs="MS PGothic" w:eastAsia="MS PGothic" w:hAnsi="MS PGothic"/>
          <w:sz w:val="14"/>
          <w:szCs w:val="14"/>
          <w:color w:val="auto"/>
        </w:rPr>
      </w:pPr>
    </w:p>
    <w:p>
      <w:pPr>
        <w:ind w:left="4240" w:right="1800" w:hanging="2435"/>
        <w:spacing w:after="0" w:line="466" w:lineRule="auto"/>
        <w:tabs>
          <w:tab w:leader="none" w:pos="2115"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xml:space="preserve">TRANSITION REPORT PURSUANT TO SECTION 13 OR 15(d) OF THE SECURITIES EXCHANGE ACT OF 1934 </w:t>
      </w:r>
      <w:r>
        <w:rPr>
          <w:rFonts w:ascii="Times New Roman" w:cs="Times New Roman" w:eastAsia="Times New Roman" w:hAnsi="Times New Roman"/>
          <w:sz w:val="14"/>
          <w:szCs w:val="14"/>
          <w:color w:val="auto"/>
        </w:rPr>
        <w:t>For the transition period from ______ to______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-20320</wp:posOffset>
            </wp:positionV>
            <wp:extent cx="2468880"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29146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407670</wp:posOffset>
            </wp:positionV>
            <wp:extent cx="5349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2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No.</w:t>
            </w:r>
          </w:p>
        </w:tc>
        <w:tc>
          <w:tcPr>
            <w:tcW w:w="1300" w:type="dxa"/>
            <w:vAlign w:val="bottom"/>
            <w:gridSpan w:val="3"/>
            <w:vMerge w:val="restart"/>
          </w:tcPr>
          <w:p>
            <w:pPr>
              <w:spacing w:after="0"/>
              <w:rPr>
                <w:sz w:val="13"/>
                <w:szCs w:val="13"/>
                <w:color w:val="auto"/>
              </w:rPr>
            </w:pPr>
          </w:p>
        </w:tc>
        <w:tc>
          <w:tcPr>
            <w:tcW w:w="3400" w:type="dxa"/>
            <w:vAlign w:val="bottom"/>
          </w:tcPr>
          <w:p>
            <w:pPr>
              <w:jc w:val="center"/>
              <w:ind w:right="188"/>
              <w:spacing w:after="0" w:line="151" w:lineRule="exact"/>
              <w:rPr>
                <w:sz w:val="20"/>
                <w:szCs w:val="20"/>
                <w:color w:val="auto"/>
              </w:rPr>
            </w:pPr>
            <w:r>
              <w:rPr>
                <w:rFonts w:ascii="Times New Roman" w:cs="Times New Roman" w:eastAsia="Times New Roman" w:hAnsi="Times New Roman"/>
                <w:sz w:val="14"/>
                <w:szCs w:val="14"/>
                <w:b w:val="1"/>
                <w:bCs w:val="1"/>
                <w:color w:val="auto"/>
              </w:rPr>
              <w:t>Name of Registrant, State of Incorporation,</w:t>
            </w:r>
          </w:p>
        </w:tc>
        <w:tc>
          <w:tcPr>
            <w:tcW w:w="0" w:type="dxa"/>
            <w:vAlign w:val="bottom"/>
          </w:tcPr>
          <w:p>
            <w:pPr>
              <w:spacing w:after="0"/>
              <w:rPr>
                <w:sz w:val="1"/>
                <w:szCs w:val="1"/>
                <w:color w:val="auto"/>
              </w:rPr>
            </w:pPr>
          </w:p>
        </w:tc>
      </w:tr>
      <w:tr>
        <w:trPr>
          <w:trHeight w:val="109"/>
        </w:trPr>
        <w:tc>
          <w:tcPr>
            <w:tcW w:w="2740" w:type="dxa"/>
            <w:vAlign w:val="bottom"/>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Address of Principal Offices, and Telephone No.</w:t>
            </w:r>
          </w:p>
        </w:tc>
        <w:tc>
          <w:tcPr>
            <w:tcW w:w="0" w:type="dxa"/>
            <w:vAlign w:val="bottom"/>
          </w:tcPr>
          <w:p>
            <w:pPr>
              <w:spacing w:after="0"/>
              <w:rPr>
                <w:sz w:val="1"/>
                <w:szCs w:val="1"/>
                <w:color w:val="auto"/>
              </w:rPr>
            </w:pPr>
          </w:p>
        </w:tc>
      </w:tr>
      <w:tr>
        <w:trPr>
          <w:trHeight w:val="85"/>
        </w:trPr>
        <w:tc>
          <w:tcPr>
            <w:tcW w:w="2740" w:type="dxa"/>
            <w:vAlign w:val="bottom"/>
            <w:tcBorders>
              <w:bottom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74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rPr>
              <w:t>1-4219</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tc>
        <w:tc>
          <w:tcPr>
            <w:tcW w:w="0" w:type="dxa"/>
            <w:vAlign w:val="bottom"/>
          </w:tcPr>
          <w:p>
            <w:pPr>
              <w:spacing w:after="0"/>
              <w:rPr>
                <w:sz w:val="1"/>
                <w:szCs w:val="1"/>
                <w:color w:val="auto"/>
              </w:rPr>
            </w:pPr>
          </w:p>
        </w:tc>
      </w:tr>
      <w:tr>
        <w:trPr>
          <w:trHeight w:val="379"/>
        </w:trPr>
        <w:tc>
          <w:tcPr>
            <w:tcW w:w="2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(a Delaware corporation)</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3001 Deming Way</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Middleton, WI 53562</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(608) 275-3340</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www.spectrumbrands.com</w:t>
            </w:r>
          </w:p>
        </w:tc>
        <w:tc>
          <w:tcPr>
            <w:tcW w:w="0" w:type="dxa"/>
            <w:vAlign w:val="bottom"/>
          </w:tcPr>
          <w:p>
            <w:pPr>
              <w:spacing w:after="0"/>
              <w:rPr>
                <w:sz w:val="1"/>
                <w:szCs w:val="1"/>
                <w:color w:val="auto"/>
              </w:rPr>
            </w:pPr>
          </w:p>
        </w:tc>
      </w:tr>
      <w:tr>
        <w:trPr>
          <w:trHeight w:val="283"/>
        </w:trPr>
        <w:tc>
          <w:tcPr>
            <w:tcW w:w="4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Exchange Act:</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0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0" w:type="dxa"/>
            <w:vAlign w:val="bottom"/>
          </w:tcPr>
          <w:p>
            <w:pPr>
              <w:spacing w:after="0"/>
              <w:rPr>
                <w:sz w:val="1"/>
                <w:szCs w:val="1"/>
                <w:color w:val="auto"/>
              </w:rPr>
            </w:pPr>
          </w:p>
        </w:tc>
      </w:tr>
      <w:tr>
        <w:trPr>
          <w:trHeight w:val="23"/>
        </w:trPr>
        <w:tc>
          <w:tcPr>
            <w:tcW w:w="3680" w:type="dxa"/>
            <w:vAlign w:val="bottom"/>
            <w:gridSpan w:val="2"/>
          </w:tcPr>
          <w:p>
            <w:pPr>
              <w:spacing w:after="0"/>
              <w:rPr>
                <w:sz w:val="2"/>
                <w:szCs w:val="2"/>
                <w:color w:val="auto"/>
              </w:rPr>
            </w:pPr>
          </w:p>
        </w:tc>
        <w:tc>
          <w:tcPr>
            <w:tcW w:w="360" w:type="dxa"/>
            <w:vAlign w:val="bottom"/>
            <w:gridSpan w:val="2"/>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6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400" w:type="dxa"/>
            <w:vAlign w:val="bottom"/>
            <w:tcBorders>
              <w:top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rPr>
              <w:t>SPB</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-1362075</wp:posOffset>
            </wp:positionV>
            <wp:extent cx="3549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232410</wp:posOffset>
            </wp:positionH>
            <wp:positionV relativeFrom="paragraph">
              <wp:posOffset>76200</wp:posOffset>
            </wp:positionV>
            <wp:extent cx="17487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145"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4"/>
          <w:szCs w:val="14"/>
          <w:color w:val="auto"/>
        </w:rPr>
        <w:t>74-1339132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-375920</wp:posOffset>
            </wp:positionH>
            <wp:positionV relativeFrom="paragraph">
              <wp:posOffset>33655</wp:posOffset>
            </wp:positionV>
            <wp:extent cx="23399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New York Stock Exchange</w:t>
      </w:r>
    </w:p>
    <w:p>
      <w:pPr>
        <w:spacing w:after="0" w:line="230" w:lineRule="exact"/>
        <w:rPr>
          <w:sz w:val="24"/>
          <w:szCs w:val="24"/>
          <w:color w:val="auto"/>
        </w:rPr>
      </w:pPr>
    </w:p>
    <w:p>
      <w:pPr>
        <w:sectPr>
          <w:pgSz w:w="11900" w:h="16838" w:orient="portrait"/>
          <w:cols w:equalWidth="0" w:num="2">
            <w:col w:w="7440" w:space="680"/>
            <w:col w:w="3120"/>
          </w:cols>
          <w:pgMar w:left="320" w:top="265" w:right="339" w:bottom="1440" w:gutter="0" w:footer="0" w:header="0"/>
          <w:type w:val="continuous"/>
        </w:sect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2" w:lineRule="exact"/>
        <w:rPr>
          <w:sz w:val="24"/>
          <w:szCs w:val="24"/>
          <w:color w:val="auto"/>
        </w:rPr>
      </w:pPr>
    </w:p>
    <w:p>
      <w:pPr>
        <w:ind w:left="360"/>
        <w:spacing w:after="0"/>
        <w:tabs>
          <w:tab w:leader="none" w:pos="2780" w:val="left"/>
          <w:tab w:leader="none" w:pos="4900" w:val="left"/>
          <w:tab w:leader="none" w:pos="6920" w:val="left"/>
          <w:tab w:leader="none" w:pos="9180" w:val="left"/>
        </w:tabs>
        <w:rPr>
          <w:sz w:val="20"/>
          <w:szCs w:val="20"/>
          <w:color w:val="auto"/>
        </w:rPr>
      </w:pPr>
      <w:r>
        <w:rPr>
          <w:rFonts w:ascii="Times New Roman" w:cs="Times New Roman" w:eastAsia="Times New Roman" w:hAnsi="Times New Roman"/>
          <w:sz w:val="14"/>
          <w:szCs w:val="14"/>
          <w:b w:val="1"/>
          <w:bCs w:val="1"/>
          <w:color w:val="auto"/>
        </w:rPr>
        <w:t>Large Accelerated Filer</w:t>
      </w:r>
      <w:r>
        <w:rPr>
          <w:sz w:val="20"/>
          <w:szCs w:val="20"/>
          <w:color w:val="auto"/>
        </w:rPr>
        <w:tab/>
      </w:r>
      <w:r>
        <w:rPr>
          <w:rFonts w:ascii="Times New Roman" w:cs="Times New Roman" w:eastAsia="Times New Roman" w:hAnsi="Times New Roman"/>
          <w:sz w:val="14"/>
          <w:szCs w:val="14"/>
          <w:b w:val="1"/>
          <w:bCs w:val="1"/>
          <w:color w:val="auto"/>
        </w:rPr>
        <w:t>Accelerated Filer</w:t>
      </w:r>
      <w:r>
        <w:rPr>
          <w:sz w:val="20"/>
          <w:szCs w:val="20"/>
          <w:color w:val="auto"/>
        </w:rPr>
        <w:tab/>
      </w:r>
      <w:r>
        <w:rPr>
          <w:rFonts w:ascii="Times New Roman" w:cs="Times New Roman" w:eastAsia="Times New Roman" w:hAnsi="Times New Roman"/>
          <w:sz w:val="14"/>
          <w:szCs w:val="14"/>
          <w:b w:val="1"/>
          <w:bCs w:val="1"/>
          <w:color w:val="auto"/>
        </w:rPr>
        <w:t>Non-accelerated Filer</w:t>
      </w:r>
      <w:r>
        <w:rPr>
          <w:sz w:val="20"/>
          <w:szCs w:val="20"/>
          <w:color w:val="auto"/>
        </w:rPr>
        <w:tab/>
      </w:r>
      <w:r>
        <w:rPr>
          <w:rFonts w:ascii="Times New Roman" w:cs="Times New Roman" w:eastAsia="Times New Roman" w:hAnsi="Times New Roman"/>
          <w:sz w:val="14"/>
          <w:szCs w:val="14"/>
          <w:b w:val="1"/>
          <w:bCs w:val="1"/>
          <w:color w:val="auto"/>
        </w:rPr>
        <w:t>Smaller Reporting Company</w:t>
      </w:r>
      <w:r>
        <w:rPr>
          <w:sz w:val="20"/>
          <w:szCs w:val="20"/>
          <w:color w:val="auto"/>
        </w:rPr>
        <w:tab/>
      </w:r>
      <w:r>
        <w:rPr>
          <w:rFonts w:ascii="Times New Roman" w:cs="Times New Roman" w:eastAsia="Times New Roman" w:hAnsi="Times New Roman"/>
          <w:sz w:val="14"/>
          <w:szCs w:val="14"/>
          <w:b w:val="1"/>
          <w:bCs w:val="1"/>
          <w:color w:val="auto"/>
        </w:rPr>
        <w:t>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51"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4"/>
          <w:szCs w:val="14"/>
          <w:color w:val="auto"/>
        </w:rPr>
        <w:t>X</w:t>
      </w:r>
    </w:p>
    <w:p>
      <w:pPr>
        <w:spacing w:after="0" w:line="231"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ind w:right="3900"/>
        <w:spacing w:after="0" w:line="25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1, 2025, there were 25,003,906 shares outstanding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688975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We have made or implied certain forward-looking statements in this document. All statements, other than statements of historical facts included or incorporated by reference in this document, including the statements under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without limitation, statements or expectations regarding our business strategy, future free cash flows, tariffs, tariff impact and tariff mitigation efforts, future operations and operating model, financial condition, estimated revenues, projected costs, inventory management, supply chain and supply chain relocation efforts, earnings power, project synergies, prospects, plans and strategic objectives of management, the geopolitical environment and impact of tariffs, and information concerning expected actions of third parties are forward-looking statements. Our statements also reflect our expectations regarding tariffs which are based on currently known and effective tariffs, including tariffs placed by the U.S., on other countries and tariffs announced by other countries, on the U.S. and do not reflect tariffs that have been announced and delayed, or other additional tariffs which could result in additional costs. When used in this report, the words future, anticipate, pro forma, seek, intend, plan, envision, estimate, believe, belief, expect, project, forecast, outlook, earnings framework, goal, target, could, would, will, can, should, may and similar expressions are intended to identify forward-looking statements, although not all forward-looking statements contain such identifying words.</w:t>
      </w:r>
    </w:p>
    <w:p>
      <w:pPr>
        <w:spacing w:after="0" w:line="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Because these forward-looking statements are based upon our current expectations of future events and projections and are subject to a number of risks and uncertainties, many of which are beyond our control and some of which may change rapidly, actual results or outcomes may differ materially from those expressed or implied herein, and you should not place undue reliance on these statements. Important factors that could cause our actual results to differ materially from those expressed or implied herein include, without limitation:</w:t>
      </w:r>
    </w:p>
    <w:p>
      <w:pPr>
        <w:spacing w:after="0" w:line="76" w:lineRule="exact"/>
        <w:rPr>
          <w:sz w:val="20"/>
          <w:szCs w:val="20"/>
          <w:color w:val="auto"/>
        </w:rPr>
      </w:pPr>
    </w:p>
    <w:p>
      <w:pPr>
        <w:jc w:val="both"/>
        <w:ind w:left="340" w:hanging="332"/>
        <w:spacing w:after="0" w:line="262"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economic, social and political conditions or civil unrest, terrorist attacks, acts of war, natural disasters, other public health concerns or unrest in the United States (“U.S.”) or the international markets impacting our business, customers, employees (including our ability to retain and attract key personnel), manufacturing facilities, suppliers, capital markets, financial condition and results of operations, all of which tend to aggravate the other risks and uncertainties we face;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number of local, regional and global uncertainties could negatively impact our business;</w:t>
      </w:r>
    </w:p>
    <w:p>
      <w:pPr>
        <w:spacing w:after="0" w:line="11" w:lineRule="exact"/>
        <w:rPr>
          <w:rFonts w:ascii="Times New Roman" w:cs="Times New Roman" w:eastAsia="Times New Roman" w:hAnsi="Times New Roman"/>
          <w:sz w:val="14"/>
          <w:szCs w:val="14"/>
          <w:color w:val="auto"/>
        </w:rPr>
      </w:pPr>
    </w:p>
    <w:p>
      <w:pPr>
        <w:ind w:left="340" w:hanging="332"/>
        <w:spacing w:after="0" w:line="26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negative effect of the Russia-Ukraine war and the Israel-Hamas war and their impact on those regions and surrounding regions, including the Middle East and disruptions to international trade, supply chain and shipping routes and pricing, and on our operations and those operations of our customers, suppliers and other stakeholders;</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increased reliance on third-party partners, suppliers and distributors that are outside our control to achieve our business objectives;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 intervention with or influence on the operations of our suppliers, including in China;</w:t>
      </w:r>
    </w:p>
    <w:p>
      <w:pPr>
        <w:spacing w:after="0" w:line="4" w:lineRule="exact"/>
        <w:rPr>
          <w:rFonts w:ascii="Times New Roman" w:cs="Times New Roman" w:eastAsia="Times New Roman" w:hAnsi="Times New Roman"/>
          <w:sz w:val="14"/>
          <w:szCs w:val="14"/>
          <w:color w:val="auto"/>
        </w:rPr>
      </w:pPr>
    </w:p>
    <w:p>
      <w:pPr>
        <w:jc w:val="both"/>
        <w:ind w:left="340" w:hanging="332"/>
        <w:spacing w:after="0" w:line="259"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expenses resulting from the implementation of new business strategies, divestitures or current and proposed restructuring and optimization activities, including changes in inventory and distribution center changes which are complicated and involve coordination among a number of stakeholders, including our suppliers and transportation and logistics handlers;</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our indebtedness and financial leverage position on our business, financial condition and results of operations;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restrictions in our debt instruments on our ability to operate our business, finance our capital needs or pursue or expand business strategies;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comply with financial covenants and other provisions and restrictions of our debt instruments;</w:t>
      </w:r>
    </w:p>
    <w:p>
      <w:pPr>
        <w:spacing w:after="0" w:line="4" w:lineRule="exact"/>
        <w:rPr>
          <w:rFonts w:ascii="Times New Roman" w:cs="Times New Roman" w:eastAsia="Times New Roman" w:hAnsi="Times New Roman"/>
          <w:sz w:val="14"/>
          <w:szCs w:val="14"/>
          <w:color w:val="auto"/>
        </w:rPr>
      </w:pPr>
    </w:p>
    <w:p>
      <w:pPr>
        <w:jc w:val="both"/>
        <w:ind w:left="340" w:hanging="332"/>
        <w:spacing w:after="0" w:line="260"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general economic conditions, including the impact of, uncertainty around and changes to, tariffs and trade policies, including the tariffs announced by the Trump Administration in February and April 2025 and that may be announced in the future, tariff mitigation efforts (including supply chain relocation efforts), inflation, recession or fears of a recession, depression or fears of a depression, labor costs and stock market volatility or monetary or fiscal policies in the countries where we do business;</w:t>
      </w:r>
    </w:p>
    <w:p>
      <w:pPr>
        <w:ind w:left="340" w:hanging="332"/>
        <w:spacing w:after="0" w:line="254"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transportation and shipment costs, fuel costs, commodity prices, costs or availability of raw materials or terms and conditions available from suppliers, including suppliers’ willingness to advance credit;</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fluctuations;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foreign currency exchange rates that may impact our purchasing power, pricing and margin realization within international jurisdictions;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significant reduction in or dependence upon, sales to any significant retail customer(s), including their changes in retail inventory levels and management thereof;</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promotional activity or spending by competitors, or price reductions by competitors;</w:t>
      </w:r>
    </w:p>
    <w:p>
      <w:pPr>
        <w:spacing w:after="0" w:line="14" w:lineRule="exact"/>
        <w:rPr>
          <w:rFonts w:ascii="Times New Roman" w:cs="Times New Roman" w:eastAsia="Times New Roman" w:hAnsi="Times New Roman"/>
          <w:sz w:val="14"/>
          <w:szCs w:val="14"/>
          <w:color w:val="auto"/>
        </w:rPr>
      </w:pPr>
    </w:p>
    <w:p>
      <w:pPr>
        <w:ind w:left="340" w:hanging="332"/>
        <w:spacing w:after="0" w:line="25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introduction of new product features or technological developments by competitors and/or the development of new competitors or competitive brands, including via private label manufacturers;</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spending preferences, shopping trends, and demand for our products, particularly in light of economic stress;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successfully introduce new products, protect intellectual property and avoid infringing the intellectual property of third parties;</w:t>
      </w:r>
    </w:p>
    <w:p>
      <w:pPr>
        <w:spacing w:after="0" w:line="14" w:lineRule="exact"/>
        <w:rPr>
          <w:rFonts w:ascii="Times New Roman" w:cs="Times New Roman" w:eastAsia="Times New Roman" w:hAnsi="Times New Roman"/>
          <w:sz w:val="14"/>
          <w:szCs w:val="14"/>
          <w:color w:val="auto"/>
        </w:rPr>
      </w:pPr>
    </w:p>
    <w:p>
      <w:pPr>
        <w:ind w:left="340" w:hanging="332"/>
        <w:spacing w:after="0" w:line="254"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identify, implement, achieve and sustain productivity improvements, cost efficiencies (including at our manufacturing and distribution operations) and cost savings;</w:t>
      </w:r>
    </w:p>
    <w:p>
      <w:pPr>
        <w:spacing w:after="0" w:line="17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seasonal nature of sales of certain of our products;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weather conditions may have on the sales of certain of our products;</w:t>
      </w:r>
    </w:p>
    <w:p>
      <w:pPr>
        <w:spacing w:after="0" w:line="14" w:lineRule="exact"/>
        <w:rPr>
          <w:rFonts w:ascii="Times New Roman" w:cs="Times New Roman" w:eastAsia="Times New Roman" w:hAnsi="Times New Roman"/>
          <w:sz w:val="14"/>
          <w:szCs w:val="14"/>
          <w:color w:val="auto"/>
        </w:rPr>
      </w:pPr>
    </w:p>
    <w:p>
      <w:pPr>
        <w:ind w:left="340" w:hanging="332"/>
        <w:spacing w:after="0" w:line="26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climate change and unusual weather activity as well as our ability to respond to future natural disasters and pandemics and to meet our environmental, social and governance goals;</w:t>
      </w:r>
    </w:p>
    <w:p>
      <w:pPr>
        <w:spacing w:after="0" w:line="17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effect of unanticipated legal, tax or regulatory proceedings or new laws or regulations (including environmental, public health and consumer protection regulations);</w:t>
      </w:r>
    </w:p>
    <w:p>
      <w:pPr>
        <w:spacing w:after="0" w:line="4" w:lineRule="exact"/>
        <w:rPr>
          <w:rFonts w:ascii="Times New Roman" w:cs="Times New Roman" w:eastAsia="Times New Roman" w:hAnsi="Times New Roman"/>
          <w:sz w:val="14"/>
          <w:szCs w:val="14"/>
          <w:color w:val="auto"/>
        </w:rPr>
      </w:pPr>
    </w:p>
    <w:p>
      <w:pPr>
        <w:ind w:left="340" w:hanging="332"/>
        <w:spacing w:after="0" w:line="259"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use social media platforms as effective marketing tools and to manage negative commentary regarding us, and the impact of rules governing the use of e-commerce and social media;</w:t>
      </w:r>
    </w:p>
    <w:p>
      <w:pPr>
        <w:ind w:left="340" w:right="20" w:hanging="332"/>
        <w:spacing w:after="0" w:line="26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perception regarding the safety of products that we manufacture and sell, including the potential for environmental liabilities, product liability claims, litigation and other claims related to products manufactured by us and third parties;</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existing, pending or threatened litigation, government regulation or other requirements or operating standards applicable to our business;</w:t>
      </w:r>
    </w:p>
    <w:p>
      <w:pPr>
        <w:spacing w:after="0" w:line="4" w:lineRule="exact"/>
        <w:rPr>
          <w:rFonts w:ascii="Times New Roman" w:cs="Times New Roman" w:eastAsia="Times New Roman" w:hAnsi="Times New Roman"/>
          <w:sz w:val="14"/>
          <w:szCs w:val="14"/>
          <w:color w:val="auto"/>
        </w:rPr>
      </w:pPr>
    </w:p>
    <w:p>
      <w:pPr>
        <w:ind w:left="340" w:right="20" w:hanging="332"/>
        <w:spacing w:after="0" w:line="259"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cybersecurity breaches or our actual or perceived failure to protect company and personal data, including our failure to comply with new and increasingly complex global data privacy regulations;</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policies applicable to our business;</w:t>
      </w:r>
    </w:p>
    <w:p>
      <w:pPr>
        <w:spacing w:after="0" w:line="14" w:lineRule="exact"/>
        <w:rPr>
          <w:rFonts w:ascii="Times New Roman" w:cs="Times New Roman" w:eastAsia="Times New Roman" w:hAnsi="Times New Roman"/>
          <w:sz w:val="14"/>
          <w:szCs w:val="14"/>
          <w:color w:val="auto"/>
        </w:rPr>
      </w:pPr>
    </w:p>
    <w:p>
      <w:pPr>
        <w:ind w:left="340" w:hanging="332"/>
        <w:spacing w:after="0" w:line="25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discretion to adopt, conduct, suspend or discontinue any share repurchase program or conduct any debt repayments, redemptions, repurchases or refinancing transactions (including our discretion to conduct purchases or repurchases, if any, in a variety of manners including open-market purchases, privately negotiated transactions, tender offers, redemptions, or otherwise);</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net operating loss carry-forwards to offset tax liabilities;</w:t>
      </w:r>
    </w:p>
    <w:p>
      <w:pPr>
        <w:spacing w:after="0" w:line="14" w:lineRule="exact"/>
        <w:rPr>
          <w:rFonts w:ascii="Times New Roman" w:cs="Times New Roman" w:eastAsia="Times New Roman" w:hAnsi="Times New Roman"/>
          <w:sz w:val="14"/>
          <w:szCs w:val="14"/>
          <w:color w:val="auto"/>
        </w:rPr>
      </w:pPr>
    </w:p>
    <w:p>
      <w:pPr>
        <w:ind w:left="340" w:hanging="332"/>
        <w:spacing w:after="0" w:line="26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separate the Company’s Home and Personal Care (“HPC”) business and create an independent Global Appliances business on expected terms, and within the anticipated time period, or at all, and to realize the potential benefits of such business;</w:t>
      </w:r>
    </w:p>
    <w:p>
      <w:pPr>
        <w:ind w:left="340" w:hanging="332"/>
        <w:spacing w:after="0" w:line="263"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create a pure play consumer products company composed of our Global Pet Care (“GPC”) and Home &amp; Garden ("H&amp;G") businesses and to realize the expected benefits of such creation, and within the anticipated time period, or at all;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implement and realize the benefits of acquisitions or dispositions and the impact of any such transactions on our financial performance;</w:t>
      </w:r>
    </w:p>
    <w:p>
      <w:pPr>
        <w:spacing w:after="0" w:line="17" w:lineRule="exact"/>
        <w:rPr>
          <w:rFonts w:ascii="Times New Roman" w:cs="Times New Roman" w:eastAsia="Times New Roman" w:hAnsi="Times New Roman"/>
          <w:sz w:val="14"/>
          <w:szCs w:val="14"/>
          <w:color w:val="auto"/>
        </w:rPr>
      </w:pPr>
    </w:p>
    <w:p>
      <w:pPr>
        <w:ind w:left="340" w:hanging="332"/>
        <w:spacing w:after="0" w:line="259" w:lineRule="auto"/>
        <w:tabs>
          <w:tab w:leader="none" w:pos="3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our goals and aspirations related to the reduction of greenhouse gas emissions or otherwise meet the expectations of our stakeholders with respect to environmental, social and governance matters;</w:t>
      </w: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actions taken by significant shareholders; and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unanticipated loss of key members of senior management and the transition of new members of our management teams to their new roles.</w:t>
      </w:r>
    </w:p>
    <w:p>
      <w:pPr>
        <w:spacing w:after="0" w:line="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Some of the above-mentioned factors are described in further detail in the sections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our annual and quarterly reports (including this report), as applicable. You should assume the information appearing in this report is accurate only as of the end of the period covered by this report, or as otherwise specified, as our business, financial condition, results of operations and prospects may have changed since that date. Except as required by applicable law, including the securities laws of the U.S. and the rules and regulations of the United States Securities and Exchange Commission (“SEC”), we undertake no obligation to publicly update or revise any forward-looking statement, whether as a result of new information, future events or otherwise, to reflect actual results or changes in factors or assumptions affecting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6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18"/>
        </w:trPr>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9"/>
        </w:trPr>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101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INFORMATION</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2"/>
        </w:trPr>
        <w:tc>
          <w:tcPr>
            <w:tcW w:w="2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0000FF"/>
              </w:rPr>
              <w:t>Item 1.</w:t>
            </w:r>
          </w:p>
        </w:tc>
        <w:tc>
          <w:tcPr>
            <w:tcW w:w="10140" w:type="dxa"/>
            <w:vAlign w:val="bottom"/>
            <w:tcBorders>
              <w:top w:val="single" w:sz="8" w:color="CCEEFF"/>
            </w:tcBorders>
            <w:gridSpan w:val="15"/>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0000FF"/>
              </w:rPr>
              <w:t>4</w:t>
            </w:r>
          </w:p>
        </w:tc>
        <w:tc>
          <w:tcPr>
            <w:tcW w:w="20" w:type="dxa"/>
            <w:vAlign w:val="bottom"/>
            <w:tcBorders>
              <w:top w:val="single" w:sz="8" w:color="CCEEFF"/>
            </w:tcBorders>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40" w:type="dxa"/>
            <w:vAlign w:val="bottom"/>
            <w:tcBorders>
              <w:bottom w:val="single" w:sz="8" w:color="0000FF"/>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Condensed Consolidated Statements of Financial Position as of March 30, 2025 and September 30, 2024</w:t>
            </w:r>
          </w:p>
        </w:tc>
        <w:tc>
          <w:tcPr>
            <w:tcW w:w="4100" w:type="dxa"/>
            <w:vAlign w:val="bottom"/>
            <w:tcBorders>
              <w:bottom w:val="single" w:sz="8" w:color="CCEEFF"/>
            </w:tcBorders>
            <w:gridSpan w:val="5"/>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rPr>
              <w:t>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Statements of Income for the three and six month periods ended March 30, 2025 and March 31, 2024</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w:t>
            </w:r>
          </w:p>
        </w:tc>
        <w:tc>
          <w:tcPr>
            <w:tcW w:w="20" w:type="dxa"/>
            <w:vAlign w:val="bottom"/>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40" w:type="dxa"/>
            <w:vAlign w:val="bottom"/>
            <w:tcBorders>
              <w:bottom w:val="single" w:sz="8" w:color="0000FF"/>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Income for the three and six month periods ended March 30, 2025 and March 31, 2024</w:t>
            </w:r>
          </w:p>
        </w:tc>
        <w:tc>
          <w:tcPr>
            <w:tcW w:w="19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rPr>
              <w:t>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Statements of Shareholders’ Equity for the six month periods ended March 30, 2025 and March 31, 2024</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w:t>
            </w:r>
          </w:p>
        </w:tc>
        <w:tc>
          <w:tcPr>
            <w:tcW w:w="2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980" w:type="dxa"/>
            <w:vAlign w:val="bottom"/>
            <w:tcBorders>
              <w:bottom w:val="single" w:sz="8" w:color="0000FF"/>
            </w:tcBorders>
            <w:gridSpan w:val="11"/>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 for the six month periods ended March 30, 2025 and March 31, 2024</w:t>
            </w:r>
          </w:p>
        </w:tc>
        <w:tc>
          <w:tcPr>
            <w:tcW w:w="3160" w:type="dxa"/>
            <w:vAlign w:val="bottom"/>
            <w:tcBorders>
              <w:bottom w:val="single" w:sz="8" w:color="CCEEFF"/>
            </w:tcBorders>
            <w:gridSpan w:val="4"/>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rPr>
              <w:t>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Notes to the Condensed Consolidated Financial Statements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w:t>
            </w:r>
          </w:p>
        </w:tc>
        <w:tc>
          <w:tcPr>
            <w:tcW w:w="20" w:type="dxa"/>
            <w:vAlign w:val="bottom"/>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2.</w:t>
            </w:r>
          </w:p>
        </w:tc>
        <w:tc>
          <w:tcPr>
            <w:tcW w:w="340" w:type="dxa"/>
            <w:vAlign w:val="bottom"/>
            <w:gridSpan w:val="2"/>
            <w:shd w:val="clear" w:color="auto" w:fill="CCEEFF"/>
          </w:tcPr>
          <w:p>
            <w:pPr>
              <w:spacing w:after="0"/>
              <w:rPr>
                <w:sz w:val="18"/>
                <w:szCs w:val="18"/>
                <w:color w:val="auto"/>
              </w:rPr>
            </w:pPr>
          </w:p>
        </w:tc>
        <w:tc>
          <w:tcPr>
            <w:tcW w:w="101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rPr>
              <w:t>22</w:t>
            </w:r>
          </w:p>
        </w:tc>
        <w:tc>
          <w:tcPr>
            <w:tcW w:w="2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4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Item 3.</w:t>
            </w:r>
          </w:p>
        </w:tc>
        <w:tc>
          <w:tcPr>
            <w:tcW w:w="340" w:type="dxa"/>
            <w:vAlign w:val="bottom"/>
            <w:tcBorders>
              <w:top w:val="single" w:sz="8" w:color="CCEEFF"/>
            </w:tcBorders>
            <w:gridSpan w:val="2"/>
          </w:tcPr>
          <w:p>
            <w:pPr>
              <w:spacing w:after="0"/>
              <w:rPr>
                <w:sz w:val="14"/>
                <w:szCs w:val="14"/>
                <w:color w:val="auto"/>
              </w:rPr>
            </w:pPr>
          </w:p>
        </w:tc>
        <w:tc>
          <w:tcPr>
            <w:tcW w:w="51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4980" w:type="dxa"/>
            <w:vAlign w:val="bottom"/>
            <w:tcBorders>
              <w:top w:val="single" w:sz="8" w:color="CCEEFF"/>
            </w:tcBorders>
            <w:gridSpan w:val="6"/>
          </w:tcPr>
          <w:p>
            <w:pPr>
              <w:spacing w:after="0"/>
              <w:rPr>
                <w:sz w:val="14"/>
                <w:szCs w:val="14"/>
                <w:color w:val="auto"/>
              </w:rPr>
            </w:pPr>
          </w:p>
        </w:tc>
        <w:tc>
          <w:tcPr>
            <w:tcW w:w="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0000FF"/>
              </w:rPr>
              <w:t>30</w:t>
            </w:r>
          </w:p>
        </w:tc>
        <w:tc>
          <w:tcPr>
            <w:tcW w:w="20" w:type="dxa"/>
            <w:vAlign w:val="bottom"/>
            <w:tcBorders>
              <w:top w:val="single" w:sz="8" w:color="CCEEFF"/>
            </w:tcBorders>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4.</w:t>
            </w:r>
          </w:p>
        </w:tc>
        <w:tc>
          <w:tcPr>
            <w:tcW w:w="340" w:type="dxa"/>
            <w:vAlign w:val="bottom"/>
            <w:tcBorders>
              <w:bottom w:val="single" w:sz="8" w:color="CCEEFF"/>
            </w:tcBorders>
            <w:gridSpan w:val="2"/>
            <w:shd w:val="clear" w:color="auto" w:fill="CCEEFF"/>
          </w:tcPr>
          <w:p>
            <w:pPr>
              <w:spacing w:after="0"/>
              <w:rPr>
                <w:sz w:val="18"/>
                <w:szCs w:val="18"/>
                <w:color w:val="auto"/>
              </w:rPr>
            </w:pPr>
          </w:p>
        </w:tc>
        <w:tc>
          <w:tcPr>
            <w:tcW w:w="1420" w:type="dxa"/>
            <w:vAlign w:val="bottom"/>
            <w:tcBorders>
              <w:bottom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8720" w:type="dxa"/>
            <w:vAlign w:val="bottom"/>
            <w:tcBorders>
              <w:bottom w:val="single" w:sz="8" w:color="CCEEFF"/>
            </w:tcBorders>
            <w:gridSpan w:val="10"/>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rPr>
              <w:t>30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62"/>
        </w:trPr>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1.</w:t>
            </w:r>
          </w:p>
        </w:tc>
        <w:tc>
          <w:tcPr>
            <w:tcW w:w="340" w:type="dxa"/>
            <w:vAlign w:val="bottom"/>
            <w:gridSpan w:val="2"/>
            <w:shd w:val="clear" w:color="auto" w:fill="CCEEFF"/>
          </w:tcPr>
          <w:p>
            <w:pPr>
              <w:spacing w:after="0"/>
              <w:rPr>
                <w:sz w:val="14"/>
                <w:szCs w:val="14"/>
                <w:color w:val="auto"/>
              </w:rPr>
            </w:pPr>
          </w:p>
        </w:tc>
        <w:tc>
          <w:tcPr>
            <w:tcW w:w="101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rPr>
              <w:t>30</w:t>
            </w:r>
          </w:p>
        </w:tc>
        <w:tc>
          <w:tcPr>
            <w:tcW w:w="20" w:type="dxa"/>
            <w:vAlign w:val="bottom"/>
            <w:shd w:val="clear" w:color="auto" w:fill="CCEEFF"/>
          </w:tcPr>
          <w:p>
            <w:pPr>
              <w:spacing w:after="0"/>
              <w:rPr>
                <w:sz w:val="14"/>
                <w:szCs w:val="14"/>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62"/>
        </w:trPr>
        <w:tc>
          <w:tcPr>
            <w:tcW w:w="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1A.</w:t>
            </w: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30</w:t>
            </w:r>
          </w:p>
        </w:tc>
        <w:tc>
          <w:tcPr>
            <w:tcW w:w="20" w:type="dxa"/>
            <w:vAlign w:val="bottom"/>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2.</w:t>
            </w:r>
          </w:p>
        </w:tc>
        <w:tc>
          <w:tcPr>
            <w:tcW w:w="340" w:type="dxa"/>
            <w:vAlign w:val="bottom"/>
            <w:tcBorders>
              <w:bottom w:val="single" w:sz="8" w:color="CCEEFF"/>
            </w:tcBorders>
            <w:gridSpan w:val="2"/>
            <w:shd w:val="clear" w:color="auto" w:fill="CCEEFF"/>
          </w:tcPr>
          <w:p>
            <w:pPr>
              <w:spacing w:after="0"/>
              <w:rPr>
                <w:sz w:val="18"/>
                <w:szCs w:val="18"/>
                <w:color w:val="auto"/>
              </w:rPr>
            </w:pPr>
          </w:p>
        </w:tc>
        <w:tc>
          <w:tcPr>
            <w:tcW w:w="3480" w:type="dxa"/>
            <w:vAlign w:val="bottom"/>
            <w:tcBorders>
              <w:bottom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6660" w:type="dxa"/>
            <w:vAlign w:val="bottom"/>
            <w:tcBorders>
              <w:bottom w:val="single" w:sz="8" w:color="CCEEFF"/>
            </w:tcBorders>
            <w:gridSpan w:val="7"/>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rPr>
              <w:t>31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5.</w:t>
            </w: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31</w:t>
            </w:r>
          </w:p>
        </w:tc>
        <w:tc>
          <w:tcPr>
            <w:tcW w:w="20" w:type="dxa"/>
            <w:vAlign w:val="bottom"/>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62"/>
        </w:trPr>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6.</w:t>
            </w:r>
          </w:p>
        </w:tc>
        <w:tc>
          <w:tcPr>
            <w:tcW w:w="340" w:type="dxa"/>
            <w:vAlign w:val="bottom"/>
            <w:gridSpan w:val="2"/>
            <w:shd w:val="clear" w:color="auto" w:fill="CCEEFF"/>
          </w:tcPr>
          <w:p>
            <w:pPr>
              <w:spacing w:after="0"/>
              <w:rPr>
                <w:sz w:val="14"/>
                <w:szCs w:val="14"/>
                <w:color w:val="auto"/>
              </w:rPr>
            </w:pPr>
          </w:p>
        </w:tc>
        <w:tc>
          <w:tcPr>
            <w:tcW w:w="101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FF"/>
              </w:rPr>
              <w:t>Exhibits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rPr>
              <w:t>31</w:t>
            </w:r>
          </w:p>
        </w:tc>
        <w:tc>
          <w:tcPr>
            <w:tcW w:w="20" w:type="dxa"/>
            <w:vAlign w:val="bottom"/>
            <w:shd w:val="clear" w:color="auto" w:fill="CCEEFF"/>
          </w:tcPr>
          <w:p>
            <w:pPr>
              <w:spacing w:after="0"/>
              <w:rPr>
                <w:sz w:val="14"/>
                <w:szCs w:val="14"/>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32</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5"/>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   Financial Statements (Unaudited)</w:t>
            </w: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0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60" w:type="dxa"/>
            <w:vAlign w:val="bottom"/>
            <w:gridSpan w:val="3"/>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660" w:type="dxa"/>
            <w:vAlign w:val="bottom"/>
            <w:gridSpan w:val="3"/>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Financial Position</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66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As of March 30, 2025 and September 30, 2024</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66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40" w:type="dxa"/>
            <w:vAlign w:val="bottom"/>
          </w:tcPr>
          <w:p>
            <w:pPr>
              <w:spacing w:after="0"/>
              <w:rPr>
                <w:sz w:val="24"/>
                <w:szCs w:val="24"/>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31"/>
        </w:trPr>
        <w:tc>
          <w:tcPr>
            <w:tcW w:w="3440" w:type="dxa"/>
            <w:vAlign w:val="bottom"/>
            <w:tcBorders>
              <w:bottom w:val="single" w:sz="8" w:color="auto"/>
            </w:tcBorders>
            <w:gridSpan w:val="2"/>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6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368.9</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 net</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635.4</w:t>
            </w:r>
          </w:p>
        </w:tc>
        <w:tc>
          <w:tcPr>
            <w:tcW w:w="0" w:type="dxa"/>
            <w:vAlign w:val="bottom"/>
          </w:tcPr>
          <w:p>
            <w:pPr>
              <w:spacing w:after="0"/>
              <w:rPr>
                <w:sz w:val="1"/>
                <w:szCs w:val="1"/>
                <w:color w:val="auto"/>
              </w:rPr>
            </w:pP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3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4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1,578.6</w:t>
            </w:r>
          </w:p>
        </w:tc>
        <w:tc>
          <w:tcPr>
            <w:tcW w:w="0" w:type="dxa"/>
            <w:vAlign w:val="bottom"/>
          </w:tcPr>
          <w:p>
            <w:pPr>
              <w:spacing w:after="0"/>
              <w:rPr>
                <w:sz w:val="1"/>
                <w:szCs w:val="1"/>
                <w:color w:val="auto"/>
              </w:rPr>
            </w:pP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0" w:type="dxa"/>
            <w:vAlign w:val="bottom"/>
          </w:tcPr>
          <w:p>
            <w:pPr>
              <w:spacing w:after="0"/>
              <w:rPr>
                <w:sz w:val="1"/>
                <w:szCs w:val="1"/>
                <w:color w:val="auto"/>
              </w:rPr>
            </w:pP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charges and other</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864.9</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43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945.2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990.4</w:t>
            </w:r>
          </w:p>
        </w:tc>
        <w:tc>
          <w:tcPr>
            <w:tcW w:w="0" w:type="dxa"/>
            <w:vAlign w:val="bottom"/>
          </w:tcPr>
          <w:p>
            <w:pPr>
              <w:spacing w:after="0"/>
              <w:rPr>
                <w:sz w:val="1"/>
                <w:szCs w:val="1"/>
                <w:color w:val="auto"/>
              </w:rPr>
            </w:pPr>
          </w:p>
        </w:tc>
      </w:tr>
      <w:tr>
        <w:trPr>
          <w:trHeight w:val="221"/>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4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3,537.0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440" w:type="dxa"/>
            <w:vAlign w:val="bottom"/>
            <w:gridSpan w:val="2"/>
            <w:vMerge w:val="continue"/>
          </w:tcPr>
          <w:p>
            <w:pPr>
              <w:spacing w:after="0"/>
              <w:rPr>
                <w:sz w:val="13"/>
                <w:szCs w:val="13"/>
                <w:color w:val="auto"/>
              </w:rPr>
            </w:pPr>
          </w:p>
        </w:tc>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46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397.3</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wages and salaries</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0" w:type="dxa"/>
            <w:vAlign w:val="bottom"/>
          </w:tcPr>
          <w:p>
            <w:pPr>
              <w:spacing w:after="0"/>
              <w:rPr>
                <w:sz w:val="1"/>
                <w:szCs w:val="1"/>
                <w:color w:val="auto"/>
              </w:rPr>
            </w:pP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payable</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43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140.3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4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687.1</w:t>
            </w:r>
          </w:p>
        </w:tc>
        <w:tc>
          <w:tcPr>
            <w:tcW w:w="0" w:type="dxa"/>
            <w:vAlign w:val="bottom"/>
          </w:tcPr>
          <w:p>
            <w:pPr>
              <w:spacing w:after="0"/>
              <w:rPr>
                <w:sz w:val="1"/>
                <w:szCs w:val="1"/>
                <w:color w:val="auto"/>
              </w:rPr>
            </w:pP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551.4</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0" w:type="dxa"/>
            <w:vAlign w:val="bottom"/>
          </w:tcPr>
          <w:p>
            <w:pPr>
              <w:spacing w:after="0"/>
              <w:rPr>
                <w:sz w:val="1"/>
                <w:szCs w:val="1"/>
                <w:color w:val="auto"/>
              </w:rPr>
            </w:pP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Uncertain tax benefit obligation</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43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4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1,700.6</w:t>
            </w:r>
          </w:p>
        </w:tc>
        <w:tc>
          <w:tcPr>
            <w:tcW w:w="0" w:type="dxa"/>
            <w:vAlign w:val="bottom"/>
          </w:tcPr>
          <w:p>
            <w:pPr>
              <w:spacing w:after="0"/>
              <w:rPr>
                <w:sz w:val="1"/>
                <w:szCs w:val="1"/>
                <w:color w:val="auto"/>
              </w:rPr>
            </w:pPr>
          </w:p>
        </w:tc>
      </w:tr>
      <w:tr>
        <w:trPr>
          <w:trHeight w:val="19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440" w:type="dxa"/>
            <w:vAlign w:val="bottom"/>
            <w:gridSpan w:val="2"/>
          </w:tcPr>
          <w:p>
            <w:pPr>
              <w:spacing w:after="0"/>
              <w:rPr>
                <w:sz w:val="4"/>
                <w:szCs w:val="4"/>
                <w:color w:val="auto"/>
              </w:rPr>
            </w:pPr>
          </w:p>
        </w:tc>
        <w:tc>
          <w:tcPr>
            <w:tcW w:w="4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4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1,988.1</w:t>
            </w:r>
          </w:p>
        </w:tc>
        <w:tc>
          <w:tcPr>
            <w:tcW w:w="0" w:type="dxa"/>
            <w:vAlign w:val="bottom"/>
          </w:tcPr>
          <w:p>
            <w:pPr>
              <w:spacing w:after="0"/>
              <w:rPr>
                <w:sz w:val="1"/>
                <w:szCs w:val="1"/>
                <w:color w:val="auto"/>
              </w:rPr>
            </w:pPr>
          </w:p>
        </w:tc>
      </w:tr>
      <w:tr>
        <w:trPr>
          <w:trHeight w:val="195"/>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Accumulated earnings</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2,167.3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2,169.0</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 net of tax</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Treasury stock</w:t>
            </w:r>
          </w:p>
        </w:tc>
        <w:tc>
          <w:tcPr>
            <w:tcW w:w="43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(1,812.7)</w:t>
            </w: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4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2,140.9</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43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equity</w:t>
            </w:r>
          </w:p>
        </w:tc>
        <w:tc>
          <w:tcPr>
            <w:tcW w:w="4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1,885.3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2,141.7</w:t>
            </w:r>
          </w:p>
        </w:tc>
        <w:tc>
          <w:tcPr>
            <w:tcW w:w="0" w:type="dxa"/>
            <w:vAlign w:val="bottom"/>
          </w:tcPr>
          <w:p>
            <w:pPr>
              <w:spacing w:after="0"/>
              <w:rPr>
                <w:sz w:val="1"/>
                <w:szCs w:val="1"/>
                <w:color w:val="auto"/>
              </w:rPr>
            </w:pPr>
          </w:p>
        </w:tc>
      </w:tr>
      <w:tr>
        <w:trPr>
          <w:trHeight w:val="190"/>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3,537.0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3,842.3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and six month periods ended March 30, 2025 and March 31, 2024</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80" w:type="dxa"/>
            <w:vAlign w:val="bottom"/>
          </w:tcPr>
          <w:p>
            <w:pPr>
              <w:spacing w:after="0"/>
              <w:rPr>
                <w:sz w:val="16"/>
                <w:szCs w:val="16"/>
                <w:color w:val="auto"/>
              </w:rPr>
            </w:pPr>
          </w:p>
        </w:tc>
        <w:tc>
          <w:tcPr>
            <w:tcW w:w="292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1"/>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w:t>
            </w: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Pr>
          <w:p>
            <w:pPr>
              <w:spacing w:after="0"/>
              <w:rPr>
                <w:sz w:val="16"/>
                <w:szCs w:val="16"/>
                <w:color w:val="auto"/>
              </w:rPr>
            </w:pPr>
          </w:p>
        </w:tc>
        <w:tc>
          <w:tcPr>
            <w:tcW w:w="13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30"/>
        </w:trPr>
        <w:tc>
          <w:tcPr>
            <w:tcW w:w="4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1,410.7</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892.3</w:t>
            </w:r>
          </w:p>
        </w:tc>
        <w:tc>
          <w:tcPr>
            <w:tcW w:w="0" w:type="dxa"/>
            <w:vAlign w:val="bottom"/>
          </w:tcPr>
          <w:p>
            <w:pPr>
              <w:spacing w:after="0"/>
              <w:rPr>
                <w:sz w:val="1"/>
                <w:szCs w:val="1"/>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518.4</w:t>
            </w:r>
          </w:p>
        </w:tc>
        <w:tc>
          <w:tcPr>
            <w:tcW w:w="0" w:type="dxa"/>
            <w:vAlign w:val="bottom"/>
          </w:tcPr>
          <w:p>
            <w:pPr>
              <w:spacing w:after="0"/>
              <w:rPr>
                <w:sz w:val="1"/>
                <w:szCs w:val="1"/>
                <w:color w:val="auto"/>
              </w:rPr>
            </w:pPr>
          </w:p>
        </w:tc>
      </w:tr>
      <w:tr>
        <w:trPr>
          <w:trHeight w:val="195"/>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&amp; administrative</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0" w:type="dxa"/>
            <w:vAlign w:val="bottom"/>
          </w:tcPr>
          <w:p>
            <w:pPr>
              <w:spacing w:after="0"/>
              <w:rPr>
                <w:sz w:val="1"/>
                <w:szCs w:val="1"/>
                <w:color w:val="auto"/>
              </w:rPr>
            </w:pPr>
          </w:p>
        </w:tc>
      </w:tr>
      <w:tr>
        <w:trPr>
          <w:trHeight w:val="210"/>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96"/>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Representation and warranty insurance proceeds</w:t>
            </w:r>
          </w:p>
        </w:tc>
        <w:tc>
          <w:tcPr>
            <w:tcW w:w="1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0" w:type="dxa"/>
            <w:vAlign w:val="bottom"/>
          </w:tcPr>
          <w:p>
            <w:pPr>
              <w:spacing w:after="0"/>
              <w:rPr>
                <w:sz w:val="1"/>
                <w:szCs w:val="1"/>
                <w:color w:val="auto"/>
              </w:rPr>
            </w:pPr>
          </w:p>
        </w:tc>
      </w:tr>
      <w:tr>
        <w:trPr>
          <w:trHeight w:val="210"/>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195"/>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210"/>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from early extinguishment of debt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(Loss) income from discontinued operations, net of tax</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0" w:type="dxa"/>
            <w:vAlign w:val="bottom"/>
          </w:tcPr>
          <w:p>
            <w:pPr>
              <w:spacing w:after="0"/>
              <w:rPr>
                <w:sz w:val="1"/>
                <w:szCs w:val="1"/>
                <w:color w:val="auto"/>
              </w:rPr>
            </w:pPr>
          </w:p>
        </w:tc>
      </w:tr>
      <w:tr>
        <w:trPr>
          <w:trHeight w:val="139"/>
        </w:trPr>
        <w:tc>
          <w:tcPr>
            <w:tcW w:w="49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(loss) from continuing operations attributable to non-controlling</w:t>
            </w:r>
          </w:p>
        </w:tc>
        <w:tc>
          <w:tcPr>
            <w:tcW w:w="1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3"/>
        </w:trPr>
        <w:tc>
          <w:tcPr>
            <w:tcW w:w="4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controlling interest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attributable to controlling interest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 attributable to controlling interest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39"/>
        </w:trPr>
        <w:tc>
          <w:tcPr>
            <w:tcW w:w="49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(Loss) income from discontinued operations attributable to controlling interest, net</w:t>
            </w:r>
          </w:p>
        </w:tc>
        <w:tc>
          <w:tcPr>
            <w:tcW w:w="1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93"/>
        </w:trPr>
        <w:tc>
          <w:tcPr>
            <w:tcW w:w="4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of tax</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controlling interest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 from continuing operations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Basic earnings per share from discontinued operations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0" w:type="dxa"/>
            <w:vAlign w:val="bottom"/>
          </w:tcPr>
          <w:p>
            <w:pPr>
              <w:spacing w:after="0"/>
              <w:rPr>
                <w:sz w:val="1"/>
                <w:szCs w:val="1"/>
                <w:color w:val="auto"/>
              </w:rPr>
            </w:pPr>
          </w:p>
        </w:tc>
      </w:tr>
      <w:tr>
        <w:trPr>
          <w:trHeight w:val="228"/>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Diluted earnings per share from continuing operations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40" w:type="dxa"/>
            <w:vAlign w:val="bottom"/>
            <w:gridSpan w:val="2"/>
            <w:vMerge w:val="continue"/>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1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 from discontinued operations</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0" w:type="dxa"/>
            <w:vAlign w:val="bottom"/>
          </w:tcPr>
          <w:p>
            <w:pPr>
              <w:spacing w:after="0"/>
              <w:rPr>
                <w:sz w:val="1"/>
                <w:szCs w:val="1"/>
                <w:color w:val="auto"/>
              </w:rPr>
            </w:pPr>
          </w:p>
        </w:tc>
      </w:tr>
      <w:tr>
        <w:trPr>
          <w:trHeight w:val="20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per share</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0" w:type="dxa"/>
            <w:vAlign w:val="bottom"/>
          </w:tcPr>
          <w:p>
            <w:pPr>
              <w:spacing w:after="0"/>
              <w:rPr>
                <w:sz w:val="1"/>
                <w:szCs w:val="1"/>
                <w:color w:val="auto"/>
              </w:rPr>
            </w:pPr>
          </w:p>
        </w:tc>
      </w:tr>
      <w:tr>
        <w:trPr>
          <w:trHeight w:val="196"/>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88"/>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and six month periods ended March 30, 2025 and March 31, 2024</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200" w:type="dxa"/>
            <w:vAlign w:val="bottom"/>
          </w:tcPr>
          <w:p>
            <w:pPr>
              <w:spacing w:after="0"/>
              <w:rPr>
                <w:sz w:val="17"/>
                <w:szCs w:val="17"/>
                <w:color w:val="auto"/>
              </w:rPr>
            </w:pPr>
          </w:p>
        </w:tc>
        <w:tc>
          <w:tcPr>
            <w:tcW w:w="290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Pr>
          <w:p>
            <w:pPr>
              <w:spacing w:after="0"/>
              <w:rPr>
                <w:sz w:val="16"/>
                <w:szCs w:val="16"/>
                <w:color w:val="auto"/>
              </w:rPr>
            </w:pPr>
          </w:p>
        </w:tc>
        <w:tc>
          <w:tcPr>
            <w:tcW w:w="13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31"/>
        </w:trPr>
        <w:tc>
          <w:tcPr>
            <w:tcW w:w="4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0" w:type="dxa"/>
            <w:vAlign w:val="bottom"/>
          </w:tcPr>
          <w:p>
            <w:pPr>
              <w:spacing w:after="0"/>
              <w:rPr>
                <w:sz w:val="1"/>
                <w:szCs w:val="1"/>
                <w:color w:val="auto"/>
              </w:rPr>
            </w:pPr>
          </w:p>
        </w:tc>
      </w:tr>
      <w:tr>
        <w:trPr>
          <w:trHeight w:val="195"/>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Foreign currency translation gain (loss)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gain (loss)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Unrealized gain (loss) from net investment hedge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8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gain (loss) before tax</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gain (loss), net</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Unrealized (loss) gain on derivative instruments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Unrealized (loss) gain on derivative instruments before reclassification</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reclassification for (gain) loss to income from continuing operations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8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Unrealized (loss) gain on derivative instruments after reclassification</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unrealized (loss) gain on derivative instruments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Defined benefit pension (loss) gain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Defined benefit pension (loss) gain before reclassification</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reclassification for loss to income from continuing operations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Defined benefit pension (loss) gain after reclassification</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9"/>
        </w:trPr>
        <w:tc>
          <w:tcPr>
            <w:tcW w:w="4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Net defined benefit pension (loss) gain</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0" w:type="dxa"/>
            <w:vAlign w:val="bottom"/>
          </w:tcPr>
          <w:p>
            <w:pPr>
              <w:spacing w:after="0"/>
              <w:rPr>
                <w:sz w:val="1"/>
                <w:szCs w:val="1"/>
                <w:color w:val="auto"/>
              </w:rPr>
            </w:pPr>
          </w:p>
        </w:tc>
      </w:tr>
      <w:tr>
        <w:trPr>
          <w:trHeight w:val="139"/>
        </w:trPr>
        <w:tc>
          <w:tcPr>
            <w:tcW w:w="49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Comprehensive income (loss) from continuing operations attributable to non-</w:t>
            </w:r>
          </w:p>
        </w:tc>
        <w:tc>
          <w:tcPr>
            <w:tcW w:w="1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controlling interest</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controlling interest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 period ended March 30, 2025</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8"/>
                <w:szCs w:val="8"/>
                <w:color w:val="auto"/>
              </w:rPr>
            </w:pPr>
          </w:p>
        </w:tc>
        <w:tc>
          <w:tcPr>
            <w:tcW w:w="78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98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8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8"/>
                <w:szCs w:val="8"/>
                <w:color w:val="auto"/>
              </w:rPr>
            </w:pPr>
          </w:p>
        </w:tc>
        <w:tc>
          <w:tcPr>
            <w:tcW w:w="660" w:type="dxa"/>
            <w:vAlign w:val="bottom"/>
            <w:vMerge w:val="restart"/>
          </w:tcPr>
          <w:p>
            <w:pPr>
              <w:jc w:val="right"/>
              <w:ind w:right="16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0"/>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60" w:type="dxa"/>
            <w:vAlign w:val="bottom"/>
            <w:gridSpan w:val="2"/>
            <w:vMerge w:val="continue"/>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2024</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2,140.9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2,141.7</w:t>
            </w:r>
          </w:p>
        </w:tc>
        <w:tc>
          <w:tcPr>
            <w:tcW w:w="0" w:type="dxa"/>
            <w:vAlign w:val="bottom"/>
          </w:tcPr>
          <w:p>
            <w:pPr>
              <w:spacing w:after="0"/>
              <w:rPr>
                <w:sz w:val="1"/>
                <w:szCs w:val="1"/>
                <w:color w:val="auto"/>
              </w:rPr>
            </w:pPr>
          </w:p>
        </w:tc>
      </w:tr>
      <w:tr>
        <w:trPr>
          <w:trHeight w:val="19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19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Excise tax on net share repurchases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issued and related tax withholdings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9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declared by subsidiary to NCI</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December 29, 2024</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2,028.5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2,028.6</w:t>
            </w:r>
          </w:p>
        </w:tc>
        <w:tc>
          <w:tcPr>
            <w:tcW w:w="0" w:type="dxa"/>
            <w:vAlign w:val="bottom"/>
          </w:tcPr>
          <w:p>
            <w:pPr>
              <w:spacing w:after="0"/>
              <w:rPr>
                <w:sz w:val="1"/>
                <w:szCs w:val="1"/>
                <w:color w:val="auto"/>
              </w:rPr>
            </w:pPr>
          </w:p>
        </w:tc>
      </w:tr>
      <w:tr>
        <w:trPr>
          <w:trHeight w:val="19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9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0" w:type="dxa"/>
            <w:vAlign w:val="bottom"/>
          </w:tcPr>
          <w:p>
            <w:pPr>
              <w:spacing w:after="0"/>
              <w:rPr>
                <w:sz w:val="1"/>
                <w:szCs w:val="1"/>
                <w:color w:val="auto"/>
              </w:rPr>
            </w:pPr>
          </w:p>
        </w:tc>
      </w:tr>
      <w:tr>
        <w:trPr>
          <w:trHeight w:val="19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Excise tax on net share repurchases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21"/>
        </w:trPr>
        <w:tc>
          <w:tcPr>
            <w:tcW w:w="3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March 30, 2025</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1,885.3</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six month period ended March 31, 2024</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4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restart"/>
          </w:tcPr>
          <w:p>
            <w:pPr>
              <w:jc w:val="right"/>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jc w:val="right"/>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8"/>
                <w:szCs w:val="8"/>
                <w:color w:val="auto"/>
              </w:rPr>
            </w:pPr>
          </w:p>
        </w:tc>
        <w:tc>
          <w:tcPr>
            <w:tcW w:w="78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9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90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8"/>
                <w:szCs w:val="8"/>
                <w:color w:val="auto"/>
              </w:rPr>
            </w:pPr>
          </w:p>
        </w:tc>
        <w:tc>
          <w:tcPr>
            <w:tcW w:w="660" w:type="dxa"/>
            <w:vAlign w:val="bottom"/>
            <w:vMerge w:val="restart"/>
          </w:tcPr>
          <w:p>
            <w:pPr>
              <w:jc w:val="right"/>
              <w:ind w:right="16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0"/>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00" w:type="dxa"/>
            <w:vAlign w:val="bottom"/>
            <w:gridSpan w:val="2"/>
            <w:vMerge w:val="continue"/>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4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4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2023</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2,518.3</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Accelerated share repurchase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Excise tax on net share repurchases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39"/>
        </w:trPr>
        <w:tc>
          <w:tcPr>
            <w:tcW w:w="30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Restricted stock issued and related tax</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07"/>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withholdings</w:t>
            </w:r>
          </w:p>
        </w:tc>
        <w:tc>
          <w:tcPr>
            <w:tcW w:w="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03"/>
        </w:trPr>
        <w:tc>
          <w:tcPr>
            <w:tcW w:w="3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2,301.7</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Excise tax on net share repurchases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21"/>
        </w:trPr>
        <w:tc>
          <w:tcPr>
            <w:tcW w:w="3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Balances as of March 31,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2,257.5</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79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0"/>
        </w:trPr>
        <w:tc>
          <w:tcPr>
            <w:tcW w:w="1020" w:type="dxa"/>
            <w:vAlign w:val="bottom"/>
            <w:tcBorders>
              <w:top w:val="single" w:sz="8" w:color="0000FF"/>
            </w:tcBorders>
          </w:tcPr>
          <w:p>
            <w:pPr>
              <w:spacing w:after="0"/>
              <w:rPr>
                <w:sz w:val="24"/>
                <w:szCs w:val="24"/>
                <w:color w:val="auto"/>
              </w:rPr>
            </w:pPr>
          </w:p>
        </w:tc>
        <w:tc>
          <w:tcPr>
            <w:tcW w:w="6880" w:type="dxa"/>
            <w:vAlign w:val="bottom"/>
            <w:gridSpan w:val="2"/>
          </w:tcPr>
          <w:p>
            <w:pPr>
              <w:jc w:val="center"/>
              <w:ind w:left="2268"/>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6880" w:type="dxa"/>
            <w:vAlign w:val="bottom"/>
            <w:gridSpan w:val="2"/>
          </w:tcPr>
          <w:p>
            <w:pPr>
              <w:jc w:val="center"/>
              <w:ind w:left="2268"/>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6880" w:type="dxa"/>
            <w:vAlign w:val="bottom"/>
            <w:gridSpan w:val="2"/>
          </w:tcPr>
          <w:p>
            <w:pPr>
              <w:jc w:val="center"/>
              <w:ind w:left="2248"/>
              <w:spacing w:after="0"/>
              <w:rPr>
                <w:sz w:val="20"/>
                <w:szCs w:val="20"/>
                <w:color w:val="auto"/>
              </w:rPr>
            </w:pPr>
            <w:r>
              <w:rPr>
                <w:rFonts w:ascii="Times New Roman" w:cs="Times New Roman" w:eastAsia="Times New Roman" w:hAnsi="Times New Roman"/>
                <w:sz w:val="14"/>
                <w:szCs w:val="14"/>
                <w:b w:val="1"/>
                <w:bCs w:val="1"/>
                <w:color w:val="auto"/>
              </w:rPr>
              <w:t>For the six month periods ended March 30, 2025 and March 31, 2024</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6880" w:type="dxa"/>
            <w:vAlign w:val="bottom"/>
            <w:gridSpan w:val="2"/>
          </w:tcPr>
          <w:p>
            <w:pPr>
              <w:jc w:val="center"/>
              <w:ind w:left="22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020" w:type="dxa"/>
            <w:vAlign w:val="bottom"/>
          </w:tcPr>
          <w:p>
            <w:pPr>
              <w:spacing w:after="0"/>
              <w:rPr>
                <w:sz w:val="22"/>
                <w:szCs w:val="22"/>
                <w:color w:val="auto"/>
              </w:rPr>
            </w:pPr>
          </w:p>
        </w:tc>
        <w:tc>
          <w:tcPr>
            <w:tcW w:w="6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40" w:type="dxa"/>
            <w:vAlign w:val="bottom"/>
            <w:gridSpan w:val="4"/>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1"/>
        </w:trPr>
        <w:tc>
          <w:tcPr>
            <w:tcW w:w="7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20" w:type="dxa"/>
            <w:vAlign w:val="bottom"/>
          </w:tcPr>
          <w:p>
            <w:pPr>
              <w:spacing w:after="0"/>
              <w:rPr>
                <w:sz w:val="18"/>
                <w:szCs w:val="18"/>
                <w:color w:val="auto"/>
              </w:rPr>
            </w:pP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03"/>
        </w:trPr>
        <w:tc>
          <w:tcPr>
            <w:tcW w:w="7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income from discontinued operations, net of tax</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89"/>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from continuing operations to net cash used by operating activities from continuing operations: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9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95"/>
        </w:trPr>
        <w:tc>
          <w:tcPr>
            <w:tcW w:w="79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Share based compensation</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95"/>
        </w:trPr>
        <w:tc>
          <w:tcPr>
            <w:tcW w:w="79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Impairment of property, plant and equipment and operating lease assets</w:t>
            </w:r>
          </w:p>
        </w:tc>
        <w:tc>
          <w:tcPr>
            <w:tcW w:w="20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early extinguishment of debt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5"/>
        </w:trPr>
        <w:tc>
          <w:tcPr>
            <w:tcW w:w="79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Amortization of debt issuance costs and debt discount</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purchase accounting adjustments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5"/>
        </w:trPr>
        <w:tc>
          <w:tcPr>
            <w:tcW w:w="79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Non-cash accrual for representation and warranty proceeds</w:t>
            </w:r>
          </w:p>
        </w:tc>
        <w:tc>
          <w:tcPr>
            <w:tcW w:w="20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(benefit) expense</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4"/>
                <w:szCs w:val="14"/>
                <w:color w:val="auto"/>
              </w:rPr>
              <w:t>Net changes in operating assets and liabilities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0" w:type="dxa"/>
            <w:vAlign w:val="bottom"/>
          </w:tcPr>
          <w:p>
            <w:pPr>
              <w:spacing w:after="0"/>
              <w:rPr>
                <w:sz w:val="1"/>
                <w:szCs w:val="1"/>
                <w:color w:val="auto"/>
              </w:rPr>
            </w:pPr>
          </w:p>
        </w:tc>
      </w:tr>
      <w:tr>
        <w:trPr>
          <w:trHeight w:val="203"/>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provided by operating activities from continuing operations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Net cash used by operating activities from discontinued operations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203"/>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by operating activities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6"/>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95"/>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Purchases of short term investments</w:t>
            </w:r>
          </w:p>
        </w:tc>
        <w:tc>
          <w:tcPr>
            <w:tcW w:w="20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of short term investments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1,292.0</w:t>
            </w:r>
          </w:p>
        </w:tc>
        <w:tc>
          <w:tcPr>
            <w:tcW w:w="0" w:type="dxa"/>
            <w:vAlign w:val="bottom"/>
          </w:tcPr>
          <w:p>
            <w:pPr>
              <w:spacing w:after="0"/>
              <w:rPr>
                <w:sz w:val="1"/>
                <w:szCs w:val="1"/>
                <w:color w:val="auto"/>
              </w:rPr>
            </w:pPr>
          </w:p>
        </w:tc>
      </w:tr>
      <w:tr>
        <w:trPr>
          <w:trHeight w:val="195"/>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Purchase price settlement from sale of HHI</w:t>
            </w:r>
          </w:p>
        </w:tc>
        <w:tc>
          <w:tcPr>
            <w:tcW w:w="20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investing activity</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9"/>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cash (used) provided by investing activities</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544.1</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Payment of debt and debt premium</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 to shareholders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95"/>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Dividends paid by subsidiary to non-controlling interest</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w:t>
            </w:r>
          </w:p>
        </w:tc>
        <w:tc>
          <w:tcPr>
            <w:tcW w:w="0" w:type="dxa"/>
            <w:vAlign w:val="bottom"/>
          </w:tcPr>
          <w:p>
            <w:pPr>
              <w:spacing w:after="0"/>
              <w:rPr>
                <w:sz w:val="1"/>
                <w:szCs w:val="1"/>
                <w:color w:val="auto"/>
              </w:rPr>
            </w:pPr>
          </w:p>
        </w:tc>
      </w:tr>
      <w:tr>
        <w:trPr>
          <w:trHeight w:val="195"/>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Excise tax paid on net share repurchases</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award tax withholding payments, net of proceeds upon vesting</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Other financing activity</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by financing activities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3"/>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370.5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753.9</w:t>
            </w:r>
          </w:p>
        </w:tc>
        <w:tc>
          <w:tcPr>
            <w:tcW w:w="0" w:type="dxa"/>
            <w:vAlign w:val="bottom"/>
          </w:tcPr>
          <w:p>
            <w:pPr>
              <w:spacing w:after="0"/>
              <w:rPr>
                <w:sz w:val="1"/>
                <w:szCs w:val="1"/>
                <w:color w:val="auto"/>
              </w:rPr>
            </w:pPr>
          </w:p>
        </w:tc>
      </w:tr>
      <w:tr>
        <w:trPr>
          <w:trHeight w:val="221"/>
        </w:trPr>
        <w:tc>
          <w:tcPr>
            <w:tcW w:w="7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9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 associated with continuing operations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0" w:type="dxa"/>
            <w:vAlign w:val="bottom"/>
          </w:tcPr>
          <w:p>
            <w:pPr>
              <w:spacing w:after="0"/>
              <w:rPr>
                <w:sz w:val="1"/>
                <w:szCs w:val="1"/>
                <w:color w:val="auto"/>
              </w:rPr>
            </w:pPr>
          </w:p>
        </w:tc>
      </w:tr>
      <w:tr>
        <w:trPr>
          <w:trHeight w:val="195"/>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Cash paid for taxes associated with continuing operations</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taxes associated with discontinued operations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196"/>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 cash investing activities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property, plant and equipment through finance leases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6"/>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 cash financing activities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excise tax on net share repurchases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8"/>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Issuance of shares through stock compensation plan</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condensed9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BASIS OF PRESENTATION AND SIGNIFICANT ACCOUNTING POLICIES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 and Fiscal Period-End</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by the Company and its majority owned subsidiaries in accordance with accounting principles for interim financial information generally accepted in the United States and with the instructions to Form 10-Q and Article 10 of Regulation S-X. Accordingly, they do not include all the information and notes necessary for a comprehensive presentation of financial position and results of operations. It is management’s opinion, however, that all material adjustments have been made which are necessary for a fair financial statement presentation. For further information, refer to the consolidated financial statements and notes included in the Company’s Annual Report on Form 10-K for the fiscal year ended September 30, 2024.</w:t>
      </w:r>
    </w:p>
    <w:p>
      <w:pPr>
        <w:spacing w:after="0" w:line="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Company’s fiscal year ends on September 30 and the Company reports its results using fiscal quarters whereby each three month quarterly reporting period is approximately thirteen weeks in length and ends on a Sunday. The exceptions are the first quarter, which begins on October 1, and the fourth quarter, which ends on September 30. As a result, the fiscal period end date for the three and six month periods included within this Quarterly Report for the Company are March 30, 2025 and March 31, 2024,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w:t>
      </w:r>
    </w:p>
    <w:p>
      <w:pPr>
        <w:spacing w:after="0" w:line="1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In November 2023, the Financial Accounting Standards Board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which provides updates to qualitative and quantitative reportable segment disclosure requirements, including enhanced disclosures about significant segment expenses and increased interim disclosure requirements, among others. The amendments in ASU 2023-07 are effective for fiscal years beginning after December 15, 2023, and interim periods within fiscal years beginning after December 15, 2024. Early adoption is permitted, and the amendments should be applied retrospectively. This ASU will be effective for our Form 10-K for the year ending September 30, 2025 and our Form 10-Q for the first quarter of the year ending September 30, 2026. The Company is currently evaluating the impact this ASU may have on the Company's consolidated financial statements.</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which provides qualitative and quantitative updates to the rate reconciliation and income taxes paid disclosures, among others, in order to enhance the transparency of income tax disclosures, including consistent categories and greater disaggregation of information in the rate reconciliation and disaggregation by jurisdiction of income taxes paid. The amendments in ASU 2023-09 are effective for fiscal years beginning after December 15, 2024, with early adoption permitted. The amendments should be applied prospectively; however, retrospective application is also permitted. This ASU will be effective for our Form 10-K for the year ending September 30, 2026. The Company is currently evaluating the impact this ASU may have on the Company's consolidated financial statements.</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Disaggregation of Income Statement Expenses</w:t>
      </w:r>
      <w:r>
        <w:rPr>
          <w:rFonts w:ascii="Times New Roman" w:cs="Times New Roman" w:eastAsia="Times New Roman" w:hAnsi="Times New Roman"/>
          <w:sz w:val="14"/>
          <w:szCs w:val="14"/>
          <w:color w:val="auto"/>
        </w:rPr>
        <w:t>, which provides updates to qualitative and quantitative disclosure requirements over the disaggregation of relevant expense captions within the income statement to provide more transparency and useful information on expenses including tabular presentation of prescribed expense categories such as the purchases of inventory, employee compensation, depreciation, intangible asset amortization, and inclusion of other specific expense, gains and losses required by existing GAAP with reconciliation of disaggregation to the face of the income statement. The amendments in ASU 2024-03 are effective for fiscal years beginning after December 15, 2026, with early adoption permitted. The amendment should be applied prospectively, however, retrospective application is also permitted. This ASU will be effective for our fiscal year ending September 30, 2028. The Company is currently evaluating the impact this ASU may have on the Company's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EXIT AND DISPOSAL ACTIVITIES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During the six month period ended March 30, 2025, the Company entered into initiatives within its HPC and GPC segments following the consolidation of functions and operations within the segments and changes in their commercial strategies for certain international markets, in addition to the restructuring of shared operations and enabling functions as the Company exits transition service agreements from previous divestitures, resulting in the realization of headcount reductions and related termination charges. Total cumulative exit and disposal costs associated with these initiatives were $4.0 million, with approximately $6 million of additional costs forecasted in the foreseeable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restructuring charges for the three and six month periods ended March 30, 2025 and March 31,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240" w:type="dxa"/>
            <w:vAlign w:val="bottom"/>
          </w:tcPr>
          <w:p>
            <w:pPr>
              <w:spacing w:after="0"/>
              <w:rPr>
                <w:sz w:val="16"/>
                <w:szCs w:val="16"/>
                <w:color w:val="auto"/>
              </w:rPr>
            </w:pPr>
          </w:p>
        </w:tc>
        <w:tc>
          <w:tcPr>
            <w:tcW w:w="3260" w:type="dxa"/>
            <w:vAlign w:val="bottom"/>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gridSpan w:val="2"/>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33"/>
        </w:trPr>
        <w:tc>
          <w:tcPr>
            <w:tcW w:w="4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Exit and disposal costs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Reported as: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Selling, general &amp; administrative expense</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restructuring charges by segment for the three and six month periods ended March 30, 2025 and March 31,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6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240" w:type="dxa"/>
            <w:vAlign w:val="bottom"/>
          </w:tcPr>
          <w:p>
            <w:pPr>
              <w:spacing w:after="0"/>
              <w:rPr>
                <w:sz w:val="16"/>
                <w:szCs w:val="16"/>
                <w:color w:val="auto"/>
              </w:rPr>
            </w:pPr>
          </w:p>
        </w:tc>
        <w:tc>
          <w:tcPr>
            <w:tcW w:w="3260" w:type="dxa"/>
            <w:vAlign w:val="bottom"/>
            <w:gridSpan w:val="4"/>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60" w:type="dxa"/>
            <w:vAlign w:val="bottom"/>
            <w:gridSpan w:val="2"/>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03"/>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GPC</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HPC</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shared operations</w:t>
            </w: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exit and disposal activities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EXIT &amp; DISPOSAL ACTIVITIES (continued)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restructuring charges by cost type for the three and six month periods ended March 30, 2025 and March 31,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3"/>
                <w:szCs w:val="13"/>
                <w:color w:val="auto"/>
              </w:rPr>
            </w:pP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7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8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 month period ended March 30, 2025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center"/>
              <w:ind w:left="74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center"/>
              <w:ind w:left="64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Three month period ended March 31, 2024</w:t>
            </w:r>
          </w:p>
        </w:tc>
        <w:tc>
          <w:tcPr>
            <w:tcW w:w="180" w:type="dxa"/>
            <w:vAlign w:val="bottom"/>
          </w:tcPr>
          <w:p>
            <w:pPr>
              <w:spacing w:after="0"/>
              <w:rPr>
                <w:sz w:val="16"/>
                <w:szCs w:val="16"/>
                <w:color w:val="auto"/>
              </w:rPr>
            </w:pPr>
          </w:p>
        </w:tc>
        <w:tc>
          <w:tcPr>
            <w:tcW w:w="1120" w:type="dxa"/>
            <w:vAlign w:val="bottom"/>
          </w:tcPr>
          <w:p>
            <w:pPr>
              <w:jc w:val="center"/>
              <w:ind w:left="748"/>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ind w:left="64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1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Six month period ended March 30, 2025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74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648"/>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8"/>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Six month period ended March 31, 2024</w:t>
            </w:r>
          </w:p>
        </w:tc>
        <w:tc>
          <w:tcPr>
            <w:tcW w:w="180" w:type="dxa"/>
            <w:vAlign w:val="bottom"/>
          </w:tcPr>
          <w:p>
            <w:pPr>
              <w:spacing w:after="0"/>
              <w:rPr>
                <w:sz w:val="16"/>
                <w:szCs w:val="16"/>
                <w:color w:val="auto"/>
              </w:rPr>
            </w:pPr>
          </w:p>
        </w:tc>
        <w:tc>
          <w:tcPr>
            <w:tcW w:w="1120" w:type="dxa"/>
            <w:vAlign w:val="bottom"/>
          </w:tcPr>
          <w:p>
            <w:pPr>
              <w:jc w:val="center"/>
              <w:ind w:left="748"/>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ind w:left="64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82"/>
        </w:trPr>
        <w:tc>
          <w:tcPr>
            <w:tcW w:w="85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is a roll forward of the accrual for restructuring charges by cost type for the six month period ended March 30, 2025.</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24"/>
                <w:szCs w:val="24"/>
                <w:color w:val="auto"/>
              </w:rPr>
            </w:pP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7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8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center"/>
              <w:ind w:left="7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center"/>
              <w:ind w:left="64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Provisions</w:t>
            </w:r>
          </w:p>
        </w:tc>
        <w:tc>
          <w:tcPr>
            <w:tcW w:w="180" w:type="dxa"/>
            <w:vAlign w:val="bottom"/>
          </w:tcPr>
          <w:p>
            <w:pPr>
              <w:spacing w:after="0"/>
              <w:rPr>
                <w:sz w:val="16"/>
                <w:szCs w:val="16"/>
                <w:color w:val="auto"/>
              </w:rPr>
            </w:pPr>
          </w:p>
        </w:tc>
        <w:tc>
          <w:tcPr>
            <w:tcW w:w="1120" w:type="dxa"/>
            <w:vAlign w:val="bottom"/>
          </w:tcPr>
          <w:p>
            <w:pPr>
              <w:jc w:val="center"/>
              <w:ind w:left="748"/>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ind w:left="648"/>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3"/>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expenditures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w w:val="96"/>
              </w:rPr>
              <w:t>(1.6)</w:t>
            </w:r>
          </w:p>
        </w:tc>
        <w:tc>
          <w:tcPr>
            <w:tcW w:w="0" w:type="dxa"/>
            <w:vAlign w:val="bottom"/>
          </w:tcPr>
          <w:p>
            <w:pPr>
              <w:spacing w:after="0"/>
              <w:rPr>
                <w:sz w:val="1"/>
                <w:szCs w:val="1"/>
                <w:color w:val="auto"/>
              </w:rPr>
            </w:pPr>
          </w:p>
        </w:tc>
      </w:tr>
      <w:tr>
        <w:trPr>
          <w:trHeight w:val="20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30, 2025</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center"/>
              <w:ind w:left="74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center"/>
              <w:ind w:left="648"/>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REVENUE RECOGNITION AND RECEIVABLES</w:t>
      </w:r>
    </w:p>
    <w:p>
      <w:pPr>
        <w:spacing w:after="0" w:line="12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Company generates all of its revenue from contracts with customers. The following table disaggregates our revenue for the three and six month periods ended March 30, 2025 and March 31, 2024, by segment and geographic region (based upon destination) and revenue type: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gridSpan w:val="9"/>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 Period Ended March 30, 2025</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9"/>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 Period Ended March 31, 2024</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GPC</w:t>
            </w:r>
          </w:p>
        </w:tc>
        <w:tc>
          <w:tcPr>
            <w:tcW w:w="2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22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HPC</w:t>
            </w:r>
          </w:p>
        </w:tc>
        <w:tc>
          <w:tcPr>
            <w:tcW w:w="26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GPC</w:t>
            </w:r>
          </w:p>
        </w:tc>
        <w:tc>
          <w:tcPr>
            <w:tcW w:w="22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24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HPC</w:t>
            </w:r>
          </w:p>
        </w:tc>
        <w:tc>
          <w:tcPr>
            <w:tcW w:w="26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4"/>
        </w:trPr>
        <w:tc>
          <w:tcPr>
            <w:tcW w:w="2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182.7</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w:t>
            </w:r>
          </w:p>
        </w:tc>
        <w:tc>
          <w:tcPr>
            <w:tcW w:w="0" w:type="dxa"/>
            <w:vAlign w:val="bottom"/>
          </w:tcPr>
          <w:p>
            <w:pPr>
              <w:spacing w:after="0"/>
              <w:rPr>
                <w:sz w:val="1"/>
                <w:szCs w:val="1"/>
                <w:color w:val="auto"/>
              </w:rPr>
            </w:pPr>
          </w:p>
        </w:tc>
      </w:tr>
      <w:tr>
        <w:trPr>
          <w:trHeight w:val="210"/>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0" w:type="dxa"/>
            <w:vAlign w:val="bottom"/>
          </w:tcPr>
          <w:p>
            <w:pPr>
              <w:spacing w:after="0"/>
              <w:rPr>
                <w:sz w:val="1"/>
                <w:szCs w:val="1"/>
                <w:color w:val="auto"/>
              </w:rPr>
            </w:pPr>
          </w:p>
        </w:tc>
      </w:tr>
      <w:tr>
        <w:trPr>
          <w:trHeight w:val="195"/>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LATAM</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20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APAC</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203"/>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289.9</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718.5</w:t>
            </w: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type</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Product sales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266.1</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670.1</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286.4</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712.4</w:t>
            </w:r>
          </w:p>
        </w:tc>
        <w:tc>
          <w:tcPr>
            <w:tcW w:w="0" w:type="dxa"/>
            <w:vAlign w:val="bottom"/>
          </w:tcPr>
          <w:p>
            <w:pPr>
              <w:spacing w:after="0"/>
              <w:rPr>
                <w:sz w:val="1"/>
                <w:szCs w:val="1"/>
                <w:color w:val="auto"/>
              </w:rPr>
            </w:pPr>
          </w:p>
        </w:tc>
      </w:tr>
      <w:tr>
        <w:trPr>
          <w:trHeight w:val="210"/>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Licensing</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6"/>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Service and other</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28"/>
        </w:trPr>
        <w:tc>
          <w:tcPr>
            <w:tcW w:w="2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718.5</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80" w:type="dxa"/>
            <w:vAlign w:val="bottom"/>
            <w:gridSpan w:val="9"/>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Six Month Period Ended March 30, 2025</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700" w:type="dxa"/>
            <w:vAlign w:val="bottom"/>
            <w:gridSpan w:val="9"/>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Six Month Period Ended March 31, 2024</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80" w:type="dxa"/>
            <w:vAlign w:val="bottom"/>
            <w:gridSpan w:val="2"/>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GPC</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HPC</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GPC</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HPC</w:t>
            </w: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Sales</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317.4</w:t>
            </w:r>
          </w:p>
        </w:tc>
        <w:tc>
          <w:tcPr>
            <w:tcW w:w="38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786.4</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826.3</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440.6</w:t>
            </w:r>
          </w:p>
        </w:tc>
        <w:tc>
          <w:tcPr>
            <w:tcW w:w="0" w:type="dxa"/>
            <w:vAlign w:val="bottom"/>
          </w:tcPr>
          <w:p>
            <w:pPr>
              <w:spacing w:after="0"/>
              <w:rPr>
                <w:sz w:val="1"/>
                <w:szCs w:val="1"/>
                <w:color w:val="auto"/>
              </w:rPr>
            </w:pPr>
          </w:p>
        </w:tc>
      </w:tr>
      <w:tr>
        <w:trPr>
          <w:trHeight w:val="195"/>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LATAM</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APAC</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196"/>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602.3</w:t>
            </w:r>
          </w:p>
        </w:tc>
        <w:tc>
          <w:tcPr>
            <w:tcW w:w="80" w:type="dxa"/>
            <w:vAlign w:val="bottom"/>
          </w:tcPr>
          <w:p>
            <w:pPr>
              <w:spacing w:after="0"/>
              <w:rPr>
                <w:sz w:val="17"/>
                <w:szCs w:val="17"/>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3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1,410.7</w:t>
            </w: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type</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Product Sales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523.2</w:t>
            </w:r>
          </w:p>
        </w:tc>
        <w:tc>
          <w:tcPr>
            <w:tcW w:w="38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1,365.4</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559.5</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607.3</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1,398.4</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Licensing</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6"/>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Service and other</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23"/>
        </w:trPr>
        <w:tc>
          <w:tcPr>
            <w:tcW w:w="2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380" w:type="dxa"/>
            <w:vAlign w:val="bottom"/>
            <w:tcBorders>
              <w:top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1,410.7</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Company has identified significant customers consisting of two large retail customers, each regularly exceeding 10% of consolidated net sales. All segments sell products to the significant customers and sales with those customers are considered significant to the respective segments. The following table summarizes significant concentration risk associated with net sales for the three and six month periods ended March 30, 2025 and March 31, 2024.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3220" w:type="dxa"/>
            <w:vAlign w:val="bottom"/>
            <w:gridSpan w:val="3"/>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1"/>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640" w:type="dxa"/>
            <w:vAlign w:val="bottom"/>
            <w:gridSpan w:val="2"/>
          </w:tcPr>
          <w:p>
            <w:pPr>
              <w:spacing w:after="0"/>
              <w:rPr>
                <w:sz w:val="2"/>
                <w:szCs w:val="2"/>
                <w:color w:val="auto"/>
              </w:rPr>
            </w:pPr>
          </w:p>
        </w:tc>
        <w:tc>
          <w:tcPr>
            <w:tcW w:w="164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gridSpan w:val="2"/>
            <w:vMerge w:val="continue"/>
          </w:tcPr>
          <w:p>
            <w:pPr>
              <w:spacing w:after="0"/>
              <w:rPr>
                <w:sz w:val="18"/>
                <w:szCs w:val="18"/>
                <w:color w:val="auto"/>
              </w:rPr>
            </w:pPr>
          </w:p>
        </w:tc>
        <w:tc>
          <w:tcPr>
            <w:tcW w:w="164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5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8"/>
                <w:szCs w:val="18"/>
                <w:color w:val="auto"/>
              </w:rPr>
            </w:pPr>
          </w:p>
        </w:tc>
        <w:tc>
          <w:tcPr>
            <w:tcW w:w="166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5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03"/>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customers, exceeding 10% of net sales</w:t>
            </w: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34.8 %</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33.5 %</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36.4 %</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35.8 %</w:t>
            </w:r>
          </w:p>
        </w:tc>
        <w:tc>
          <w:tcPr>
            <w:tcW w:w="0" w:type="dxa"/>
            <w:vAlign w:val="bottom"/>
          </w:tcPr>
          <w:p>
            <w:pPr>
              <w:spacing w:after="0"/>
              <w:rPr>
                <w:sz w:val="1"/>
                <w:szCs w:val="1"/>
                <w:color w:val="auto"/>
              </w:rPr>
            </w:pPr>
          </w:p>
        </w:tc>
      </w:tr>
      <w:tr>
        <w:trPr>
          <w:trHeight w:val="188"/>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Subject to Black &amp; Decker trademark license agreement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REVENUE RECOGNITION AND RECEIVABLES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4"/>
          <w:szCs w:val="14"/>
          <w:color w:val="auto"/>
        </w:rPr>
        <w:t>The following summarizes the concentration risk of the associated receivables from the two significant customers. There were no additional concentrations of credit risk exceeding 10% of net trade receivables.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of Trade Receivables, Net)</w:t>
            </w:r>
          </w:p>
        </w:tc>
        <w:tc>
          <w:tcPr>
            <w:tcW w:w="18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30"/>
        </w:trPr>
        <w:tc>
          <w:tcPr>
            <w:tcW w:w="7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customers</w:t>
            </w: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43.1 %</w:t>
            </w: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42.6 %</w:t>
            </w:r>
          </w:p>
        </w:tc>
      </w:tr>
    </w:tbl>
    <w:p>
      <w:pPr>
        <w:spacing w:after="0" w:line="166"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The following summarizes the allowance for product returns with direct customers and estimated credit losses on trade receivables as of March 30, 2025 and September 30, 2024. Costs and reserves associated with standard product warranties with consumers are not material to the condensed consolidated financial statements.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30"/>
        </w:trPr>
        <w:tc>
          <w:tcPr>
            <w:tcW w:w="3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for product returns</w:t>
            </w:r>
          </w:p>
        </w:tc>
        <w:tc>
          <w:tcPr>
            <w:tcW w:w="80" w:type="dxa"/>
            <w:vAlign w:val="bottom"/>
            <w:shd w:val="clear" w:color="auto" w:fill="CCEEFF"/>
          </w:tcPr>
          <w:p>
            <w:pPr>
              <w:spacing w:after="0"/>
              <w:rPr>
                <w:sz w:val="17"/>
                <w:szCs w:val="17"/>
                <w:color w:val="auto"/>
              </w:rPr>
            </w:pPr>
          </w:p>
        </w:tc>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3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Trade receivables, net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382"/>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4 – INVENTORIES</w:t>
            </w:r>
          </w:p>
        </w:tc>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Inventories consists of the following:</w:t>
            </w:r>
          </w:p>
        </w:tc>
        <w:tc>
          <w:tcPr>
            <w:tcW w:w="3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44"/>
        </w:trPr>
        <w:tc>
          <w:tcPr>
            <w:tcW w:w="3940" w:type="dxa"/>
            <w:vAlign w:val="bottom"/>
            <w:tcBorders>
              <w:bottom w:val="single" w:sz="8" w:color="auto"/>
            </w:tcBorders>
            <w:gridSpan w:val="2"/>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38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4"/>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Work-in-process</w:t>
            </w:r>
          </w:p>
        </w:tc>
        <w:tc>
          <w:tcPr>
            <w:tcW w:w="3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40" w:type="dxa"/>
            <w:vAlign w:val="bottom"/>
            <w:gridSpan w:val="2"/>
          </w:tcPr>
          <w:p>
            <w:pPr>
              <w:spacing w:after="0"/>
              <w:rPr>
                <w:sz w:val="3"/>
                <w:szCs w:val="3"/>
                <w:color w:val="auto"/>
              </w:rPr>
            </w:pPr>
          </w:p>
        </w:tc>
        <w:tc>
          <w:tcPr>
            <w:tcW w:w="38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38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478.5</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3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top w:val="single" w:sz="8" w:color="auto"/>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5 – PROPERTY, PLANT AND EQUIPMENT</w:t>
            </w:r>
          </w:p>
        </w:tc>
        <w:tc>
          <w:tcPr>
            <w:tcW w:w="3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3940" w:type="dxa"/>
            <w:vAlign w:val="bottom"/>
            <w:gridSpan w:val="2"/>
            <w:vMerge w:val="continue"/>
          </w:tcPr>
          <w:p>
            <w:pPr>
              <w:spacing w:after="0"/>
              <w:rPr>
                <w:sz w:val="24"/>
                <w:szCs w:val="24"/>
                <w:color w:val="auto"/>
              </w:rPr>
            </w:pPr>
          </w:p>
        </w:tc>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plant and equipment consist of the following:</w:t>
            </w:r>
          </w:p>
        </w:tc>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30"/>
        </w:trPr>
        <w:tc>
          <w:tcPr>
            <w:tcW w:w="3940" w:type="dxa"/>
            <w:vAlign w:val="bottom"/>
            <w:gridSpan w:val="2"/>
          </w:tcPr>
          <w:p>
            <w:pPr>
              <w:spacing w:after="0"/>
              <w:rPr>
                <w:sz w:val="2"/>
                <w:szCs w:val="2"/>
                <w:color w:val="auto"/>
              </w:rPr>
            </w:pPr>
          </w:p>
        </w:tc>
        <w:tc>
          <w:tcPr>
            <w:tcW w:w="3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buildings and improvements</w:t>
            </w:r>
          </w:p>
        </w:tc>
        <w:tc>
          <w:tcPr>
            <w:tcW w:w="3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Machinery, equipment and other</w:t>
            </w:r>
          </w:p>
        </w:tc>
        <w:tc>
          <w:tcPr>
            <w:tcW w:w="3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3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3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3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3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(484.2)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(468.1)</w:t>
            </w:r>
          </w:p>
        </w:tc>
        <w:tc>
          <w:tcPr>
            <w:tcW w:w="0" w:type="dxa"/>
            <w:vAlign w:val="bottom"/>
          </w:tcPr>
          <w:p>
            <w:pPr>
              <w:spacing w:after="0"/>
              <w:rPr>
                <w:sz w:val="1"/>
                <w:szCs w:val="1"/>
                <w:color w:val="auto"/>
              </w:rPr>
            </w:pPr>
          </w:p>
        </w:tc>
      </w:tr>
      <w:tr>
        <w:trPr>
          <w:trHeight w:val="19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22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40" w:type="dxa"/>
            <w:vAlign w:val="bottom"/>
            <w:tcBorders>
              <w:bottom w:val="single" w:sz="8" w:color="auto"/>
            </w:tcBorders>
          </w:tcPr>
          <w:p>
            <w:pPr>
              <w:spacing w:after="0"/>
              <w:rPr>
                <w:sz w:val="16"/>
                <w:szCs w:val="16"/>
                <w:color w:val="auto"/>
              </w:rPr>
            </w:pPr>
          </w:p>
        </w:tc>
        <w:tc>
          <w:tcPr>
            <w:tcW w:w="100" w:type="dxa"/>
            <w:vAlign w:val="bottom"/>
            <w:gridSpan w:val="2"/>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on property, plant and equipment for the three and six month periods ended March 30, 2025 and March 31, 2024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80" w:type="dxa"/>
            <w:vAlign w:val="bottom"/>
          </w:tcPr>
          <w:p>
            <w:pPr>
              <w:spacing w:after="0"/>
              <w:rPr>
                <w:sz w:val="16"/>
                <w:szCs w:val="16"/>
                <w:color w:val="auto"/>
              </w:rPr>
            </w:pPr>
          </w:p>
        </w:tc>
        <w:tc>
          <w:tcPr>
            <w:tcW w:w="286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5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03"/>
        </w:trPr>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5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implementation costs for hosted cloud computing arrangements are as follows: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30"/>
        </w:trPr>
        <w:tc>
          <w:tcPr>
            <w:tcW w:w="50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cloud computing costs, net</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Reported as: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charges and other</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Amortization expense of deferred implementation costs for hosted cloud computing costs arrangements for the three and six month periods ended March 30, 2025 and March 31, 2024 is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3"/>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40" w:type="dxa"/>
            <w:vAlign w:val="bottom"/>
            <w:gridSpan w:val="2"/>
            <w:vMerge w:val="continue"/>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expense</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16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16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1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400" w:type="dxa"/>
            <w:vAlign w:val="bottom"/>
            <w:tcBorders>
              <w:top w:val="single" w:sz="8" w:color="auto"/>
            </w:tcBorders>
            <w:shd w:val="clear" w:color="auto" w:fill="CCEEFF"/>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6 – GOODWILL AND INTANGIBLE ASSETS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526"/>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Goodwill, by segment, consists of the following:</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1"/>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GPC</w:t>
            </w:r>
          </w:p>
        </w:tc>
        <w:tc>
          <w:tcPr>
            <w:tcW w:w="340" w:type="dxa"/>
            <w:vAlign w:val="bottom"/>
          </w:tcPr>
          <w:p>
            <w:pPr>
              <w:spacing w:after="0"/>
              <w:rPr>
                <w:sz w:val="24"/>
                <w:szCs w:val="24"/>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320" w:type="dxa"/>
            <w:vAlign w:val="bottom"/>
          </w:tcPr>
          <w:p>
            <w:pPr>
              <w:spacing w:after="0"/>
              <w:rPr>
                <w:sz w:val="24"/>
                <w:szCs w:val="24"/>
                <w:color w:val="auto"/>
              </w:rPr>
            </w:pPr>
          </w:p>
        </w:tc>
        <w:tc>
          <w:tcPr>
            <w:tcW w:w="10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1"/>
        </w:trPr>
        <w:tc>
          <w:tcPr>
            <w:tcW w:w="6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September 30, 2024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864.9</w:t>
            </w:r>
          </w:p>
        </w:tc>
      </w:tr>
      <w:tr>
        <w:trPr>
          <w:trHeight w:val="19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impact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21"/>
        </w:trPr>
        <w:tc>
          <w:tcPr>
            <w:tcW w:w="6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March 30, 2025</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carrying value and accumulated amortization of intangible assets are as follows: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1"/>
                <w:szCs w:val="11"/>
                <w:color w:val="auto"/>
              </w:rPr>
            </w:pPr>
          </w:p>
        </w:tc>
        <w:tc>
          <w:tcPr>
            <w:tcW w:w="116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18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080" w:type="dxa"/>
            <w:vAlign w:val="bottom"/>
          </w:tcPr>
          <w:p>
            <w:pPr>
              <w:jc w:val="right"/>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8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7"/>
        </w:trPr>
        <w:tc>
          <w:tcPr>
            <w:tcW w:w="3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Amortizable intangible assets: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(466.8)</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(452.3)</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0" w:type="dxa"/>
            <w:vAlign w:val="bottom"/>
          </w:tcPr>
          <w:p>
            <w:pPr>
              <w:spacing w:after="0"/>
              <w:rPr>
                <w:sz w:val="1"/>
                <w:szCs w:val="1"/>
                <w:color w:val="auto"/>
              </w:rPr>
            </w:pPr>
          </w:p>
        </w:tc>
      </w:tr>
      <w:tr>
        <w:trPr>
          <w:trHeight w:val="210"/>
        </w:trPr>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assets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Tradenames</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amortizable intangible assets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0" w:type="dxa"/>
            <w:vAlign w:val="bottom"/>
          </w:tcPr>
          <w:p>
            <w:pPr>
              <w:spacing w:after="0"/>
              <w:rPr>
                <w:sz w:val="1"/>
                <w:szCs w:val="1"/>
                <w:color w:val="auto"/>
              </w:rPr>
            </w:pPr>
          </w:p>
        </w:tc>
      </w:tr>
      <w:tr>
        <w:trPr>
          <w:trHeight w:val="19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Indefinite-lived intangible assets – tradenames</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749.6</w:t>
            </w:r>
          </w:p>
        </w:tc>
        <w:tc>
          <w:tcPr>
            <w:tcW w:w="0" w:type="dxa"/>
            <w:vAlign w:val="bottom"/>
          </w:tcPr>
          <w:p>
            <w:pPr>
              <w:spacing w:after="0"/>
              <w:rPr>
                <w:sz w:val="1"/>
                <w:szCs w:val="1"/>
                <w:color w:val="auto"/>
              </w:rPr>
            </w:pPr>
          </w:p>
        </w:tc>
      </w:tr>
      <w:tr>
        <w:trPr>
          <w:trHeight w:val="221"/>
        </w:trPr>
        <w:tc>
          <w:tcPr>
            <w:tcW w:w="3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During the three month period ended March 30, 2025, the Company and its HPC segment recognized a triggering event associated with its PowerXL® tradename attributable to declining sales expectations on products associated with the brand and a change in our direct to consumer strategy during the three month period resulting in an impairment charge of $15.7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on intangible assets for the three and six month periods ended March 30, 2025 and March 31, 2024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200" w:type="dxa"/>
            <w:vAlign w:val="bottom"/>
          </w:tcPr>
          <w:p>
            <w:pPr>
              <w:spacing w:after="0"/>
              <w:rPr>
                <w:sz w:val="16"/>
                <w:szCs w:val="16"/>
                <w:color w:val="auto"/>
              </w:rPr>
            </w:pPr>
          </w:p>
        </w:tc>
        <w:tc>
          <w:tcPr>
            <w:tcW w:w="290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0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expense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Excluding the impact of any future acquisitions, dispositions or changes in foreign currency, the Company estimates amortization expense of intangible assets for the next five fiscal years will be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30"/>
        </w:trPr>
        <w:tc>
          <w:tcPr>
            <w:tcW w:w="5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 remaining</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95"/>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95"/>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355"/>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7 – DEBT</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Debt with external lenders consist of the following:</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30"/>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03"/>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Revolver Facility, variable rate, expiring October 19, 2028</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5"/>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3.375% Exchangeable Notes, due June 1, 2029</w:t>
            </w:r>
          </w:p>
        </w:tc>
        <w:tc>
          <w:tcPr>
            <w:tcW w:w="9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21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 Notes, due October 1, 2029</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195"/>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5.50% Notes, due July 15, 2030</w:t>
            </w:r>
          </w:p>
        </w:tc>
        <w:tc>
          <w:tcPr>
            <w:tcW w:w="9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5.5 %</w:t>
            </w:r>
          </w:p>
        </w:tc>
        <w:tc>
          <w:tcPr>
            <w:tcW w:w="0" w:type="dxa"/>
            <w:vAlign w:val="bottom"/>
          </w:tcPr>
          <w:p>
            <w:pPr>
              <w:spacing w:after="0"/>
              <w:rPr>
                <w:sz w:val="1"/>
                <w:szCs w:val="1"/>
                <w:color w:val="auto"/>
              </w:rPr>
            </w:pPr>
          </w:p>
        </w:tc>
      </w:tr>
      <w:tr>
        <w:trPr>
          <w:trHeight w:val="21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3.875% Notes, due March 15, 2031</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3.9 %</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Obligations under finance leases</w:t>
            </w:r>
          </w:p>
        </w:tc>
        <w:tc>
          <w:tcPr>
            <w:tcW w:w="9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81.6</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jc w:val="center"/>
              <w:ind w:left="1028"/>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577.7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Debt issuance costs</w:t>
            </w:r>
          </w:p>
        </w:tc>
        <w:tc>
          <w:tcPr>
            <w:tcW w:w="9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9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96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632.0</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551.4</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DEBT (continued)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March 30, 2025, there is $83.0 million of borrowings outstanding under the Company’s $500 million revolving credit facility (the “Revolver Facility”) under the Second Amended and Restated Credit Agreement, dated as of October 19, 2023, by and among the Company, SB/RH Holdings, LLC, Royal Bank of Canada, as the administrative agent, and the lenders party thereto, with a borrowing availability under the Revolver Facility of $408.6 million, net outstanding letters of credit of $8.4 million.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3.375% Exchangeable Notes due June 1, 2029</w:t>
      </w:r>
    </w:p>
    <w:p>
      <w:pPr>
        <w:spacing w:after="0" w:line="11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Effective February 2025, the Company increased its quarterly dividend rate to $0.47 per share. As such, the exchange rate for the Company's 3.375% Exchangeable Notes due June 1, 2029 was adjusted to 8.2158 shares of common stock per $1,000 principal amount of notes (which is equal to an initial conversion price of approximately $121.72 per share of the Company's common stock), subject to further adjustment as set forth in the indenture. Concurrently, the strike price with the associated Capped Calls was updated to approximately $121.72 per share, subject to certain additional adjustments, corresponding to the change in exchange price of the Exchangeable Notes, and the cap price was updated to approximately $159.17 per share, subject to certain additional adjustments.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DERIVATIVES</w:t>
      </w:r>
    </w:p>
    <w:p>
      <w:pPr>
        <w:spacing w:after="0" w:line="12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Derivative financial instruments are principally used in the management of foreign currency risk. The Company does not hold or issue derivative financial instruments for speculative or trading purposes.</w:t>
      </w:r>
    </w:p>
    <w:p>
      <w:pPr>
        <w:spacing w:after="0" w:line="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Cash Flow Hedges. </w:t>
      </w:r>
      <w:r>
        <w:rPr>
          <w:rFonts w:ascii="Times New Roman" w:cs="Times New Roman" w:eastAsia="Times New Roman" w:hAnsi="Times New Roman"/>
          <w:sz w:val="14"/>
          <w:szCs w:val="14"/>
          <w:color w:val="auto"/>
        </w:rPr>
        <w:t>The Company periodically enters into forward foreign exchange contracts to hedge the cash flow risk from the forecasted purchase and sale of inventory denominated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foreign currencies, and designated as a cash flow hedge. These obligations generally require the Company to exchange foreign currencies for Australian Dollars, Canadian Dollars, Euros, Japanese Yen, Mexican Pesos, Pound Sterling, or U.S. Dollars. The fair value of the related hedge is recorded in Accumulated Other Comprehensive Income ("AOCI") and as a derivative asset or liability, as applicable, until the purchase or sale is recognized, or otherwise determined to be ineffective or discontinued, at which point the fair value of the related hedge is reclassified to earnings.</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Derivative Instruments Not Designated as Hedge. </w:t>
      </w:r>
      <w:r>
        <w:rPr>
          <w:rFonts w:ascii="Times New Roman" w:cs="Times New Roman" w:eastAsia="Times New Roman" w:hAnsi="Times New Roman"/>
          <w:sz w:val="14"/>
          <w:szCs w:val="14"/>
          <w:color w:val="auto"/>
        </w:rPr>
        <w:t>The Company periodically enters into forward contracts to economically hedge a portion of risk from intercompany balances denominated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foreign currencies. These obligations generally require the Company to exchange foreign currencies for, among others, Canadian Dollars, Colombian Peso, Euros, Czech Koruna, Japanese Yen, Mexican Peso, Polish Zloty, Pound Sterling, Singapore Dollar, Swiss Franc, Turkish Lira, or U.S. Dollars. These foreign exchange contracts are fair value hedges of related intercompany balances with the gain or loss on the derivative instruments recorded in earnings offsetting the change in value of the related intercompany balance.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outstanding notional balances and maturities of derivative instruments as of March 30, 2025 and September 30,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Pr>
          <w:p>
            <w:pPr>
              <w:spacing w:after="0"/>
              <w:rPr>
                <w:sz w:val="16"/>
                <w:szCs w:val="16"/>
                <w:color w:val="auto"/>
              </w:rPr>
            </w:pPr>
          </w:p>
        </w:tc>
        <w:tc>
          <w:tcPr>
            <w:tcW w:w="31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30"/>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Balance</w:t>
            </w: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Maturities thru</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 Balance</w:t>
            </w: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Maturities thru</w:t>
            </w:r>
          </w:p>
        </w:tc>
        <w:tc>
          <w:tcPr>
            <w:tcW w:w="0" w:type="dxa"/>
            <w:vAlign w:val="bottom"/>
          </w:tcPr>
          <w:p>
            <w:pPr>
              <w:spacing w:after="0"/>
              <w:rPr>
                <w:sz w:val="1"/>
                <w:szCs w:val="1"/>
                <w:color w:val="auto"/>
              </w:rPr>
            </w:pPr>
          </w:p>
        </w:tc>
      </w:tr>
      <w:tr>
        <w:trPr>
          <w:trHeight w:val="203"/>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contracts - cash flow hedges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September 2026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351.7</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2026</w:t>
            </w:r>
          </w:p>
        </w:tc>
        <w:tc>
          <w:tcPr>
            <w:tcW w:w="0" w:type="dxa"/>
            <w:vAlign w:val="bottom"/>
          </w:tcPr>
          <w:p>
            <w:pPr>
              <w:spacing w:after="0"/>
              <w:rPr>
                <w:sz w:val="1"/>
                <w:szCs w:val="1"/>
                <w:color w:val="auto"/>
              </w:rPr>
            </w:pPr>
          </w:p>
        </w:tc>
      </w:tr>
      <w:tr>
        <w:trPr>
          <w:trHeight w:val="188"/>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exchange contracts - not designated as hedge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475.0</w:t>
            </w:r>
          </w:p>
        </w:tc>
        <w:tc>
          <w:tcPr>
            <w:tcW w:w="10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April 2025</w:t>
            </w: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466.9</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2024</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the fair value and location of outstanding derivative instruments in the Condensed Consolidated Statements of Financial Position.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4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30"/>
        </w:trPr>
        <w:tc>
          <w:tcPr>
            <w:tcW w:w="4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Foreign exchange contracts – cash flow hedges</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4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exchange contracts – cash flow hedges</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charges and other</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Foreign exchange contracts – not designated as hedge</w:t>
            </w:r>
          </w:p>
        </w:tc>
        <w:tc>
          <w:tcPr>
            <w:tcW w:w="3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21"/>
        </w:trPr>
        <w:tc>
          <w:tcPr>
            <w:tcW w:w="46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Derivative Assets</w:t>
            </w:r>
          </w:p>
        </w:tc>
        <w:tc>
          <w:tcPr>
            <w:tcW w:w="3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3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00" w:type="dxa"/>
            <w:vAlign w:val="bottom"/>
            <w:gridSpan w:val="2"/>
            <w:vMerge w:val="continue"/>
          </w:tcPr>
          <w:p>
            <w:pPr>
              <w:spacing w:after="0"/>
              <w:rPr>
                <w:sz w:val="13"/>
                <w:szCs w:val="13"/>
                <w:color w:val="auto"/>
              </w:rPr>
            </w:pP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exchange contracts – cash flow hedges</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95"/>
        </w:trPr>
        <w:tc>
          <w:tcPr>
            <w:tcW w:w="46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Foreign exchange contracts – cash flow hedges</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long term liabilities</w:t>
            </w:r>
          </w:p>
        </w:tc>
        <w:tc>
          <w:tcPr>
            <w:tcW w:w="2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4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exchange contracts – not designated as hedge</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0"/>
        </w:trPr>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fair value for derivative instruments excludes collateral or standby letter of credit associated with derivative instruments, of which there were none as of March 30, 2025 and September 30, 2024. The Company is not a party to derivative agreements that require collateral to be posted prior to settlement.</w:t>
      </w:r>
    </w:p>
    <w:p>
      <w:pPr>
        <w:spacing w:after="0" w:line="40"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The following summarizes the pre-tax gain (loss) from derivative instruments and location in the Condensed Consolidated Statements of Income for the three and six month periods ended March 30, 2025 and March 31, 2024, respectively.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200" w:type="dxa"/>
            <w:vAlign w:val="bottom"/>
          </w:tcPr>
          <w:p>
            <w:pPr>
              <w:spacing w:after="0"/>
              <w:rPr>
                <w:sz w:val="16"/>
                <w:szCs w:val="16"/>
                <w:color w:val="auto"/>
              </w:rPr>
            </w:pPr>
          </w:p>
        </w:tc>
        <w:tc>
          <w:tcPr>
            <w:tcW w:w="3120" w:type="dxa"/>
            <w:vAlign w:val="bottom"/>
            <w:gridSpan w:val="4"/>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vMerge w:val="restart"/>
          </w:tcPr>
          <w:p>
            <w:pPr>
              <w:spacing w:after="0"/>
              <w:rPr>
                <w:sz w:val="2"/>
                <w:szCs w:val="2"/>
                <w:color w:val="auto"/>
              </w:rPr>
            </w:pPr>
          </w:p>
        </w:tc>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3"/>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1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39"/>
        </w:trPr>
        <w:tc>
          <w:tcPr>
            <w:tcW w:w="21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exchange contracts - cash</w:t>
            </w:r>
          </w:p>
        </w:tc>
        <w:tc>
          <w:tcPr>
            <w:tcW w:w="80" w:type="dxa"/>
            <w:vAlign w:val="bottom"/>
            <w:shd w:val="clear" w:color="auto" w:fill="CCEEFF"/>
          </w:tcPr>
          <w:p>
            <w:pPr>
              <w:spacing w:after="0"/>
              <w:rPr>
                <w:sz w:val="12"/>
                <w:szCs w:val="12"/>
                <w:color w:val="auto"/>
              </w:rPr>
            </w:pPr>
          </w:p>
        </w:tc>
        <w:tc>
          <w:tcPr>
            <w:tcW w:w="22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gridSpan w:val="3"/>
            <w:vMerge w:val="restart"/>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   $</w:t>
            </w:r>
          </w:p>
        </w:tc>
        <w:tc>
          <w:tcPr>
            <w:tcW w:w="1400" w:type="dxa"/>
            <w:vAlign w:val="bottom"/>
            <w:vMerge w:val="restart"/>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gridSpan w:val="3"/>
            <w:vMerge w:val="restart"/>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   $</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flow hedges</w:t>
            </w:r>
          </w:p>
        </w:tc>
        <w:tc>
          <w:tcPr>
            <w:tcW w:w="228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700" w:type="dxa"/>
            <w:vAlign w:val="bottom"/>
            <w:gridSpan w:val="3"/>
            <w:vMerge w:val="continue"/>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720" w:type="dxa"/>
            <w:vAlign w:val="bottom"/>
            <w:gridSpan w:val="3"/>
            <w:vMerge w:val="continue"/>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exchange contracts - cash</w:t>
            </w:r>
          </w:p>
        </w:tc>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2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restart"/>
          </w:tcPr>
          <w:p>
            <w:pPr>
              <w:jc w:val="center"/>
              <w:ind w:left="100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flow hedges</w:t>
            </w:r>
          </w:p>
        </w:tc>
        <w:tc>
          <w:tcPr>
            <w:tcW w:w="2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Foreign exchange contracts - not</w:t>
            </w:r>
          </w:p>
        </w:tc>
        <w:tc>
          <w:tcPr>
            <w:tcW w:w="22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20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as hedge</w:t>
            </w:r>
          </w:p>
        </w:tc>
        <w:tc>
          <w:tcPr>
            <w:tcW w:w="22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DERIVATIVES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There was no gain or loss realized from cash flow hedges due to the ineffectiveness or discontinuation of the cash flow hedge because it was not considered probable that the original forecasted transaction would not occur. See </w:t>
      </w:r>
      <w:r>
        <w:rPr>
          <w:rFonts w:ascii="Times New Roman" w:cs="Times New Roman" w:eastAsia="Times New Roman" w:hAnsi="Times New Roman"/>
          <w:sz w:val="14"/>
          <w:szCs w:val="14"/>
          <w:i w:val="1"/>
          <w:iCs w:val="1"/>
          <w:color w:val="auto"/>
        </w:rPr>
        <w:t>Note 12 - Accumulated Other Comprehensive Income</w:t>
      </w:r>
      <w:r>
        <w:rPr>
          <w:rFonts w:ascii="Times New Roman" w:cs="Times New Roman" w:eastAsia="Times New Roman" w:hAnsi="Times New Roman"/>
          <w:sz w:val="14"/>
          <w:szCs w:val="14"/>
          <w:color w:val="auto"/>
        </w:rPr>
        <w:t xml:space="preserve"> for unrealized gains and losses initially recognized as other comprehensive income and the accumulated unrealized gain (loss) associated with cash flow hedges recognized in AOCI. As of March 30, 2025, the net loss estimated to be reclassified from AOCI into earnings associated with cash flow hedges over the next 12 months is $2.6 million, net of tax.</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FAIR VALUE OF FINANCIAL INSTRUMENTS</w:t>
      </w:r>
    </w:p>
    <w:p>
      <w:pPr>
        <w:spacing w:after="0" w:line="12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Company has not changed the valuation techniques used in measuring the fair value of any financial assets and liabilities during the year. The carrying value and estimated fair value of financial instruments as of March 30, 2025 and September 30, 2024 according to the fair value hierarchy are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gridSpan w:val="5"/>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6"/>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0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6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68"/>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09"/>
        </w:trPr>
        <w:tc>
          <w:tcPr>
            <w:tcW w:w="1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1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5"/>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Derivative Liabilities</w:t>
            </w:r>
          </w:p>
        </w:tc>
        <w:tc>
          <w:tcPr>
            <w:tcW w:w="140" w:type="dxa"/>
            <w:vAlign w:val="bottom"/>
          </w:tcPr>
          <w:p>
            <w:pPr>
              <w:spacing w:after="0"/>
              <w:rPr>
                <w:sz w:val="16"/>
                <w:szCs w:val="16"/>
                <w:color w:val="auto"/>
              </w:rPr>
            </w:pPr>
          </w:p>
        </w:tc>
        <w:tc>
          <w:tcPr>
            <w:tcW w:w="94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10"/>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560.8</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 xml:space="preserve">The fair value measurements of the Company’s debt represent non-active market exchanged traded securities which are valued at quoted input prices that are directly observable or indirectly observable through corroboration with observable market data (Level 2). The Company's derivative instruments are valued on a recurring basis using internal models, which are based on market observable inputs, including both forward and spot prices for currencies, which are generally based on quoted or observed market prices (Level 2). See </w:t>
      </w:r>
      <w:r>
        <w:rPr>
          <w:rFonts w:ascii="Times New Roman" w:cs="Times New Roman" w:eastAsia="Times New Roman" w:hAnsi="Times New Roman"/>
          <w:sz w:val="14"/>
          <w:szCs w:val="14"/>
          <w:i w:val="1"/>
          <w:iCs w:val="1"/>
          <w:color w:val="auto"/>
        </w:rPr>
        <w:t>Note 7 – Debt</w:t>
      </w:r>
      <w:r>
        <w:rPr>
          <w:rFonts w:ascii="Times New Roman" w:cs="Times New Roman" w:eastAsia="Times New Roman" w:hAnsi="Times New Roman"/>
          <w:sz w:val="14"/>
          <w:szCs w:val="14"/>
          <w:color w:val="auto"/>
        </w:rPr>
        <w:t xml:space="preserve"> for additional detail on outstanding debt. See </w:t>
      </w:r>
      <w:r>
        <w:rPr>
          <w:rFonts w:ascii="Times New Roman" w:cs="Times New Roman" w:eastAsia="Times New Roman" w:hAnsi="Times New Roman"/>
          <w:sz w:val="14"/>
          <w:szCs w:val="14"/>
          <w:i w:val="1"/>
          <w:iCs w:val="1"/>
          <w:color w:val="auto"/>
        </w:rPr>
        <w:t>Note 8 – Derivatives</w:t>
      </w:r>
      <w:r>
        <w:rPr>
          <w:rFonts w:ascii="Times New Roman" w:cs="Times New Roman" w:eastAsia="Times New Roman" w:hAnsi="Times New Roman"/>
          <w:sz w:val="14"/>
          <w:szCs w:val="14"/>
          <w:color w:val="auto"/>
        </w:rPr>
        <w:t xml:space="preserve"> for additional detail on derivative assets and liabilities.</w:t>
      </w:r>
    </w:p>
    <w:p>
      <w:pPr>
        <w:spacing w:after="0" w:line="5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 xml:space="preserve">The carrying values of goodwill, intangible assets and other long-lived assets are tested annually or more frequently if an event occurs that indicates an impairment loss may have been incurred, using fair value measurements with unobservable inputs (Level 3). See </w:t>
      </w:r>
      <w:r>
        <w:rPr>
          <w:rFonts w:ascii="Times New Roman" w:cs="Times New Roman" w:eastAsia="Times New Roman" w:hAnsi="Times New Roman"/>
          <w:sz w:val="14"/>
          <w:szCs w:val="14"/>
          <w:i w:val="1"/>
          <w:iCs w:val="1"/>
          <w:color w:val="auto"/>
        </w:rPr>
        <w:t>Note 6 - Goodwill and Intangible Assets</w:t>
      </w:r>
      <w:r>
        <w:rPr>
          <w:rFonts w:ascii="Times New Roman" w:cs="Times New Roman" w:eastAsia="Times New Roman" w:hAnsi="Times New Roman"/>
          <w:sz w:val="14"/>
          <w:szCs w:val="14"/>
          <w:color w:val="auto"/>
        </w:rPr>
        <w:t xml:space="preserve"> for additional detail.</w:t>
      </w:r>
    </w:p>
    <w:p>
      <w:pPr>
        <w:spacing w:after="0" w:line="54" w:lineRule="exact"/>
        <w:rPr>
          <w:sz w:val="20"/>
          <w:szCs w:val="20"/>
          <w:color w:val="auto"/>
        </w:rPr>
      </w:pPr>
    </w:p>
    <w:p>
      <w:pPr>
        <w:ind w:right="660"/>
        <w:spacing w:after="0" w:line="472" w:lineRule="auto"/>
        <w:rPr>
          <w:sz w:val="20"/>
          <w:szCs w:val="20"/>
          <w:color w:val="auto"/>
        </w:rPr>
      </w:pPr>
      <w:r>
        <w:rPr>
          <w:rFonts w:ascii="Times New Roman" w:cs="Times New Roman" w:eastAsia="Times New Roman" w:hAnsi="Times New Roman"/>
          <w:sz w:val="14"/>
          <w:szCs w:val="14"/>
          <w:color w:val="auto"/>
        </w:rPr>
        <w:t xml:space="preserve">The carrying values of cash and cash equivalents, receivables, accounts payable and short term debt approximate fair value based on the short-term nature of these assets and liabilities. </w:t>
      </w:r>
      <w:r>
        <w:rPr>
          <w:rFonts w:ascii="Times New Roman" w:cs="Times New Roman" w:eastAsia="Times New Roman" w:hAnsi="Times New Roman"/>
          <w:sz w:val="14"/>
          <w:szCs w:val="14"/>
          <w:b w:val="1"/>
          <w:bCs w:val="1"/>
          <w:color w:val="auto"/>
        </w:rPr>
        <w:t>NOTE 10 – SHAREHOLDERS' EQUITY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the activity of common stock repurchases for the three and six month periods ended March 30, 2025 and March 31,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1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gridSpan w:val="2"/>
            <w:vMerge w:val="continue"/>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1"/>
                <w:szCs w:val="11"/>
                <w:color w:val="auto"/>
              </w:rPr>
            </w:pPr>
          </w:p>
        </w:tc>
        <w:tc>
          <w:tcPr>
            <w:tcW w:w="9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Open Market Purchases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0" w:type="dxa"/>
            <w:vAlign w:val="bottom"/>
          </w:tcPr>
          <w:p>
            <w:pPr>
              <w:spacing w:after="0"/>
              <w:rPr>
                <w:sz w:val="1"/>
                <w:szCs w:val="1"/>
                <w:color w:val="auto"/>
              </w:rPr>
            </w:pPr>
          </w:p>
        </w:tc>
      </w:tr>
      <w:tr>
        <w:trPr>
          <w:trHeight w:val="395"/>
        </w:trPr>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11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1"/>
                <w:szCs w:val="11"/>
                <w:color w:val="auto"/>
              </w:rPr>
            </w:pPr>
          </w:p>
        </w:tc>
        <w:tc>
          <w:tcPr>
            <w:tcW w:w="10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26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0"/>
                <w:szCs w:val="10"/>
                <w:color w:val="auto"/>
              </w:rPr>
            </w:pPr>
          </w:p>
        </w:tc>
        <w:tc>
          <w:tcPr>
            <w:tcW w:w="10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0"/>
                <w:szCs w:val="10"/>
                <w:color w:val="auto"/>
              </w:rPr>
            </w:pPr>
          </w:p>
        </w:tc>
        <w:tc>
          <w:tcPr>
            <w:tcW w:w="10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1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line="20" w:lineRule="exact"/>
              <w:rPr>
                <w:sz w:val="1"/>
                <w:szCs w:val="1"/>
                <w:color w:val="auto"/>
              </w:rPr>
            </w:pPr>
          </w:p>
        </w:tc>
      </w:tr>
      <w:tr>
        <w:trPr>
          <w:trHeight w:val="207"/>
        </w:trPr>
        <w:tc>
          <w:tcPr>
            <w:tcW w:w="4260" w:type="dxa"/>
            <w:vAlign w:val="bottom"/>
            <w:gridSpan w:val="2"/>
            <w:vMerge w:val="continue"/>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Open Market Purchases</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75.41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w:t>
            </w:r>
          </w:p>
        </w:tc>
        <w:tc>
          <w:tcPr>
            <w:tcW w:w="0" w:type="dxa"/>
            <w:vAlign w:val="bottom"/>
          </w:tcPr>
          <w:p>
            <w:pPr>
              <w:spacing w:after="0"/>
              <w:rPr>
                <w:sz w:val="1"/>
                <w:szCs w:val="1"/>
                <w:color w:val="auto"/>
              </w:rPr>
            </w:pPr>
          </w:p>
        </w:tc>
      </w:tr>
      <w:tr>
        <w:trPr>
          <w:trHeight w:val="196"/>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ASR</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0" w:type="dxa"/>
            <w:vAlign w:val="bottom"/>
          </w:tcPr>
          <w:p>
            <w:pPr>
              <w:spacing w:after="0"/>
              <w:rPr>
                <w:sz w:val="1"/>
                <w:szCs w:val="1"/>
                <w:color w:val="auto"/>
              </w:rPr>
            </w:pPr>
          </w:p>
        </w:tc>
      </w:tr>
      <w:tr>
        <w:trPr>
          <w:trHeight w:val="228"/>
        </w:trPr>
        <w:tc>
          <w:tcPr>
            <w:tcW w:w="4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Purchases</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December 2024, the Company entered into a $150.0 million rule 10b5-1 repurchase plan to facilitate daily market share repurchases through December 16, 2025, until the cap is reached or until the plan is terminated. This plan reached its cap and was terminated in February 2025 with a total of 1.8 million shares repurchased for $150.0 million, which are included in the open market purchases above. In March 2025, the Company entered into a new rule 10b5-1 repurchase plan for $50.0 million to facilitate daily market share repurchases through November 14, 2025, until the cap is reached or until the plan is terminated. As of March 30, 2025, there has been $1.7 million repurchased pursuant to the new 10b5-1 repurchase plan, which are included in the open market purchases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SHARE BASED COMPENSATION</w:t>
      </w:r>
    </w:p>
    <w:p>
      <w:pPr>
        <w:spacing w:after="0" w:line="200" w:lineRule="exact"/>
        <w:rPr>
          <w:sz w:val="20"/>
          <w:szCs w:val="20"/>
          <w:color w:val="auto"/>
        </w:rPr>
      </w:pPr>
    </w:p>
    <w:p>
      <w:pPr>
        <w:spacing w:after="0" w:line="276"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The following is a summary of share based compensation expense included in Selling, General &amp; Administrative on the Company's Condensed Consolidated Statements of Income for the three and six month periods ended March 30, 2025 and March 31, 2024:</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 expense</w:t>
            </w: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112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The following is a summary of RSU grants issued during the six month period ended March 30, 2025, which are consistent to the vesting conditions for time-based RSU grants and performance-based RSU grants previously disclosed, without substantial discrepancy:</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 Grant</w:t>
            </w:r>
          </w:p>
        </w:tc>
        <w:tc>
          <w:tcPr>
            <w:tcW w:w="0" w:type="dxa"/>
            <w:vAlign w:val="bottom"/>
          </w:tcPr>
          <w:p>
            <w:pPr>
              <w:spacing w:after="0"/>
              <w:rPr>
                <w:sz w:val="1"/>
                <w:szCs w:val="1"/>
                <w:color w:val="auto"/>
              </w:rPr>
            </w:pPr>
          </w:p>
        </w:tc>
      </w:tr>
      <w:tr>
        <w:trPr>
          <w:trHeight w:val="207"/>
        </w:trPr>
        <w:tc>
          <w:tcPr>
            <w:tcW w:w="5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Fair Value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3"/>
        </w:trPr>
        <w:tc>
          <w:tcPr>
            <w:tcW w:w="57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Time-based grants</w:t>
            </w: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Vesting in less than 12 months</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88.19</w:t>
            </w:r>
          </w:p>
        </w:tc>
        <w:tc>
          <w:tcPr>
            <w:tcW w:w="100" w:type="dxa"/>
            <w:vAlign w:val="bottom"/>
          </w:tcPr>
          <w:p>
            <w:pPr>
              <w:spacing w:after="0"/>
              <w:rPr>
                <w:sz w:val="16"/>
                <w:szCs w:val="16"/>
                <w:color w:val="auto"/>
              </w:rPr>
            </w:pPr>
          </w:p>
        </w:tc>
        <w:tc>
          <w:tcPr>
            <w:tcW w:w="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in more than 12 months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time-based grants</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Performance-based grants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9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grants</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89.60</w:t>
            </w:r>
          </w:p>
        </w:tc>
        <w:tc>
          <w:tcPr>
            <w:tcW w:w="100" w:type="dxa"/>
            <w:vAlign w:val="bottom"/>
          </w:tcPr>
          <w:p>
            <w:pPr>
              <w:spacing w:after="0"/>
              <w:rPr>
                <w:sz w:val="17"/>
                <w:szCs w:val="17"/>
                <w:color w:val="auto"/>
              </w:rPr>
            </w:pPr>
          </w:p>
        </w:tc>
        <w:tc>
          <w:tcPr>
            <w:tcW w:w="30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1"/>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12 - ACCUMULATED OTHER COMPREHENSIVE INCOME</w:t>
            </w: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3"/>
        </w:trPr>
        <w:tc>
          <w:tcPr>
            <w:tcW w:w="5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change in the components of AOCI for the six month period ended March 30, 2025, was as follows: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24"/>
                <w:szCs w:val="24"/>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95"/>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reclassification for loss to income from continuing operations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9"/>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comprehensive (loss) income before tax</w:t>
            </w: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42"/>
        </w:trPr>
        <w:tc>
          <w:tcPr>
            <w:tcW w:w="57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Less: other comprehensive loss from continuing operations attributable to non-controlling</w:t>
            </w:r>
          </w:p>
        </w:tc>
        <w:tc>
          <w:tcPr>
            <w:tcW w:w="1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0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attributable to controlling interest</w:t>
            </w:r>
          </w:p>
        </w:tc>
        <w:tc>
          <w:tcPr>
            <w:tcW w:w="1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29, 2024</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0" w:type="dxa"/>
            <w:vAlign w:val="bottom"/>
          </w:tcPr>
          <w:p>
            <w:pPr>
              <w:spacing w:after="0"/>
              <w:rPr>
                <w:sz w:val="1"/>
                <w:szCs w:val="1"/>
                <w:color w:val="auto"/>
              </w:rPr>
            </w:pPr>
          </w:p>
        </w:tc>
      </w:tr>
      <w:tr>
        <w:trPr>
          <w:trHeight w:val="195"/>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reclassification for (gain) loss to income from continuing operations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9"/>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 before tax</w:t>
            </w: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42"/>
        </w:trPr>
        <w:tc>
          <w:tcPr>
            <w:tcW w:w="57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Less: other comprehensive income from continuing operations attributable to non-controlling</w:t>
            </w:r>
          </w:p>
        </w:tc>
        <w:tc>
          <w:tcPr>
            <w:tcW w:w="1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0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attributable to controlling interest</w:t>
            </w:r>
          </w:p>
        </w:tc>
        <w:tc>
          <w:tcPr>
            <w:tcW w:w="1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21"/>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30,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presents reclassifications of the gain (loss) on the Condensed Consolidated Statements of Income from AOCI for the three and six month period ended March 30,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6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 Period Ended March 30, 2025</w:t>
            </w:r>
          </w:p>
        </w:tc>
        <w:tc>
          <w:tcPr>
            <w:tcW w:w="160" w:type="dxa"/>
            <w:vAlign w:val="bottom"/>
          </w:tcPr>
          <w:p>
            <w:pPr>
              <w:spacing w:after="0"/>
              <w:rPr>
                <w:sz w:val="16"/>
                <w:szCs w:val="16"/>
                <w:color w:val="auto"/>
              </w:rPr>
            </w:pPr>
          </w:p>
        </w:tc>
        <w:tc>
          <w:tcPr>
            <w:tcW w:w="3680" w:type="dxa"/>
            <w:vAlign w:val="bottom"/>
            <w:gridSpan w:val="7"/>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Six Month Period Ended March 30, 2025</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3"/>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24"/>
                <w:szCs w:val="24"/>
                <w:color w:val="auto"/>
              </w:rPr>
            </w:pPr>
          </w:p>
        </w:tc>
        <w:tc>
          <w:tcPr>
            <w:tcW w:w="1460" w:type="dxa"/>
            <w:vAlign w:val="bottom"/>
            <w:gridSpan w:val="3"/>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24"/>
                <w:szCs w:val="24"/>
                <w:color w:val="auto"/>
              </w:rPr>
            </w:pPr>
          </w:p>
        </w:tc>
        <w:tc>
          <w:tcPr>
            <w:tcW w:w="1460" w:type="dxa"/>
            <w:vAlign w:val="bottom"/>
            <w:gridSpan w:val="3"/>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Pr>
          <w:p>
            <w:pPr>
              <w:spacing w:after="0"/>
              <w:rPr>
                <w:sz w:val="16"/>
                <w:szCs w:val="16"/>
                <w:color w:val="auto"/>
              </w:rPr>
            </w:pPr>
          </w:p>
        </w:tc>
        <w:tc>
          <w:tcPr>
            <w:tcW w:w="1460" w:type="dxa"/>
            <w:vAlign w:val="bottom"/>
            <w:gridSpan w:val="3"/>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6"/>
                <w:szCs w:val="16"/>
                <w:color w:val="auto"/>
              </w:rPr>
            </w:pPr>
          </w:p>
        </w:tc>
        <w:tc>
          <w:tcPr>
            <w:tcW w:w="1460" w:type="dxa"/>
            <w:vAlign w:val="bottom"/>
            <w:gridSpan w:val="3"/>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8"/>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ACCUMULATED OTHER COMPREHENSIVE INCOME (continued)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the components of AOCI for the six month period ended March 31, 2024, was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80" w:type="dxa"/>
            <w:vAlign w:val="bottom"/>
          </w:tcPr>
          <w:p>
            <w:pPr>
              <w:spacing w:after="0"/>
              <w:rPr>
                <w:sz w:val="13"/>
                <w:szCs w:val="13"/>
                <w:color w:val="auto"/>
              </w:rPr>
            </w:pPr>
          </w:p>
        </w:tc>
        <w:tc>
          <w:tcPr>
            <w:tcW w:w="10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0" w:type="dxa"/>
            <w:vAlign w:val="bottom"/>
          </w:tcPr>
          <w:p>
            <w:pPr>
              <w:spacing w:after="0"/>
              <w:rPr>
                <w:sz w:val="1"/>
                <w:szCs w:val="1"/>
                <w:color w:val="auto"/>
              </w:rPr>
            </w:pPr>
          </w:p>
        </w:tc>
      </w:tr>
      <w:tr>
        <w:trPr>
          <w:trHeight w:val="195"/>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reclassification for loss to income from continuing operations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9"/>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 before tax</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42"/>
        </w:trPr>
        <w:tc>
          <w:tcPr>
            <w:tcW w:w="57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Less: other comprehensive income from continuing operations attributable to non-controlling</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attributable to controlling interest</w:t>
            </w:r>
          </w:p>
        </w:tc>
        <w:tc>
          <w:tcPr>
            <w:tcW w:w="1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Balance at December 31, 2023</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0" w:type="dxa"/>
            <w:vAlign w:val="bottom"/>
          </w:tcPr>
          <w:p>
            <w:pPr>
              <w:spacing w:after="0"/>
              <w:rPr>
                <w:sz w:val="1"/>
                <w:szCs w:val="1"/>
                <w:color w:val="auto"/>
              </w:rPr>
            </w:pPr>
          </w:p>
        </w:tc>
      </w:tr>
      <w:tr>
        <w:trPr>
          <w:trHeight w:val="195"/>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reclassification for loss to income from continuing operations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9"/>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comprehensive (loss) income before tax</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2"/>
        </w:trPr>
        <w:tc>
          <w:tcPr>
            <w:tcW w:w="57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Less: other comprehensive loss from continuing operations attributable to non-controlling</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attributable to controlling interest</w:t>
            </w:r>
          </w:p>
        </w:tc>
        <w:tc>
          <w:tcPr>
            <w:tcW w:w="1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28"/>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reclassifications of the gain (loss) on the Condensed Consolidated Statements of Income from AOCI for the three and six month period ended March 31,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8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 Period Ended March 31, 2024</w:t>
            </w:r>
          </w:p>
        </w:tc>
        <w:tc>
          <w:tcPr>
            <w:tcW w:w="160" w:type="dxa"/>
            <w:vAlign w:val="bottom"/>
          </w:tcPr>
          <w:p>
            <w:pPr>
              <w:spacing w:after="0"/>
              <w:rPr>
                <w:sz w:val="16"/>
                <w:szCs w:val="16"/>
                <w:color w:val="auto"/>
              </w:rPr>
            </w:pPr>
          </w:p>
        </w:tc>
        <w:tc>
          <w:tcPr>
            <w:tcW w:w="3680" w:type="dxa"/>
            <w:vAlign w:val="bottom"/>
            <w:gridSpan w:val="5"/>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Six Month Period Ended March 31, 2024</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9"/>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24"/>
                <w:szCs w:val="24"/>
                <w:color w:val="auto"/>
              </w:rPr>
            </w:pPr>
          </w:p>
        </w:tc>
        <w:tc>
          <w:tcPr>
            <w:tcW w:w="1460" w:type="dxa"/>
            <w:vAlign w:val="bottom"/>
            <w:gridSpan w:val="3"/>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24"/>
                <w:szCs w:val="24"/>
                <w:color w:val="auto"/>
              </w:rPr>
            </w:pPr>
          </w:p>
        </w:tc>
        <w:tc>
          <w:tcPr>
            <w:tcW w:w="1480" w:type="dxa"/>
            <w:vAlign w:val="bottom"/>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94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3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8"/>
                <w:szCs w:val="18"/>
                <w:color w:val="auto"/>
              </w:rPr>
            </w:pPr>
          </w:p>
        </w:tc>
        <w:tc>
          <w:tcPr>
            <w:tcW w:w="1460" w:type="dxa"/>
            <w:vAlign w:val="bottom"/>
            <w:gridSpan w:val="3"/>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Pr>
          <w:p>
            <w:pPr>
              <w:spacing w:after="0"/>
              <w:rPr>
                <w:sz w:val="18"/>
                <w:szCs w:val="18"/>
                <w:color w:val="auto"/>
              </w:rPr>
            </w:pPr>
          </w:p>
        </w:tc>
        <w:tc>
          <w:tcPr>
            <w:tcW w:w="1480" w:type="dxa"/>
            <w:vAlign w:val="bottom"/>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center"/>
              <w:ind w:left="56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left="54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(0.4)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INCOME TAXES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effective tax rate for the three and six month periods ended March 30, 2025 and March 31, 2024, was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3220" w:type="dxa"/>
            <w:vAlign w:val="bottom"/>
            <w:gridSpan w:val="3"/>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r>
      <w:tr>
        <w:trPr>
          <w:trHeight w:val="30"/>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10"/>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5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8"/>
                <w:szCs w:val="18"/>
                <w:color w:val="auto"/>
              </w:rPr>
            </w:pPr>
          </w:p>
        </w:tc>
        <w:tc>
          <w:tcPr>
            <w:tcW w:w="166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5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3"/>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83.9 %</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33.8 %</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44.8 %</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36.0 %</w:t>
            </w:r>
          </w:p>
        </w:tc>
      </w:tr>
    </w:tbl>
    <w:p>
      <w:pPr>
        <w:spacing w:after="0" w:line="1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estimated annual effective tax rate applied to the three and six month periods ended March 30, 2025, differs from the US federal statutory rate of 21% principally due to income earned outside the U.S. that is subject to U.S. tax, including the U.S. tax on global intangible low taxed income (“GILTI”), net of applicable deductions, and certain nondeductible expenses. The Company is not projecting U.S. taxable income for Fiscal 2025, which does not allow it to take advantage of the foreign-derived intangible income deduction or foreign tax credits on its GILTI income. The Company’s federal effective tax rate on GILTI was therefore 21%. During the three and six month periods ended March 30, 2025, the Company recorded $2.6 million and $4.6 million, respectively, of interest related to its uncertain tax positions in income tax expense. The Company’s mix of U.S. and foreign income and the level of pretax income result in the accrued interest having a substantial impact on the three and six month period effective tax rates.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Organization for Economic Co-operations and Development has introduced a framework to implement a global minimum corporate income tax of 15% referred to as "Pillar Two." Certain countries have adopted legislation to implement Pillar Two, and other countries are in the process of introducing legislation to implement Pillar Two. Many aspects of Pillar Two are effective for tax years beginning after January 1, 2024 with certain remaining aspects to be effective for tax years beginning January 1, 2025 or later. Pillar Two legislation currently in effect for the Company's Fiscal 2025 has been incorporated into the projected annual effective tax rate, and is not anticipated to have a significant impact. We continue to assess the impact of Pillar Two and monitor development in legislation, regulation, and interpretive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COMMITMENTS AND CONTINGENCIES</w:t>
      </w:r>
    </w:p>
    <w:p>
      <w:pPr>
        <w:spacing w:after="0" w:line="200" w:lineRule="exact"/>
        <w:rPr>
          <w:sz w:val="20"/>
          <w:szCs w:val="20"/>
          <w:color w:val="auto"/>
        </w:rPr>
      </w:pPr>
    </w:p>
    <w:p>
      <w:pPr>
        <w:spacing w:after="0" w:line="34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Company is a defendant in various litigation matters generally arising out of the ordinary course of business. Based on information currently available, the Company does not believe that any additional matters or proceedings presently pending will have a material adverse effect on its results of operations, financial condition, liquidity or cash flows.</w:t>
      </w:r>
    </w:p>
    <w:p>
      <w:pPr>
        <w:spacing w:after="0" w:line="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Environmental Liability. </w:t>
      </w:r>
      <w:r>
        <w:rPr>
          <w:rFonts w:ascii="Times New Roman" w:cs="Times New Roman" w:eastAsia="Times New Roman" w:hAnsi="Times New Roman"/>
          <w:sz w:val="14"/>
          <w:szCs w:val="14"/>
          <w:color w:val="auto"/>
        </w:rPr>
        <w:t>The Company has realized commitments attributable to environmental remediation activities primarily associated with former manufacturing sites of the Company's HPC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segment. In coordination with local and federal regulatory agencies, we have conducted testing on certain sites, which have resulted in the identification of contamination that has been attributed to historical activities at the properties, resulting in the realization of incremental costs to be assumed by the Company towards the remediation of these properties and the recognition of an environmental remediation liability. We have not conducted invasive testing at all sites and locations and have identified an environmental remediation liability to the extent such remediation requirements have been identified and are considered estimable. The following is a summary of the environment remediation liability as of March 30, 2025 and September 30,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40" w:type="dxa"/>
            <w:vAlign w:val="bottom"/>
          </w:tcPr>
          <w:p>
            <w:pPr>
              <w:spacing w:after="0"/>
              <w:rPr>
                <w:sz w:val="16"/>
                <w:szCs w:val="16"/>
                <w:color w:val="auto"/>
              </w:rPr>
            </w:pP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31"/>
        </w:trPr>
        <w:tc>
          <w:tcPr>
            <w:tcW w:w="7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Environmental remediation liability</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5"/>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Reported as:</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0"/>
        </w:trPr>
        <w:tc>
          <w:tcPr>
            <w:tcW w:w="7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88"/>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bl>
    <w:p>
      <w:pPr>
        <w:spacing w:after="0" w:line="23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Product Liability. </w:t>
      </w:r>
      <w:r>
        <w:rPr>
          <w:rFonts w:ascii="Times New Roman" w:cs="Times New Roman" w:eastAsia="Times New Roman" w:hAnsi="Times New Roman"/>
          <w:sz w:val="14"/>
          <w:szCs w:val="14"/>
          <w:color w:val="auto"/>
        </w:rPr>
        <w:t>The Company may be named as a defendant in lawsuits involving product liability claims and maintains an estimated liability in the amount of management’s estimate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aggregate exposure for such liabilities based upon probable loss from loss reports, individual cases, and losses incurred but not reported. As of March 30, 2025 and September 30, 2024, the Company recognized $2.3 million and $2.2 million, respectively, in product liability, included in Other Current Liabilities on the Condensed Consolidated Statements of Financial Position.</w:t>
      </w:r>
    </w:p>
    <w:p>
      <w:pPr>
        <w:spacing w:after="0" w:line="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Product Safety Recalls. </w:t>
      </w:r>
      <w:r>
        <w:rPr>
          <w:rFonts w:ascii="Times New Roman" w:cs="Times New Roman" w:eastAsia="Times New Roman" w:hAnsi="Times New Roman"/>
          <w:sz w:val="14"/>
          <w:szCs w:val="14"/>
          <w:color w:val="auto"/>
        </w:rPr>
        <w:t>The Company and its HPC segment had initiated voluntary product safety recalls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050505"/>
        </w:rPr>
        <w:t>in collaboration with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 Consumer Product Safety Commission ("</w:t>
      </w:r>
      <w:r>
        <w:rPr>
          <w:rFonts w:ascii="Times New Roman" w:cs="Times New Roman" w:eastAsia="Times New Roman" w:hAnsi="Times New Roman"/>
          <w:sz w:val="14"/>
          <w:szCs w:val="14"/>
          <w:color w:val="050505"/>
        </w:rPr>
        <w:t>CPSC")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050505"/>
        </w:rPr>
        <w:t xml:space="preserve">specific products and has assessed the incremental costs attributable to the recall, including the anticipated returns of retail inventory from customers, write-off of affected inventory, and other costs to facilitate the recall such as notification, shipping and handling, consumer refunds, and rework and destruction of affected products, as needed, and evaluated the probability of redemption. As of </w:t>
      </w:r>
      <w:r>
        <w:rPr>
          <w:rFonts w:ascii="Times New Roman" w:cs="Times New Roman" w:eastAsia="Times New Roman" w:hAnsi="Times New Roman"/>
          <w:sz w:val="14"/>
          <w:szCs w:val="14"/>
          <w:color w:val="000000"/>
        </w:rPr>
        <w:t>March 30, 2025 and September 30, 2024</w:t>
      </w:r>
      <w:r>
        <w:rPr>
          <w:rFonts w:ascii="Times New Roman" w:cs="Times New Roman" w:eastAsia="Times New Roman" w:hAnsi="Times New Roman"/>
          <w:sz w:val="14"/>
          <w:szCs w:val="14"/>
          <w:color w:val="050505"/>
        </w:rPr>
        <w:t xml:space="preserve">, the Company recognized </w:t>
      </w:r>
      <w:r>
        <w:rPr>
          <w:rFonts w:ascii="Times New Roman" w:cs="Times New Roman" w:eastAsia="Times New Roman" w:hAnsi="Times New Roman"/>
          <w:sz w:val="14"/>
          <w:szCs w:val="14"/>
          <w:color w:val="000000"/>
        </w:rPr>
        <w:t>$5.7 million</w:t>
      </w:r>
      <w:r>
        <w:rPr>
          <w:rFonts w:ascii="Times New Roman" w:cs="Times New Roman" w:eastAsia="Times New Roman" w:hAnsi="Times New Roman"/>
          <w:sz w:val="14"/>
          <w:szCs w:val="14"/>
          <w:color w:val="050505"/>
        </w:rPr>
        <w:t xml:space="preserve"> and $6.1 million</w:t>
      </w:r>
      <w:r>
        <w:rPr>
          <w:rFonts w:ascii="Times New Roman" w:cs="Times New Roman" w:eastAsia="Times New Roman" w:hAnsi="Times New Roman"/>
          <w:sz w:val="14"/>
          <w:szCs w:val="14"/>
          <w:color w:val="000000"/>
        </w:rPr>
        <w:t>, respectively,</w:t>
      </w:r>
      <w:r>
        <w:rPr>
          <w:rFonts w:ascii="Times New Roman" w:cs="Times New Roman" w:eastAsia="Times New Roman" w:hAnsi="Times New Roman"/>
          <w:sz w:val="14"/>
          <w:szCs w:val="14"/>
          <w:color w:val="050505"/>
        </w:rPr>
        <w:t xml:space="preserve"> included </w:t>
      </w:r>
      <w:r>
        <w:rPr>
          <w:rFonts w:ascii="Times New Roman" w:cs="Times New Roman" w:eastAsia="Times New Roman" w:hAnsi="Times New Roman"/>
          <w:sz w:val="14"/>
          <w:szCs w:val="14"/>
          <w:color w:val="000000"/>
        </w:rPr>
        <w:t>in Other Current Liabilities on the Condensed</w:t>
      </w:r>
      <w:r>
        <w:rPr>
          <w:rFonts w:ascii="Times New Roman" w:cs="Times New Roman" w:eastAsia="Times New Roman" w:hAnsi="Times New Roman"/>
          <w:sz w:val="14"/>
          <w:szCs w:val="14"/>
          <w:color w:val="050505"/>
        </w:rPr>
        <w:t xml:space="preserve"> </w:t>
      </w:r>
      <w:r>
        <w:rPr>
          <w:rFonts w:ascii="Times New Roman" w:cs="Times New Roman" w:eastAsia="Times New Roman" w:hAnsi="Times New Roman"/>
          <w:sz w:val="14"/>
          <w:szCs w:val="14"/>
          <w:color w:val="000000"/>
        </w:rPr>
        <w:t>Consolidated Statement of Financial Position associated with the estimated costs for the recalls, including the incremental product returns associated with the recall. Additionally, for certain products affected by the recalls, the Company has indemnification provisions that are contractually provided by third parties for the affected products and recognized $7.9 million and $8.1 million as of March 30, 2025 and September 30, 2024, in Other Receivables on the Condensed Consolidated Statement of Financial Position related to recovery from such indemnification provisions.</w:t>
      </w:r>
    </w:p>
    <w:p>
      <w:pPr>
        <w:spacing w:after="0" w:line="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i w:val="1"/>
          <w:iCs w:val="1"/>
          <w:color w:val="auto"/>
        </w:rPr>
        <w:t>Tristar Business Acquisition Litigation</w:t>
      </w:r>
      <w:r>
        <w:rPr>
          <w:rFonts w:ascii="Times New Roman" w:cs="Times New Roman" w:eastAsia="Times New Roman" w:hAnsi="Times New Roman"/>
          <w:sz w:val="14"/>
          <w:szCs w:val="14"/>
          <w:color w:val="auto"/>
        </w:rPr>
        <w:t>. On February 28, 2022, the Company acquired all of the membership interests of HPC Brands, LLC, which consist of the home appliances and cookware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of Tristar Products, Inc. (the "Tristar Business") pursuant to a Membership Interest Purchase agreement dated February 3, 2022 (the "Acquisition Agreement"). Following the purchase of the Tristar Business in February 2022, the Company and its HPC segment were detrimentally impacted by aspects of the acquired business’ operations and products, which negatively impacted subsequent operating performance and partner relationships of the acquired brands and segment. Since the acquisition, the acquired business realized, among other things, significant distribution challenges, increased levels of retail inventory, reduced sales, increased promotional spending and deductions, higher level of product returns, and overall increased amount of costs. Additionally, the segment had realized losses attributable to recalls for products associated with the acquired brands, increased risks over the realizability of receivables and inventory, and recognized an impairment on assets including the acquired goodwill and the PowerXL® tradename intangible assets and disposed of certain inventory and products associated with the acquired brands. During the year ended September 30, 2023, the Company submitted a claim under its representation and warranty insurance policies, seeking coverage for certain losses resulting from breaches of representations and warranties in the Acquisition Agreement. During the three and six month period ended March 31, 2024, the Company recognized a gain of $65.0 million attributable to insurance proceeds received from its representation and warranty insurance policies.</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 has been actively engaged in various litigation matters associated with the Tristar Business acquisition and continues to incur costs to facilitate such litigation matters. As part of these various litigation matters, the HPC segment and the Company are seeking recovery for losses and other damage incurred in connection with the product recalls and separately for alleged fraud committed by sellers of the Tristar Business and other persons in connection with the sale of the Tristar Business to the Company, and in each case other damages and losses incurred by the HPC segment, the Company and the acquired business. While the Company continues to pursue such actions, there can be no guarantees and assurances that recoveries associated with the litigation matters can be realized and recovered. As of March 30, 2025, the Company believes it has assessed appropriate risks and recognized applicable losses and reserves reflecting the net assets of the Company and its HPC segment.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SEGMENT INFORMATION</w:t>
      </w:r>
    </w:p>
    <w:p>
      <w:pPr>
        <w:spacing w:after="0" w:line="200" w:lineRule="exact"/>
        <w:rPr>
          <w:sz w:val="20"/>
          <w:szCs w:val="20"/>
          <w:color w:val="auto"/>
        </w:rPr>
      </w:pPr>
    </w:p>
    <w:p>
      <w:pPr>
        <w:spacing w:after="0" w:line="3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 identifies its segments based upon the internal organization that is used by management for making operating decisions, allocating capital and resources amongst the operations, and assessing performance as the source of its reportable segments. The Company manages its continuing operations in three vertically integrated, product-focused reporting segments: (i) GPC, which consists of the Company’s global pet care business; (ii) H&amp;G, which consists of the Company’s home and garden, insect control and cleaning products business and (iii) HPC, which consists of the Company’s global small kitchen and personal care appliances businesses. Global strategic initiatives and financial objectives for each reportable segment are determined at the corporate level. Each segment is responsible for implementing defined strategic initiatives and achieving certain financial objectives and has a president responsible for the sales and marketing initiatives and financial results for product lines within the segment.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sales relating to the segments for the three and six month periods ended March 30, 2025 and March 31, 2024,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80" w:type="dxa"/>
            <w:vAlign w:val="bottom"/>
          </w:tcPr>
          <w:p>
            <w:pPr>
              <w:spacing w:after="0"/>
              <w:rPr>
                <w:sz w:val="16"/>
                <w:szCs w:val="16"/>
                <w:color w:val="auto"/>
              </w:rPr>
            </w:pPr>
          </w:p>
        </w:tc>
        <w:tc>
          <w:tcPr>
            <w:tcW w:w="294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1"/>
        </w:trPr>
        <w:tc>
          <w:tcPr>
            <w:tcW w:w="4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2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03"/>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GPC</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0" w:type="dxa"/>
            <w:vAlign w:val="bottom"/>
          </w:tcPr>
          <w:p>
            <w:pPr>
              <w:spacing w:after="0"/>
              <w:rPr>
                <w:sz w:val="1"/>
                <w:szCs w:val="1"/>
                <w:color w:val="auto"/>
              </w:rPr>
            </w:pPr>
          </w:p>
        </w:tc>
      </w:tr>
      <w:tr>
        <w:trPr>
          <w:trHeight w:val="195"/>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H&amp;G</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HPC</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0" w:type="dxa"/>
            <w:vAlign w:val="bottom"/>
          </w:tcPr>
          <w:p>
            <w:pPr>
              <w:spacing w:after="0"/>
              <w:rPr>
                <w:sz w:val="1"/>
                <w:szCs w:val="1"/>
                <w:color w:val="auto"/>
              </w:rPr>
            </w:pPr>
          </w:p>
        </w:tc>
      </w:tr>
      <w:tr>
        <w:trPr>
          <w:trHeight w:val="189"/>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1,410.7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The Chief Operating Decision Maker of the Company uses Adjusted EBITDA (Earnings Before Interest, Tax, Depreciation and Amortization) as the primary operating metric in evaluating the business and making operating decisions. EBITDA is calculated by excluding the Company’s income tax expense, interest expense, depreciation expense and amortization expense (from intangible assets) from net income. Adjusted EBITDA also excludes certain non-cash adjustments including share based compensation (See </w:t>
      </w:r>
      <w:r>
        <w:rPr>
          <w:rFonts w:ascii="Times New Roman" w:cs="Times New Roman" w:eastAsia="Times New Roman" w:hAnsi="Times New Roman"/>
          <w:sz w:val="14"/>
          <w:szCs w:val="14"/>
          <w:i w:val="1"/>
          <w:iCs w:val="1"/>
          <w:color w:val="auto"/>
        </w:rPr>
        <w:t>Note 11 - Share Based Compensation</w:t>
      </w:r>
      <w:r>
        <w:rPr>
          <w:rFonts w:ascii="Times New Roman" w:cs="Times New Roman" w:eastAsia="Times New Roman" w:hAnsi="Times New Roman"/>
          <w:sz w:val="14"/>
          <w:szCs w:val="14"/>
          <w:color w:val="auto"/>
        </w:rPr>
        <w:t xml:space="preserve"> for further detail); impairment charges on property, plant and equipment, operating and finance lease assets, and goodwill and other intangible assets (See </w:t>
      </w:r>
      <w:r>
        <w:rPr>
          <w:rFonts w:ascii="Times New Roman" w:cs="Times New Roman" w:eastAsia="Times New Roman" w:hAnsi="Times New Roman"/>
          <w:sz w:val="14"/>
          <w:szCs w:val="14"/>
          <w:i w:val="1"/>
          <w:iCs w:val="1"/>
          <w:color w:val="auto"/>
        </w:rPr>
        <w:t>Note 5 - Property, Plant and Equipment and Note 6</w:t>
      </w:r>
    </w:p>
    <w:p>
      <w:pPr>
        <w:spacing w:after="0" w:line="1" w:lineRule="exact"/>
        <w:rPr>
          <w:sz w:val="20"/>
          <w:szCs w:val="20"/>
          <w:color w:val="auto"/>
        </w:rPr>
      </w:pPr>
    </w:p>
    <w:p>
      <w:pPr>
        <w:ind w:left="100" w:hanging="92"/>
        <w:spacing w:after="0"/>
        <w:tabs>
          <w:tab w:leader="none" w:pos="10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Goodwill and Intangible Assets </w:t>
      </w:r>
      <w:r>
        <w:rPr>
          <w:rFonts w:ascii="Times New Roman" w:cs="Times New Roman" w:eastAsia="Times New Roman" w:hAnsi="Times New Roman"/>
          <w:sz w:val="14"/>
          <w:szCs w:val="14"/>
          <w:color w:val="auto"/>
        </w:rPr>
        <w:t>and for further detail, as applicable); gain or loss from the early extinguishment of debt through the repurchase or early redemption of outstanding debt (See</w:t>
      </w:r>
      <w:r>
        <w:rPr>
          <w:rFonts w:ascii="Times New Roman" w:cs="Times New Roman" w:eastAsia="Times New Roman" w:hAnsi="Times New Roman"/>
          <w:sz w:val="14"/>
          <w:szCs w:val="14"/>
          <w:i w:val="1"/>
          <w:iCs w:val="1"/>
          <w:color w:val="auto"/>
        </w:rPr>
        <w:t xml:space="preserve"> Note</w:t>
      </w:r>
    </w:p>
    <w:p>
      <w:pPr>
        <w:spacing w:after="0" w:line="14" w:lineRule="exact"/>
        <w:rPr>
          <w:rFonts w:ascii="Times New Roman" w:cs="Times New Roman" w:eastAsia="Times New Roman" w:hAnsi="Times New Roman"/>
          <w:sz w:val="14"/>
          <w:szCs w:val="14"/>
          <w:i w:val="1"/>
          <w:iCs w:val="1"/>
          <w:color w:val="auto"/>
        </w:rPr>
      </w:pPr>
    </w:p>
    <w:p>
      <w:pPr>
        <w:jc w:val="both"/>
        <w:spacing w:after="0" w:line="262"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7 - Debt </w:t>
      </w:r>
      <w:r>
        <w:rPr>
          <w:rFonts w:ascii="Times New Roman" w:cs="Times New Roman" w:eastAsia="Times New Roman" w:hAnsi="Times New Roman"/>
          <w:sz w:val="14"/>
          <w:szCs w:val="14"/>
          <w:color w:val="auto"/>
        </w:rPr>
        <w:t>for further detail, as applicable); and purchase accounting adjustments recognized in income subsequent to an acquisition attributable to the step-up in value on assets acquired,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but not limited to, inventory or operating lease assets. Additionally, the Company will further recognize adjustments from Adjusted EBITDA for other costs, gains and losses that are considered significant, non-recurring, or otherwise not supporting the continuing operations and revenue generating activity of the segment or Company, including but not limited to, exit and disposal activities, or incremental costs associated with strategic transactions, restructuring and optimization initiatives such as the acquisition or divestiture of a business, related integration or separation costs, or the development and implementation of strategies to optimize or restructure the Company and its operations.</w:t>
      </w:r>
    </w:p>
    <w:p>
      <w:pPr>
        <w:spacing w:after="0" w:line="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segments are supported through center-led corporate shared service operations which are enabling functions to the segments consisting of finance and accounting, information technology, legal and human resource, supply chain and commercial operations. Costs attributable to such shared service operations are allocated to the segments based upon various metrics which are considered representative to the use and support provided by such enabling functions to each of the segments.</w:t>
      </w:r>
    </w:p>
    <w:p>
      <w:pPr>
        <w:spacing w:after="0" w:line="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Company also incurs costs attributable to corporate functions such as tax, treasury, internal audit, corporate finance, legal and corporate executive and board related governance costs which are considered corporate costs of the Company and not allocated to the segments. Interest costs attributable to external borrowings, including finance leases, are not recognized or allocated to segments. Interest income is generally not recognized or allocated to segments.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Adjusted EBITDA for the reportable segments for the three and six month periods ended March 30, 2025 and March 31, 2024,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80" w:type="dxa"/>
            <w:vAlign w:val="bottom"/>
          </w:tcPr>
          <w:p>
            <w:pPr>
              <w:spacing w:after="0"/>
              <w:rPr>
                <w:sz w:val="16"/>
                <w:szCs w:val="16"/>
                <w:color w:val="auto"/>
              </w:rPr>
            </w:pPr>
          </w:p>
        </w:tc>
        <w:tc>
          <w:tcPr>
            <w:tcW w:w="292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8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03"/>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GPC</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0" w:type="dxa"/>
            <w:vAlign w:val="bottom"/>
          </w:tcPr>
          <w:p>
            <w:pPr>
              <w:spacing w:after="0"/>
              <w:rPr>
                <w:sz w:val="1"/>
                <w:szCs w:val="1"/>
                <w:color w:val="auto"/>
              </w:rPr>
            </w:pPr>
          </w:p>
        </w:tc>
      </w:tr>
      <w:tr>
        <w:trPr>
          <w:trHeight w:val="195"/>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H&amp;G</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HPC</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8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segment adjusted EBITDA</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95"/>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95"/>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95"/>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impairment charges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95"/>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Non-cash purchase accounting adjustments</w:t>
            </w:r>
          </w:p>
        </w:tc>
        <w:tc>
          <w:tcPr>
            <w:tcW w:w="18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from early extinguishment of debt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5"/>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Exit and disposal costs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HHI separation costs</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3"/>
        </w:trPr>
        <w:tc>
          <w:tcPr>
            <w:tcW w:w="48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HPC separation initiatives</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Global ERP transformation</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3"/>
        </w:trPr>
        <w:tc>
          <w:tcPr>
            <w:tcW w:w="48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HPC product recall</w:t>
            </w:r>
            <w:r>
              <w:rPr>
                <w:rFonts w:ascii="Times New Roman" w:cs="Times New Roman" w:eastAsia="Times New Roman" w:hAnsi="Times New Roman"/>
                <w:sz w:val="18"/>
                <w:szCs w:val="18"/>
                <w:color w:val="auto"/>
                <w:vertAlign w:val="superscript"/>
              </w:rPr>
              <w:t>2</w:t>
            </w:r>
          </w:p>
        </w:tc>
        <w:tc>
          <w:tcPr>
            <w:tcW w:w="18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Representation and warranty insurance proceeds</w:t>
            </w:r>
            <w:r>
              <w:rPr>
                <w:rFonts w:ascii="Times New Roman" w:cs="Times New Roman" w:eastAsia="Times New Roman" w:hAnsi="Times New Roman"/>
                <w:sz w:val="18"/>
                <w:szCs w:val="18"/>
                <w:color w:val="auto"/>
                <w:vertAlign w:val="superscript"/>
              </w:rPr>
              <w:t>3</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203"/>
        </w:trPr>
        <w:tc>
          <w:tcPr>
            <w:tcW w:w="48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Litigation costs</w:t>
            </w:r>
            <w:r>
              <w:rPr>
                <w:rFonts w:ascii="Times New Roman" w:cs="Times New Roman" w:eastAsia="Times New Roman" w:hAnsi="Times New Roman"/>
                <w:sz w:val="18"/>
                <w:szCs w:val="18"/>
                <w:color w:val="auto"/>
                <w:vertAlign w:val="superscript"/>
              </w:rPr>
              <w:t>4</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5</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ind w:left="140" w:hanging="132"/>
        <w:spacing w:after="0" w:line="211" w:lineRule="auto"/>
        <w:tabs>
          <w:tab w:leader="none" w:pos="14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Incremental costs associated with strategic transactions, restructuring and optimization initiatives, including, but not limited to, the acquisition or divestiture of a business, related integration or</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separation costs, or the development and implementation of strategies to optimize or restructure operations</w:t>
      </w:r>
    </w:p>
    <w:p>
      <w:pPr>
        <w:spacing w:after="0" w:line="1" w:lineRule="exact"/>
        <w:rPr>
          <w:sz w:val="20"/>
          <w:szCs w:val="20"/>
          <w:color w:val="auto"/>
        </w:rPr>
      </w:pPr>
    </w:p>
    <w:p>
      <w:pPr>
        <w:ind w:left="140" w:hanging="132"/>
        <w:spacing w:after="0"/>
        <w:tabs>
          <w:tab w:leader="none" w:pos="1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Incremental net costs from product recalls in the HPC segment. See </w:t>
      </w:r>
      <w:r>
        <w:rPr>
          <w:rFonts w:ascii="Times New Roman" w:cs="Times New Roman" w:eastAsia="Times New Roman" w:hAnsi="Times New Roman"/>
          <w:sz w:val="14"/>
          <w:szCs w:val="14"/>
          <w:i w:val="1"/>
          <w:iCs w:val="1"/>
          <w:color w:val="auto"/>
        </w:rPr>
        <w:t>Note 14 - Commitments and Contingencies</w:t>
      </w:r>
      <w:r>
        <w:rPr>
          <w:rFonts w:ascii="Times New Roman" w:cs="Times New Roman" w:eastAsia="Times New Roman" w:hAnsi="Times New Roman"/>
          <w:sz w:val="14"/>
          <w:szCs w:val="14"/>
          <w:color w:val="auto"/>
        </w:rPr>
        <w:t xml:space="preserve"> for further detail.</w:t>
      </w:r>
    </w:p>
    <w:p>
      <w:pPr>
        <w:spacing w:after="0" w:line="5" w:lineRule="exact"/>
        <w:rPr>
          <w:sz w:val="20"/>
          <w:szCs w:val="20"/>
          <w:color w:val="auto"/>
        </w:rPr>
      </w:pPr>
    </w:p>
    <w:p>
      <w:pPr>
        <w:ind w:left="180" w:right="20" w:hanging="172"/>
        <w:spacing w:after="0" w:line="221" w:lineRule="auto"/>
        <w:tabs>
          <w:tab w:leader="none" w:pos="199"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Gain from the receipt of insurance proceeds on representation and warranty policies during the prior year associated with the Tristar Business acquisition. See </w:t>
      </w:r>
      <w:r>
        <w:rPr>
          <w:rFonts w:ascii="Times New Roman" w:cs="Times New Roman" w:eastAsia="Times New Roman" w:hAnsi="Times New Roman"/>
          <w:sz w:val="14"/>
          <w:szCs w:val="14"/>
          <w:i w:val="1"/>
          <w:iCs w:val="1"/>
          <w:color w:val="auto"/>
        </w:rPr>
        <w:t>Note 14 - Commitments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Contingencies </w:t>
      </w:r>
      <w:r>
        <w:rPr>
          <w:rFonts w:ascii="Times New Roman" w:cs="Times New Roman" w:eastAsia="Times New Roman" w:hAnsi="Times New Roman"/>
          <w:sz w:val="14"/>
          <w:szCs w:val="14"/>
          <w:color w:val="auto"/>
        </w:rPr>
        <w:t>for further detail.</w:t>
      </w:r>
    </w:p>
    <w:p>
      <w:pPr>
        <w:ind w:left="140" w:hanging="132"/>
        <w:spacing w:after="0" w:line="194" w:lineRule="auto"/>
        <w:tabs>
          <w:tab w:leader="none" w:pos="14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Litigation costs associated with the Tristar Business acquisition. See </w:t>
      </w:r>
      <w:r>
        <w:rPr>
          <w:rFonts w:ascii="Times New Roman" w:cs="Times New Roman" w:eastAsia="Times New Roman" w:hAnsi="Times New Roman"/>
          <w:sz w:val="14"/>
          <w:szCs w:val="14"/>
          <w:i w:val="1"/>
          <w:iCs w:val="1"/>
          <w:color w:val="auto"/>
        </w:rPr>
        <w:t>Note 14 - Commitments and Contingencies</w:t>
      </w:r>
      <w:r>
        <w:rPr>
          <w:rFonts w:ascii="Times New Roman" w:cs="Times New Roman" w:eastAsia="Times New Roman" w:hAnsi="Times New Roman"/>
          <w:sz w:val="14"/>
          <w:szCs w:val="14"/>
          <w:color w:val="auto"/>
        </w:rPr>
        <w:t xml:space="preserve"> for further detail.</w:t>
      </w:r>
    </w:p>
    <w:p>
      <w:pPr>
        <w:ind w:left="140" w:hanging="132"/>
        <w:spacing w:after="0" w:line="199" w:lineRule="auto"/>
        <w:tabs>
          <w:tab w:leader="none" w:pos="14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is attributable to other project costs associated with distribution center transitions and key executive severance and one-time compensatory costs.</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346" w:lineRule="exact"/>
        <w:rPr>
          <w:rFonts w:ascii="Times New Roman" w:cs="Times New Roman" w:eastAsia="Times New Roman" w:hAnsi="Times New Roman"/>
          <w:sz w:val="19"/>
          <w:szCs w:val="19"/>
          <w:color w:val="auto"/>
          <w:vertAlign w:val="superscript"/>
        </w:rPr>
      </w:pPr>
    </w:p>
    <w:p>
      <w:pPr>
        <w:ind w:left="556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EARNINGS PER SHARE</w:t>
      </w:r>
    </w:p>
    <w:p>
      <w:pPr>
        <w:spacing w:after="0" w:line="200" w:lineRule="exact"/>
        <w:rPr>
          <w:sz w:val="20"/>
          <w:szCs w:val="20"/>
          <w:color w:val="auto"/>
        </w:rPr>
      </w:pPr>
    </w:p>
    <w:p>
      <w:pPr>
        <w:spacing w:after="0" w:line="3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Basic earnings per share is computed by dividing net income attributable to controlling interest by the weighted average number of common shares outstanding for the period. Diluted earnings per share is calculated using its weighted-average outstanding common shares including the dilutive effect of share-based awards, based upon the treasury stock method, and the Exchangeable Notes, as determined under the net share settlement method. Performance based restricted stock units are excluded if the performance targets upon which the issuance of the shares is contingent have not been achieved and the respective performance period has not been completed as of the end of the current period. From the time of the issuance of the Exchangeable Notes, the average market price of the Company’s common shares has been less than the initial conversion price, and consequently no shares have been included in diluted earnings per share for the conversion value of the Exchangeable Notes. The reconciliation of the numerator and denominator of the basic and diluted earnings per share calculation and the anti-dilutive shares for the three and six month periods ended March 30, 2025 and March 31, 2024,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60" w:type="dxa"/>
            <w:vAlign w:val="bottom"/>
          </w:tcPr>
          <w:p>
            <w:pPr>
              <w:spacing w:after="0"/>
              <w:rPr>
                <w:sz w:val="16"/>
                <w:szCs w:val="16"/>
                <w:color w:val="auto"/>
              </w:rPr>
            </w:pPr>
          </w:p>
        </w:tc>
        <w:tc>
          <w:tcPr>
            <w:tcW w:w="276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gridSpan w:val="2"/>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33"/>
        </w:trPr>
        <w:tc>
          <w:tcPr>
            <w:tcW w:w="5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 attributable to controlling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income from discontinued operations attributable to controlling interest, net of tax</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8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controlling interest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21"/>
        </w:trPr>
        <w:tc>
          <w:tcPr>
            <w:tcW w:w="5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 basic</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Dilutive shares</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 diluted</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 earnings per share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 from 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0" w:type="dxa"/>
            <w:vAlign w:val="bottom"/>
          </w:tcPr>
          <w:p>
            <w:pPr>
              <w:spacing w:after="0"/>
              <w:rPr>
                <w:sz w:val="1"/>
                <w:szCs w:val="1"/>
                <w:color w:val="auto"/>
              </w:rPr>
            </w:pPr>
          </w:p>
        </w:tc>
      </w:tr>
      <w:tr>
        <w:trPr>
          <w:trHeight w:val="19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 from 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Diluted earnings per share from discontinued operations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0" w:type="dxa"/>
            <w:vAlign w:val="bottom"/>
          </w:tcPr>
          <w:p>
            <w:pPr>
              <w:spacing w:after="0"/>
              <w:rPr>
                <w:sz w:val="1"/>
                <w:szCs w:val="1"/>
                <w:color w:val="auto"/>
              </w:rPr>
            </w:pPr>
          </w:p>
        </w:tc>
      </w:tr>
      <w:tr>
        <w:trPr>
          <w:trHeight w:val="221"/>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5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200"/>
        <w:spacing w:after="0" w:line="424" w:lineRule="auto"/>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Introduction</w:t>
      </w: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following is management’s discussion of the financial results, liquidity and other key items related to our performance and should be read in conjunction with the Condensed Consolidated Financial Statements and related notes included in Item 1 of this Quarterly Report on Form 10-Q ("the Quarterly Report") and our Annual Report on Form 10-K for the fiscal year ended September 30, 2024 filed with the SEC on November 15, 2024 (the "2024 Annual Report"). The following discussion may contain forward-looking statements that reflect our plans, estimates, and beliefs and involve risks, uncertainties, and assumptions. Our actual results could differ materially from those discussed in these forward-looking statements. Factors that could cause or contributed these differences include those discussed within "Forward Looking Statements" included elsewhere in this Quarterly Report, and in </w:t>
      </w:r>
      <w:r>
        <w:rPr>
          <w:rFonts w:ascii="Times New Roman" w:cs="Times New Roman" w:eastAsia="Times New Roman" w:hAnsi="Times New Roman"/>
          <w:sz w:val="14"/>
          <w:szCs w:val="14"/>
          <w:i w:val="1"/>
          <w:iCs w:val="1"/>
          <w:color w:val="auto"/>
        </w:rPr>
        <w:t>Item 1A. Risk Factors</w:t>
      </w:r>
      <w:r>
        <w:rPr>
          <w:rFonts w:ascii="Times New Roman" w:cs="Times New Roman" w:eastAsia="Times New Roman" w:hAnsi="Times New Roman"/>
          <w:sz w:val="14"/>
          <w:szCs w:val="14"/>
          <w:color w:val="auto"/>
        </w:rPr>
        <w:t xml:space="preserve"> and "Forward-Looking Statements" included within our 2024 Annual Report.</w:t>
      </w:r>
    </w:p>
    <w:p>
      <w:pPr>
        <w:spacing w:after="0" w:line="67" w:lineRule="exact"/>
        <w:rPr>
          <w:sz w:val="20"/>
          <w:szCs w:val="20"/>
          <w:color w:val="auto"/>
        </w:rPr>
      </w:pPr>
    </w:p>
    <w:p>
      <w:pPr>
        <w:ind w:right="1480"/>
        <w:spacing w:after="0" w:line="422" w:lineRule="auto"/>
        <w:rPr>
          <w:sz w:val="20"/>
          <w:szCs w:val="20"/>
          <w:color w:val="auto"/>
        </w:rPr>
      </w:pPr>
      <w:r>
        <w:rPr>
          <w:rFonts w:ascii="Times New Roman" w:cs="Times New Roman" w:eastAsia="Times New Roman" w:hAnsi="Times New Roman"/>
          <w:sz w:val="14"/>
          <w:szCs w:val="14"/>
          <w:color w:val="auto"/>
        </w:rPr>
        <w:t xml:space="preserve">Unless the context indicates otherwise, the term the "Company," "we," "us," or "our" are used to refer to Spectrum Brands Holdings, Inc. and its subsidiaries collectively. </w:t>
      </w:r>
      <w:r>
        <w:rPr>
          <w:rFonts w:ascii="Times New Roman" w:cs="Times New Roman" w:eastAsia="Times New Roman" w:hAnsi="Times New Roman"/>
          <w:sz w:val="14"/>
          <w:szCs w:val="14"/>
          <w:b w:val="1"/>
          <w:bCs w:val="1"/>
          <w:color w:val="auto"/>
        </w:rPr>
        <w:t>Non-GAAP Measurements</w:t>
      </w:r>
    </w:p>
    <w:p>
      <w:pPr>
        <w:spacing w:after="0" w:line="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4"/>
          <w:szCs w:val="14"/>
          <w:color w:val="auto"/>
        </w:rPr>
        <w:t>Our consolidated and segment results contain non-GAAP metrics such as organic net sales, adjusted EBITDA and adjusted EBITDA margin. While we believe organic net sales and adjusted EBITDA are useful supplemental information, such adjusted results are not intended to replace our financial results in accordance with Accounting Principles Generally Accepted in the United States (“GAAP”) and should be read in conjunction with those GAAP results.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Organic Net Sales. </w:t>
      </w:r>
      <w:r>
        <w:rPr>
          <w:rFonts w:ascii="Times New Roman" w:cs="Times New Roman" w:eastAsia="Times New Roman" w:hAnsi="Times New Roman"/>
          <w:sz w:val="14"/>
          <w:szCs w:val="14"/>
          <w:color w:val="auto"/>
        </w:rPr>
        <w:t>We define organic net sales as net sales excluding the effect of changes in foreign currency exchange rates and impact from acquisitions (where applicable). We believe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non-GAAP measure provides useful information to investors because it reflects regional and operating segment performance from our activities without the effect of changes in currency exchange rates and acquisitions. We use organic net sales as one measure to monitor and evaluate our regional and segment performance. Organic growth is calculated by comparing organic net sales to net sales in the prior year. The effect of changes in currency exchange rates is determined by translating the current period net sales using the currency exchange rates that were in effect during the prior comparative period. Net sales are attributed to the geographic regions based on the country of destination. We exclude net sales from acquired businesses in the current year for which there are no comparable sales in the prior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reported net sales to organic net sales for the three and six month period ended March 30, 2025 compared to net sales for the three and six month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8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Effect of Changes in</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26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Organic Net Sales</w:t>
            </w:r>
          </w:p>
        </w:tc>
        <w:tc>
          <w:tcPr>
            <w:tcW w:w="180" w:type="dxa"/>
            <w:vAlign w:val="bottom"/>
          </w:tcPr>
          <w:p>
            <w:pPr>
              <w:spacing w:after="0"/>
              <w:rPr>
                <w:sz w:val="16"/>
                <w:szCs w:val="16"/>
                <w:color w:val="auto"/>
              </w:rPr>
            </w:pPr>
          </w:p>
        </w:tc>
        <w:tc>
          <w:tcPr>
            <w:tcW w:w="13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GPC</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(18.3)</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H&amp;G</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(8.4)</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HPC</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(6.0)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685.8</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(32.7)</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8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Effect of Changes in</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Organic Net Sales</w:t>
            </w:r>
          </w:p>
        </w:tc>
        <w:tc>
          <w:tcPr>
            <w:tcW w:w="180" w:type="dxa"/>
            <w:vAlign w:val="bottom"/>
          </w:tcPr>
          <w:p>
            <w:pPr>
              <w:spacing w:after="0"/>
              <w:rPr>
                <w:sz w:val="16"/>
                <w:szCs w:val="16"/>
                <w:color w:val="auto"/>
              </w:rPr>
            </w:pPr>
          </w:p>
        </w:tc>
        <w:tc>
          <w:tcPr>
            <w:tcW w:w="13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GPC</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(36.0)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H&amp;G</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11.7</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HPC</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4.7</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0" w:type="dxa"/>
            <w:vAlign w:val="bottom"/>
          </w:tcPr>
          <w:p>
            <w:pPr>
              <w:spacing w:after="0"/>
              <w:rPr>
                <w:sz w:val="1"/>
                <w:szCs w:val="1"/>
                <w:color w:val="auto"/>
              </w:rPr>
            </w:pPr>
          </w:p>
        </w:tc>
      </w:tr>
      <w:tr>
        <w:trPr>
          <w:trHeight w:val="189"/>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1,410.7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(19.6)</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Adjusted EBITDA and Adjusted EBITDA Margin. </w:t>
      </w:r>
      <w:r>
        <w:rPr>
          <w:rFonts w:ascii="Times New Roman" w:cs="Times New Roman" w:eastAsia="Times New Roman" w:hAnsi="Times New Roman"/>
          <w:sz w:val="14"/>
          <w:szCs w:val="14"/>
          <w:color w:val="auto"/>
        </w:rPr>
        <w:t>Adjusted EBITDA and adjusted EBITDA margin are non-GAAP metrics used by management, which we believe are useful to investors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measure the operational strength and performance of our business. These metrics provide investors additional information about our operating profitability for certain non-cash items, non-routine items we do not expect to continue at the same level in the future, as well as other items not core to our continuing operations. By providing these measures, together with a reconciliation of the most directly comparable GAAP measure, we believe we are enhancing investors' understanding of our business and our results of operations, as well as assisting investors in evaluating how well we are executing our strategic initiatives, as securities analysts and other interested parties use such calculations as a measure of financial performance and debt service capabilities, and they are regularly used by management and our board of directors for internal purposes in evaluating our business performance, making budgeting decisions, and comparing our performance against other peer companies using similar measures. They facilitate comparisons between peer companies since interest, taxes, depreciation, and amortization can differ greatly between organizations as a result of differing capital structures and tax strategies. Adjusted EBITDA is also used for determining compliance with the Company’s debt covenants.</w:t>
      </w: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EBITDA is calculated by excluding the Company’s income tax expense, interest expense, depreciation expense and amortization expense (from intangible assets) from net income. Adjusted EBITDA also excludes certain non-cash adjustments including share based compensation (see </w:t>
      </w:r>
      <w:r>
        <w:rPr>
          <w:rFonts w:ascii="Times New Roman" w:cs="Times New Roman" w:eastAsia="Times New Roman" w:hAnsi="Times New Roman"/>
          <w:sz w:val="14"/>
          <w:szCs w:val="14"/>
          <w:i w:val="1"/>
          <w:iCs w:val="1"/>
          <w:color w:val="auto"/>
        </w:rPr>
        <w:t>Note 11 - Share Based Compensation</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Condensed Consolidated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Statements </w:t>
      </w:r>
      <w:r>
        <w:rPr>
          <w:rFonts w:ascii="Times New Roman" w:cs="Times New Roman" w:eastAsia="Times New Roman" w:hAnsi="Times New Roman"/>
          <w:sz w:val="14"/>
          <w:szCs w:val="14"/>
          <w:color w:val="auto"/>
        </w:rPr>
        <w:t>for further detail); impairment charges on property, plant and equipment, right of use lease assets, and goodwill and other intangible assets, (See</w:t>
      </w:r>
      <w:r>
        <w:rPr>
          <w:rFonts w:ascii="Times New Roman" w:cs="Times New Roman" w:eastAsia="Times New Roman" w:hAnsi="Times New Roman"/>
          <w:sz w:val="14"/>
          <w:szCs w:val="14"/>
          <w:i w:val="1"/>
          <w:iCs w:val="1"/>
          <w:color w:val="auto"/>
        </w:rPr>
        <w:t xml:space="preserve"> Note 5- Property, Plant and Equipment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Note 6 - Goodwill and Intangible Assets </w:t>
      </w:r>
      <w:r>
        <w:rPr>
          <w:rFonts w:ascii="Times New Roman" w:cs="Times New Roman" w:eastAsia="Times New Roman" w:hAnsi="Times New Roman"/>
          <w:sz w:val="14"/>
          <w:szCs w:val="14"/>
          <w:color w:val="auto"/>
        </w:rPr>
        <w:t>in the</w:t>
      </w:r>
      <w:r>
        <w:rPr>
          <w:rFonts w:ascii="Times New Roman" w:cs="Times New Roman" w:eastAsia="Times New Roman" w:hAnsi="Times New Roman"/>
          <w:sz w:val="14"/>
          <w:szCs w:val="14"/>
          <w:i w:val="1"/>
          <w:iCs w:val="1"/>
          <w:color w:val="auto"/>
        </w:rPr>
        <w:t xml:space="preserve"> Notes to the Condensed Consolidated Financial Statements </w:t>
      </w:r>
      <w:r>
        <w:rPr>
          <w:rFonts w:ascii="Times New Roman" w:cs="Times New Roman" w:eastAsia="Times New Roman" w:hAnsi="Times New Roman"/>
          <w:sz w:val="14"/>
          <w:szCs w:val="14"/>
          <w:color w:val="auto"/>
        </w:rPr>
        <w:t>for further detail, as applicable); gain or loss from the early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extinguishment of debt through the repurchase or early redemption of debt (See </w:t>
      </w:r>
      <w:r>
        <w:rPr>
          <w:rFonts w:ascii="Times New Roman" w:cs="Times New Roman" w:eastAsia="Times New Roman" w:hAnsi="Times New Roman"/>
          <w:sz w:val="14"/>
          <w:szCs w:val="14"/>
          <w:i w:val="1"/>
          <w:iCs w:val="1"/>
          <w:color w:val="auto"/>
        </w:rPr>
        <w:t>Note 7 - Debt</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Condensed Consolidated Financial Statements</w:t>
      </w:r>
      <w:r>
        <w:rPr>
          <w:rFonts w:ascii="Times New Roman" w:cs="Times New Roman" w:eastAsia="Times New Roman" w:hAnsi="Times New Roman"/>
          <w:sz w:val="14"/>
          <w:szCs w:val="14"/>
          <w:color w:val="auto"/>
        </w:rPr>
        <w:t xml:space="preserve"> for further detail, as applicable); and purchase accounting adjustments recognized in income subsequent to an acquisition attributable to the step-up in value on assets acquired, including, but not limited to, inventory or lease assets. Additionally, the Company will further recognize adjustments from adjusted EBITDA for other costs, gains and losses that are considered significant, non-recurring, or otherwise not supporting the continuing operations and revenue generating activity of the segment or Company, including but not limited to, exit and disposal activities, or incremental costs associated with strategic transactions, restructuring and optimization initiatives such as the acquisition or divestiture of a business, related integration or separation costs, or the development and implementation of strategies to optimize or restructure the Company and its operations. Adjusted EBITDA margin is adjusted EBITDA as a percentage of reported net sales.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The following is a reconciliation of Net Income From Continuing Operations to Adjusted EBITDA and Adjusted EBITDA margin for the three and six month periods ended March 30, 2025 and March 31, 2024.</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200" w:type="dxa"/>
            <w:vAlign w:val="bottom"/>
          </w:tcPr>
          <w:p>
            <w:pPr>
              <w:spacing w:after="0"/>
              <w:rPr>
                <w:sz w:val="16"/>
                <w:szCs w:val="16"/>
                <w:color w:val="auto"/>
              </w:rPr>
            </w:pPr>
          </w:p>
        </w:tc>
        <w:tc>
          <w:tcPr>
            <w:tcW w:w="3020" w:type="dxa"/>
            <w:vAlign w:val="bottom"/>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1"/>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2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2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03"/>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195"/>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00" w:type="dxa"/>
            <w:vAlign w:val="bottom"/>
          </w:tcPr>
          <w:p>
            <w:pPr>
              <w:spacing w:after="0"/>
              <w:rPr>
                <w:sz w:val="16"/>
                <w:szCs w:val="16"/>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195"/>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200" w:type="dxa"/>
            <w:vAlign w:val="bottom"/>
          </w:tcPr>
          <w:p>
            <w:pPr>
              <w:spacing w:after="0"/>
              <w:rPr>
                <w:sz w:val="16"/>
                <w:szCs w:val="16"/>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95"/>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200" w:type="dxa"/>
            <w:vAlign w:val="bottom"/>
          </w:tcPr>
          <w:p>
            <w:pPr>
              <w:spacing w:after="0"/>
              <w:rPr>
                <w:sz w:val="16"/>
                <w:szCs w:val="16"/>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impairment charges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95"/>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Non-cash purchase accounting adjustments</w:t>
            </w:r>
          </w:p>
        </w:tc>
        <w:tc>
          <w:tcPr>
            <w:tcW w:w="200" w:type="dxa"/>
            <w:vAlign w:val="bottom"/>
          </w:tcPr>
          <w:p>
            <w:pPr>
              <w:spacing w:after="0"/>
              <w:rPr>
                <w:sz w:val="16"/>
                <w:szCs w:val="16"/>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from early extinguishment of debt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5"/>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Exit and disposal costs</w:t>
            </w:r>
          </w:p>
        </w:tc>
        <w:tc>
          <w:tcPr>
            <w:tcW w:w="200" w:type="dxa"/>
            <w:vAlign w:val="bottom"/>
          </w:tcPr>
          <w:p>
            <w:pPr>
              <w:spacing w:after="0"/>
              <w:rPr>
                <w:sz w:val="16"/>
                <w:szCs w:val="16"/>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HHI separation costs</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3"/>
        </w:trPr>
        <w:tc>
          <w:tcPr>
            <w:tcW w:w="47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HPC separation initiatives</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7"/>
                <w:szCs w:val="17"/>
                <w:color w:val="auto"/>
              </w:rPr>
            </w:pP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Global ERP transformation</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3"/>
        </w:trPr>
        <w:tc>
          <w:tcPr>
            <w:tcW w:w="47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HPC product recall</w:t>
            </w:r>
            <w:r>
              <w:rPr>
                <w:rFonts w:ascii="Times New Roman" w:cs="Times New Roman" w:eastAsia="Times New Roman" w:hAnsi="Times New Roman"/>
                <w:sz w:val="18"/>
                <w:szCs w:val="18"/>
                <w:color w:val="auto"/>
                <w:vertAlign w:val="superscript"/>
              </w:rPr>
              <w:t>2</w:t>
            </w:r>
          </w:p>
        </w:tc>
        <w:tc>
          <w:tcPr>
            <w:tcW w:w="20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Representation and warranty insurance proceeds</w:t>
            </w:r>
            <w:r>
              <w:rPr>
                <w:rFonts w:ascii="Times New Roman" w:cs="Times New Roman" w:eastAsia="Times New Roman" w:hAnsi="Times New Roman"/>
                <w:sz w:val="18"/>
                <w:szCs w:val="18"/>
                <w:color w:val="auto"/>
                <w:vertAlign w:val="superscript"/>
              </w:rPr>
              <w:t>3</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203"/>
        </w:trPr>
        <w:tc>
          <w:tcPr>
            <w:tcW w:w="47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Litigation costs</w:t>
            </w:r>
            <w:r>
              <w:rPr>
                <w:rFonts w:ascii="Times New Roman" w:cs="Times New Roman" w:eastAsia="Times New Roman" w:hAnsi="Times New Roman"/>
                <w:sz w:val="18"/>
                <w:szCs w:val="18"/>
                <w:color w:val="auto"/>
                <w:vertAlign w:val="superscript"/>
              </w:rPr>
              <w:t>4</w:t>
            </w:r>
          </w:p>
        </w:tc>
        <w:tc>
          <w:tcPr>
            <w:tcW w:w="200" w:type="dxa"/>
            <w:vAlign w:val="bottom"/>
          </w:tcPr>
          <w:p>
            <w:pPr>
              <w:spacing w:after="0"/>
              <w:rPr>
                <w:sz w:val="17"/>
                <w:szCs w:val="17"/>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5</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6"/>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71.3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112.3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149.1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196.6</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675.7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1,375.9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1,410.7</w:t>
            </w:r>
          </w:p>
        </w:tc>
        <w:tc>
          <w:tcPr>
            <w:tcW w:w="0" w:type="dxa"/>
            <w:vAlign w:val="bottom"/>
          </w:tcPr>
          <w:p>
            <w:pPr>
              <w:spacing w:after="0"/>
              <w:rPr>
                <w:sz w:val="1"/>
                <w:szCs w:val="1"/>
                <w:color w:val="auto"/>
              </w:rPr>
            </w:pPr>
          </w:p>
        </w:tc>
      </w:tr>
      <w:tr>
        <w:trPr>
          <w:trHeight w:val="195"/>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 margin</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1" w:lineRule="exact"/>
        <w:rPr>
          <w:sz w:val="20"/>
          <w:szCs w:val="20"/>
          <w:color w:val="auto"/>
        </w:rPr>
      </w:pPr>
    </w:p>
    <w:p>
      <w:pPr>
        <w:jc w:val="both"/>
        <w:ind w:left="180" w:hanging="172"/>
        <w:spacing w:after="0" w:line="257" w:lineRule="auto"/>
        <w:tabs>
          <w:tab w:leader="none" w:pos="158"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Incremental costs associated with strategic transactions, restructuring and optimization initiatives, including, but not limited to, the acquisition or divestiture of a business, related integration or separation costs, or the development and implementation of strategies to optimize or restructure operations. Refer to </w:t>
      </w:r>
      <w:r>
        <w:rPr>
          <w:rFonts w:ascii="Times New Roman" w:cs="Times New Roman" w:eastAsia="Times New Roman" w:hAnsi="Times New Roman"/>
          <w:sz w:val="14"/>
          <w:szCs w:val="14"/>
          <w:i w:val="1"/>
          <w:iCs w:val="1"/>
          <w:color w:val="auto"/>
        </w:rPr>
        <w:t>Strategic Transactions, Restructuring and Optimization Initiatives</w:t>
      </w:r>
      <w:r>
        <w:rPr>
          <w:rFonts w:ascii="Times New Roman" w:cs="Times New Roman" w:eastAsia="Times New Roman" w:hAnsi="Times New Roman"/>
          <w:sz w:val="14"/>
          <w:szCs w:val="14"/>
          <w:color w:val="auto"/>
        </w:rPr>
        <w:t xml:space="preserve"> discussion within the </w:t>
      </w:r>
      <w:r>
        <w:rPr>
          <w:rFonts w:ascii="Times New Roman" w:cs="Times New Roman" w:eastAsia="Times New Roman" w:hAnsi="Times New Roman"/>
          <w:sz w:val="14"/>
          <w:szCs w:val="14"/>
          <w:i w:val="1"/>
          <w:iCs w:val="1"/>
          <w:color w:val="auto"/>
        </w:rPr>
        <w:t>Business Overview</w:t>
      </w:r>
      <w:r>
        <w:rPr>
          <w:rFonts w:ascii="Times New Roman" w:cs="Times New Roman" w:eastAsia="Times New Roman" w:hAnsi="Times New Roman"/>
          <w:sz w:val="14"/>
          <w:szCs w:val="14"/>
          <w:color w:val="auto"/>
        </w:rPr>
        <w:t xml:space="preserve"> section for further detail.</w:t>
      </w:r>
    </w:p>
    <w:p>
      <w:pPr>
        <w:ind w:left="180" w:right="20" w:hanging="172"/>
        <w:spacing w:after="0"/>
        <w:tabs>
          <w:tab w:leader="none" w:pos="185"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Incremental net costs from product recalls in the HPC segment. See </w:t>
      </w:r>
      <w:r>
        <w:rPr>
          <w:rFonts w:ascii="Times New Roman" w:cs="Times New Roman" w:eastAsia="Times New Roman" w:hAnsi="Times New Roman"/>
          <w:sz w:val="14"/>
          <w:szCs w:val="14"/>
          <w:i w:val="1"/>
          <w:iCs w:val="1"/>
          <w:color w:val="auto"/>
        </w:rPr>
        <w:t>Note 14 - Commitments and Contingencies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Condensed Consolidated Financial Statements</w:t>
      </w:r>
      <w:r>
        <w:rPr>
          <w:rFonts w:ascii="Times New Roman" w:cs="Times New Roman" w:eastAsia="Times New Roman" w:hAnsi="Times New Roman"/>
          <w:sz w:val="14"/>
          <w:szCs w:val="14"/>
          <w:color w:val="auto"/>
        </w:rPr>
        <w:t xml:space="preserve"> for further detail.</w:t>
      </w:r>
    </w:p>
    <w:p>
      <w:pPr>
        <w:spacing w:after="0" w:line="125"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Gain from the receipt of insurance proceeds on representation and warranty policies during the prior year associated with the Tristar Business acquisition. See </w:t>
      </w:r>
      <w:r>
        <w:rPr>
          <w:rFonts w:ascii="Times New Roman" w:cs="Times New Roman" w:eastAsia="Times New Roman" w:hAnsi="Times New Roman"/>
          <w:sz w:val="14"/>
          <w:szCs w:val="14"/>
          <w:i w:val="1"/>
          <w:iCs w:val="1"/>
          <w:color w:val="auto"/>
        </w:rPr>
        <w:t>Note 14 - Commitments and</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i w:val="1"/>
          <w:iCs w:val="1"/>
          <w:color w:val="auto"/>
        </w:rPr>
        <w:t xml:space="preserve">Contingencies </w:t>
      </w:r>
      <w:r>
        <w:rPr>
          <w:rFonts w:ascii="Times New Roman" w:cs="Times New Roman" w:eastAsia="Times New Roman" w:hAnsi="Times New Roman"/>
          <w:sz w:val="14"/>
          <w:szCs w:val="14"/>
          <w:color w:val="auto"/>
        </w:rPr>
        <w:t>in the</w:t>
      </w:r>
      <w:r>
        <w:rPr>
          <w:rFonts w:ascii="Times New Roman" w:cs="Times New Roman" w:eastAsia="Times New Roman" w:hAnsi="Times New Roman"/>
          <w:sz w:val="14"/>
          <w:szCs w:val="14"/>
          <w:i w:val="1"/>
          <w:iCs w:val="1"/>
          <w:color w:val="auto"/>
        </w:rPr>
        <w:t xml:space="preserve"> Notes to the Condensed Consolidated Financial Statements </w:t>
      </w:r>
      <w:r>
        <w:rPr>
          <w:rFonts w:ascii="Times New Roman" w:cs="Times New Roman" w:eastAsia="Times New Roman" w:hAnsi="Times New Roman"/>
          <w:sz w:val="14"/>
          <w:szCs w:val="14"/>
          <w:color w:val="auto"/>
        </w:rPr>
        <w:t>for further detail.</w:t>
      </w:r>
    </w:p>
    <w:p>
      <w:pPr>
        <w:ind w:left="180" w:hanging="172"/>
        <w:spacing w:after="0" w:line="208" w:lineRule="auto"/>
        <w:tabs>
          <w:tab w:leader="none" w:pos="18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Litigation costs associated with the Tristar Business acquisition. See </w:t>
      </w:r>
      <w:r>
        <w:rPr>
          <w:rFonts w:ascii="Times New Roman" w:cs="Times New Roman" w:eastAsia="Times New Roman" w:hAnsi="Times New Roman"/>
          <w:sz w:val="14"/>
          <w:szCs w:val="14"/>
          <w:i w:val="1"/>
          <w:iCs w:val="1"/>
          <w:color w:val="auto"/>
        </w:rPr>
        <w:t>Note 14 - Commitments and Contingencies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Condensed Consolidated Financial Statements</w:t>
      </w:r>
      <w:r>
        <w:rPr>
          <w:rFonts w:ascii="Times New Roman" w:cs="Times New Roman" w:eastAsia="Times New Roman" w:hAnsi="Times New Roman"/>
          <w:sz w:val="14"/>
          <w:szCs w:val="14"/>
          <w:color w:val="auto"/>
        </w:rPr>
        <w:t xml:space="preserve"> for further</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detail.</w:t>
      </w:r>
    </w:p>
    <w:p>
      <w:pPr>
        <w:spacing w:after="0" w:line="1" w:lineRule="exact"/>
        <w:rPr>
          <w:sz w:val="20"/>
          <w:szCs w:val="20"/>
          <w:color w:val="auto"/>
        </w:rPr>
      </w:pPr>
    </w:p>
    <w:p>
      <w:pPr>
        <w:ind w:left="140" w:hanging="132"/>
        <w:spacing w:after="0"/>
        <w:tabs>
          <w:tab w:leader="none" w:pos="14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is attributable to other project costs associated with distribution center transitions and key executive severance and one-time compensatory costs.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3"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4"/>
          <w:szCs w:val="14"/>
          <w:color w:val="auto"/>
        </w:rPr>
        <w:t xml:space="preserve">For additional discussion and overview of the business, please refer to </w:t>
      </w:r>
      <w:r>
        <w:rPr>
          <w:rFonts w:ascii="Times New Roman" w:cs="Times New Roman" w:eastAsia="Times New Roman" w:hAnsi="Times New Roman"/>
          <w:sz w:val="14"/>
          <w:szCs w:val="14"/>
          <w:i w:val="1"/>
          <w:iCs w:val="1"/>
          <w:color w:val="auto"/>
        </w:rPr>
        <w:t>Item 1. Business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Item 7. Management's Discussion and Analysis of Financial Condition and Results of Operations</w:t>
      </w:r>
      <w:r>
        <w:rPr>
          <w:rFonts w:ascii="Times New Roman" w:cs="Times New Roman" w:eastAsia="Times New Roman" w:hAnsi="Times New Roman"/>
          <w:sz w:val="14"/>
          <w:szCs w:val="14"/>
          <w:color w:val="auto"/>
        </w:rPr>
        <w:t xml:space="preserve"> in our 2024 Annual Report.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Developments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Tariffs and Global Macro-Economic Environment</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recent changes to U.S. trade policy with the introduction of new U.S. tariffs on imported goods, especially on Chinese imports, are expected to have a significant impact to our operations, increasing costs for sourced products, materials and components, and thus raising cost of goods sold and pressuring profit margins. To mitigate this, the Company is adjusting prices to pass on some costs to customers, and is actively managing its supply chain and engaging suppliers to support cost sharing or expand supply chain diversification, which can further impact our ability to supply customers timely during periods of such transitions. With the incremental tariffs on Chinese imports announced early April 2025, we have temporarily paused virtually all finished goods imports out of China,</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changing tariff policies impact all segments to varying degrees, most significantly with the HPC segment as most all products supporting the U.S. business are imported from southeast Asia, with the majority coming from China. The HPC business is actively pursuing sourcing alternatives and moving production out of China to diversify its supply chain and more effectively manage risk. Over 60% of net sales in the HPC segment are driven through international markets and are not directly impacted by U.S. tariffs. With the temporary pause of Chinese imports, the U.S. business in the HPC segment will be predominantly limited to its current and in-transit inventory in the near term, which will substantially diminish its ability to supply and our ability to meet customer demand until further supply chain alternatives are realized or there are reductions to the existing tariff structure.</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GPC business has certain aquatic equipment and chews &amp; treats products that are sourced out of China, but have a higher degree of diversity within their product sourcing with major suppliers outside of China and will allow us to move production more swiftly to alternative supply for the majority of our GPC Chinese sourced products. GPC finished goods imports from China have been temporarily paused and expect the impact from tariffs on sourced products elsewhere other than China will be mitigated primarily through pricing adjustments. GPC also manufactures aquatics nutrition products at its facility in EMEA and imports such products into the U.S. which are also subject to the enacted tariffs which the Company anticipates to mitigate the impact through pricing adjustments and cost management.</w:t>
      </w:r>
    </w:p>
    <w:p>
      <w:pPr>
        <w:spacing w:after="0" w:line="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H&amp;G segment is predominantly manufactured and sold within the U.S. but will also be impacted, to a lesser degree, with certain affected material costs and a small portfolio of products, such as baits, traps and mops, that are internationally sourced and being evaluated for alternative sourcing strategies. Due to the limited impact on the H&amp;G segment and seasonal supply for its products, the impact from tariffs will not substantially impact near term operating results, with anticipated impacts mitigated through pricing adjustments and vendor cost management.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has intensified its focus on operational efficiencies by optimizing production processes, reducing waste, and leveraging technology to enhance productivity, aiming to offset cost increases and protect margins. With the most recent implemented tariff changes, there is an expected impact on operating results and we are closely monitoring impacts to our projections and forecasts. The Company has managed cash flow and secured its balance sheet to support the ongoing business through the evolving changes in U.S. trade policy and potential impacts to the global-macro economic environment. The Company is focused on supply chain diversification, operational efficiency, and strategic investments for sustaining growth and profitability amid ongoing trade uncertainties.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Strategic transactions, restructuring and optimization initiatives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periodically evaluates and enters into strategic transactions that may result in the acquisition or divestiture of a business which impacts the comparability of the financial results of the consolidated group and or segments. Additionally, we develop and enter into restructuring and optimization initiatives to improve efficiencies and utilization to reduce costs, increase revenues and improve margins, which may have a significant impact on the comparability of financial results on the condensed consolidated financial statements. These changes and updates are inherently difficult and our ability to achieve the anticipated cost savings and other benefits from such operating strategies may be affected by a number of other macro-economic factors, or inflation and increased interest rates, many of which are beyond our control. Moreover, the comparability of financial information may be impacted by incremental amounts attributable to such strategic transactions, restructuring and optimization initiatives. The following is a summary of costs attributable to strategic transactions and business development costs that are considered as potentially having a significant impact on the comparability of the financial results on the consolidated financial statements and segment financial information, for the respective projects during the three and six month periods ended March 30, 2025 and March 31,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200" w:type="dxa"/>
            <w:vAlign w:val="bottom"/>
          </w:tcPr>
          <w:p>
            <w:pPr>
              <w:spacing w:after="0"/>
              <w:rPr>
                <w:sz w:val="16"/>
                <w:szCs w:val="16"/>
                <w:color w:val="auto"/>
              </w:rPr>
            </w:pPr>
          </w:p>
        </w:tc>
        <w:tc>
          <w:tcPr>
            <w:tcW w:w="310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03"/>
        </w:trPr>
        <w:tc>
          <w:tcPr>
            <w:tcW w:w="4440" w:type="dxa"/>
            <w:vAlign w:val="bottom"/>
            <w:tcBorders>
              <w:top w:val="single" w:sz="8" w:color="auto"/>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HHI separation costs</w:t>
            </w:r>
            <w:r>
              <w:rPr>
                <w:rFonts w:ascii="Times New Roman" w:cs="Times New Roman" w:eastAsia="Times New Roman" w:hAnsi="Times New Roman"/>
                <w:sz w:val="18"/>
                <w:szCs w:val="18"/>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3"/>
        </w:trPr>
        <w:tc>
          <w:tcPr>
            <w:tcW w:w="45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HPC separation initiatives</w:t>
            </w:r>
            <w:r>
              <w:rPr>
                <w:rFonts w:ascii="Times New Roman" w:cs="Times New Roman" w:eastAsia="Times New Roman" w:hAnsi="Times New Roman"/>
                <w:sz w:val="18"/>
                <w:szCs w:val="18"/>
                <w:color w:val="auto"/>
                <w:vertAlign w:val="superscript"/>
              </w:rPr>
              <w:t>2</w:t>
            </w:r>
          </w:p>
        </w:tc>
        <w:tc>
          <w:tcPr>
            <w:tcW w:w="200" w:type="dxa"/>
            <w:vAlign w:val="bottom"/>
          </w:tcPr>
          <w:p>
            <w:pPr>
              <w:spacing w:after="0"/>
              <w:rPr>
                <w:sz w:val="17"/>
                <w:szCs w:val="17"/>
                <w:color w:val="auto"/>
              </w:rPr>
            </w:pPr>
          </w:p>
        </w:tc>
        <w:tc>
          <w:tcPr>
            <w:tcW w:w="1400" w:type="dxa"/>
            <w:vAlign w:val="bottom"/>
          </w:tcPr>
          <w:p>
            <w:pPr>
              <w:jc w:val="center"/>
              <w:ind w:left="100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Global ERP transformation</w:t>
            </w:r>
            <w:r>
              <w:rPr>
                <w:rFonts w:ascii="Times New Roman" w:cs="Times New Roman" w:eastAsia="Times New Roman" w:hAnsi="Times New Roman"/>
                <w:sz w:val="18"/>
                <w:szCs w:val="18"/>
                <w:color w:val="auto"/>
                <w:vertAlign w:val="superscript"/>
              </w:rPr>
              <w:t>3</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3"/>
        </w:trPr>
        <w:tc>
          <w:tcPr>
            <w:tcW w:w="45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Other project costs</w:t>
            </w:r>
            <w:r>
              <w:rPr>
                <w:rFonts w:ascii="Times New Roman" w:cs="Times New Roman" w:eastAsia="Times New Roman" w:hAnsi="Times New Roman"/>
                <w:sz w:val="18"/>
                <w:szCs w:val="18"/>
                <w:color w:val="auto"/>
                <w:vertAlign w:val="superscript"/>
              </w:rPr>
              <w:t>4</w:t>
            </w:r>
          </w:p>
        </w:tc>
        <w:tc>
          <w:tcPr>
            <w:tcW w:w="200" w:type="dxa"/>
            <w:vAlign w:val="bottom"/>
          </w:tcPr>
          <w:p>
            <w:pPr>
              <w:spacing w:after="0"/>
              <w:rPr>
                <w:sz w:val="17"/>
                <w:szCs w:val="17"/>
                <w:color w:val="auto"/>
              </w:rPr>
            </w:pPr>
          </w:p>
        </w:tc>
        <w:tc>
          <w:tcPr>
            <w:tcW w:w="140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4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Reported as: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Selling, general &amp; administrative</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ind w:left="140" w:hanging="132"/>
        <w:spacing w:after="0" w:line="211" w:lineRule="auto"/>
        <w:tabs>
          <w:tab w:leader="none" w:pos="14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Costs attributable to the HHI divestiture consisting of subsequent costs to facilitate separation and transition of systems and processes subject to transition services agreements (“TSAs”). Costs</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are expected to be incurred through the transition period of up to 24 months following the close of the transaction in June 2023 as the Company exits TSAs.</w:t>
      </w:r>
    </w:p>
    <w:p>
      <w:pPr>
        <w:spacing w:after="0" w:line="1" w:lineRule="exact"/>
        <w:rPr>
          <w:sz w:val="20"/>
          <w:szCs w:val="20"/>
          <w:color w:val="auto"/>
        </w:rPr>
      </w:pPr>
    </w:p>
    <w:p>
      <w:pPr>
        <w:jc w:val="both"/>
        <w:ind w:left="180" w:hanging="172"/>
        <w:spacing w:after="0" w:line="259" w:lineRule="auto"/>
        <w:tabs>
          <w:tab w:leader="none" w:pos="226"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Costs attributable to efforts to facilitate a strategic separation of the HPC segment either through a spin, merger or sale, consisting of legal and professional fees to facilitate transaction opportunities and diligence, consult on tax and compliance implications, legal entity restructurings, system and process segregation, carve-out financials and the confidential filing of a Form</w:t>
      </w:r>
    </w:p>
    <w:p>
      <w:pPr>
        <w:ind w:left="180"/>
        <w:spacing w:after="0"/>
        <w:rPr>
          <w:sz w:val="20"/>
          <w:szCs w:val="20"/>
          <w:color w:val="auto"/>
        </w:rPr>
      </w:pPr>
      <w:r>
        <w:rPr>
          <w:rFonts w:ascii="Times New Roman" w:cs="Times New Roman" w:eastAsia="Times New Roman" w:hAnsi="Times New Roman"/>
          <w:sz w:val="14"/>
          <w:szCs w:val="14"/>
          <w:color w:val="auto"/>
        </w:rPr>
        <w:t>10 registration statement in July 2024. Costs are expected to be incurred until a transaction is realized.</w:t>
      </w:r>
    </w:p>
    <w:p>
      <w:pPr>
        <w:ind w:left="160" w:hanging="152"/>
        <w:spacing w:after="0" w:line="208" w:lineRule="auto"/>
        <w:tabs>
          <w:tab w:leader="none" w:pos="1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Costs attributable to a multi-year transformation project to upgrade and implement our enterprise-wide operating systems to SAP S/4 HANA on a global basis, including project management</w:t>
      </w:r>
    </w:p>
    <w:p>
      <w:pPr>
        <w:spacing w:after="0" w:line="4" w:lineRule="exact"/>
        <w:rPr>
          <w:sz w:val="20"/>
          <w:szCs w:val="20"/>
          <w:color w:val="auto"/>
        </w:rPr>
      </w:pPr>
    </w:p>
    <w:p>
      <w:pPr>
        <w:ind w:left="180"/>
        <w:spacing w:after="0" w:line="244" w:lineRule="auto"/>
        <w:rPr>
          <w:sz w:val="20"/>
          <w:szCs w:val="20"/>
          <w:color w:val="auto"/>
        </w:rPr>
      </w:pPr>
      <w:r>
        <w:rPr>
          <w:rFonts w:ascii="Times New Roman" w:cs="Times New Roman" w:eastAsia="Times New Roman" w:hAnsi="Times New Roman"/>
          <w:sz w:val="14"/>
          <w:szCs w:val="14"/>
          <w:color w:val="auto"/>
        </w:rPr>
        <w:t>and professional services for planning, design, and business process review that do not qualify as software configuration and implementation costs recognized as capital expenditures or deferred costs under applicable accounting principles. Costs are anticipated to be incurred through various deployments through calendar year 2025.</w:t>
      </w:r>
    </w:p>
    <w:p>
      <w:pPr>
        <w:ind w:left="140" w:hanging="132"/>
        <w:spacing w:after="0" w:line="200" w:lineRule="auto"/>
        <w:tabs>
          <w:tab w:leader="none" w:pos="14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project costs are attributable to distribution center transitions.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Exit and Disposal Activity</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The Company periodically recognizes exit and disposal costs primarily consisting of severance and contract termination costs that may be attributable to a reorganization or restructuring of the Company, cost savings initiatives, or in consideration of a recent strategic transaction. Such actions result in the recognition of costs to the Company that are considered incremental and not reflective of the continuing operating costs of the business and may impact the comparability of the consolidated company and its segments. See </w:t>
      </w:r>
      <w:r>
        <w:rPr>
          <w:rFonts w:ascii="Times New Roman" w:cs="Times New Roman" w:eastAsia="Times New Roman" w:hAnsi="Times New Roman"/>
          <w:sz w:val="14"/>
          <w:szCs w:val="14"/>
          <w:i w:val="1"/>
          <w:iCs w:val="1"/>
          <w:color w:val="auto"/>
        </w:rPr>
        <w:t>Note 2 - Exit and Disposal Activities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to the Condensed Consolidated Financial Statements </w:t>
      </w:r>
      <w:r>
        <w:rPr>
          <w:rFonts w:ascii="Times New Roman" w:cs="Times New Roman" w:eastAsia="Times New Roman" w:hAnsi="Times New Roman"/>
          <w:sz w:val="14"/>
          <w:szCs w:val="14"/>
          <w:color w:val="auto"/>
        </w:rPr>
        <w:t>for further discussion.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Refinancing Activity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Financing activity during and between comparable periods may have a significant impact on the comparability of financial results on the condensed consolidated financial statements.</w:t>
      </w:r>
    </w:p>
    <w:p>
      <w:pPr>
        <w:spacing w:after="0" w:line="123" w:lineRule="exact"/>
        <w:rPr>
          <w:sz w:val="20"/>
          <w:szCs w:val="20"/>
          <w:color w:val="auto"/>
        </w:rPr>
      </w:pPr>
    </w:p>
    <w:p>
      <w:pPr>
        <w:ind w:left="340" w:right="20" w:hanging="332"/>
        <w:spacing w:after="0" w:line="282" w:lineRule="auto"/>
        <w:tabs>
          <w:tab w:leader="none" w:pos="336" w:val="left"/>
        </w:tabs>
        <w:numPr>
          <w:ilvl w:val="0"/>
          <w:numId w:val="1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On May 23, 2024, the Company completed its offering of $350.0 million principal amount of 3.375% Exchangeable Senior Notes due June 1, 2029 (the “Exchangeable Notes”), recognizing $11.8 million of fees and expenses which were capitalized as debt issuance costs and will be amortized over the term of the Exchangeable Notes.</w:t>
      </w:r>
    </w:p>
    <w:p>
      <w:pPr>
        <w:spacing w:after="0" w:line="67" w:lineRule="exact"/>
        <w:rPr>
          <w:rFonts w:ascii="Times New Roman" w:cs="Times New Roman" w:eastAsia="Times New Roman" w:hAnsi="Times New Roman"/>
          <w:sz w:val="14"/>
          <w:szCs w:val="14"/>
          <w:b w:val="1"/>
          <w:bCs w:val="1"/>
          <w:i w:val="1"/>
          <w:iCs w:val="1"/>
          <w:color w:val="auto"/>
        </w:rPr>
      </w:pPr>
    </w:p>
    <w:p>
      <w:pPr>
        <w:jc w:val="both"/>
        <w:ind w:left="340" w:hanging="332"/>
        <w:spacing w:after="0" w:line="275" w:lineRule="auto"/>
        <w:tabs>
          <w:tab w:leader="none" w:pos="336" w:val="left"/>
        </w:tabs>
        <w:numPr>
          <w:ilvl w:val="0"/>
          <w:numId w:val="1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Concurrent with the issuance of the Exchangeable Notes, the Company completed a tender offer on the aggregate outstanding principal balance of the 4.00% Senior Notes due 2026 (the “2026 Notes”), the 5.00% Senior Notes due 2029, the 5.50% Senior Notes due 2030, and the 3.875% Senior Notes due 2031 (the “2031 Notes”) (collectively, the “Tendered Notes”) and redeemed the remaining outstanding principal balance of the 2026 Notes, resulting in the reduction of the principal debt balance of $1,174.4 million and recognition of a loss on early extinguishment of $2.2 million during the third quarter of the prior year.</w:t>
      </w:r>
    </w:p>
    <w:p>
      <w:pPr>
        <w:spacing w:after="0" w:line="58" w:lineRule="exact"/>
        <w:rPr>
          <w:rFonts w:ascii="Times New Roman" w:cs="Times New Roman" w:eastAsia="Times New Roman" w:hAnsi="Times New Roman"/>
          <w:sz w:val="14"/>
          <w:szCs w:val="14"/>
          <w:b w:val="1"/>
          <w:bCs w:val="1"/>
          <w:i w:val="1"/>
          <w:iCs w:val="1"/>
          <w:color w:val="auto"/>
        </w:rPr>
      </w:pPr>
    </w:p>
    <w:p>
      <w:pPr>
        <w:ind w:left="340" w:right="20" w:hanging="332"/>
        <w:spacing w:after="0" w:line="302" w:lineRule="auto"/>
        <w:tabs>
          <w:tab w:leader="none" w:pos="336" w:val="left"/>
        </w:tabs>
        <w:numPr>
          <w:ilvl w:val="0"/>
          <w:numId w:val="1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During the year ended September 30, 2024, the Company repurchased outstanding bonds in the open market at a discount resulting in the recognition of a gain on extinguishment of $4.7 million in the six month period ended March 31, 2024.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26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8"/>
        </w:trPr>
        <w:tc>
          <w:tcPr>
            <w:tcW w:w="2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 Results of Operations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6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The following is summarized consolidated results of operations for the three and six month periods ended March 30, 2025 and March 31, 2024.</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11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8"/>
        </w:trPr>
        <w:tc>
          <w:tcPr>
            <w:tcW w:w="2680" w:type="dxa"/>
            <w:vAlign w:val="bottom"/>
            <w:gridSpan w:val="3"/>
            <w:vMerge w:val="continue"/>
          </w:tcPr>
          <w:p>
            <w:pPr>
              <w:spacing w:after="0"/>
              <w:rPr>
                <w:sz w:val="24"/>
                <w:szCs w:val="24"/>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(42.8)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(34.8)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5"/>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(7.2)</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&amp; administrative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(5.3)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(8.1)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5"/>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(23.3)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(27.3)</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142"/>
        </w:trPr>
        <w:tc>
          <w:tcPr>
            <w:tcW w:w="268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Representation and warranty insurance</w:t>
            </w:r>
          </w:p>
        </w:tc>
        <w:tc>
          <w:tcPr>
            <w:tcW w:w="1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65.0</w:t>
            </w:r>
          </w:p>
        </w:tc>
        <w:tc>
          <w:tcPr>
            <w:tcW w:w="6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65.0</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3"/>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w:t>
            </w:r>
          </w:p>
        </w:tc>
        <w:tc>
          <w:tcPr>
            <w:tcW w:w="1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(9.4)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(22.4)</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210"/>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17.1</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37.9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5"/>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Gain from early extinguishment of debt</w:t>
            </w: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4.7</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10"/>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(0.1)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(0.1)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5"/>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(15.9)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(16.5)</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210"/>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(48.1)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(41.0)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135"/>
        </w:trPr>
        <w:tc>
          <w:tcPr>
            <w:tcW w:w="26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(Loss) income from discontinued</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(11.6)</w:t>
            </w:r>
          </w:p>
        </w:tc>
        <w:tc>
          <w:tcPr>
            <w:tcW w:w="6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(24.1)</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5"/>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operations, net of tax</w:t>
            </w: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(59.7)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(65.1)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188"/>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n/m = not meaningful</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Net Sales. </w:t>
      </w:r>
      <w:r>
        <w:rPr>
          <w:rFonts w:ascii="Times New Roman" w:cs="Times New Roman" w:eastAsia="Times New Roman" w:hAnsi="Times New Roman"/>
          <w:sz w:val="14"/>
          <w:szCs w:val="14"/>
          <w:color w:val="auto"/>
        </w:rPr>
        <w:t>The following is a summary of net sales by segment for the three and six month periods ended March 30, 2025 and March 31, 2024, and the principal components of changes in net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sales between the respective periods.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8"/>
        </w:trPr>
        <w:tc>
          <w:tcPr>
            <w:tcW w:w="2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GPC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(20.7)</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(37.6)</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H&amp;G</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(8.4)</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11.7</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HPC</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(13.7)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(8.9)</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(42.8)</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1,410.7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(34.8)</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 periods ended (in</w:t>
            </w:r>
          </w:p>
        </w:tc>
        <w:tc>
          <w:tcPr>
            <w:tcW w:w="180" w:type="dxa"/>
            <w:vAlign w:val="bottom"/>
          </w:tcPr>
          <w:p>
            <w:pPr>
              <w:spacing w:after="0"/>
              <w:rPr>
                <w:sz w:val="16"/>
                <w:szCs w:val="16"/>
                <w:color w:val="auto"/>
              </w:rPr>
            </w:pPr>
          </w:p>
        </w:tc>
        <w:tc>
          <w:tcPr>
            <w:tcW w:w="11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GPC</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HPC</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8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w:t>
            </w:r>
          </w:p>
        </w:tc>
        <w:tc>
          <w:tcPr>
            <w:tcW w:w="18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03"/>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Volume</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5"/>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Price</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Organic</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 periods ended (in</w:t>
            </w:r>
          </w:p>
        </w:tc>
        <w:tc>
          <w:tcPr>
            <w:tcW w:w="180" w:type="dxa"/>
            <w:vAlign w:val="bottom"/>
          </w:tcPr>
          <w:p>
            <w:pPr>
              <w:spacing w:after="0"/>
              <w:rPr>
                <w:sz w:val="16"/>
                <w:szCs w:val="16"/>
                <w:color w:val="auto"/>
              </w:rPr>
            </w:pPr>
          </w:p>
        </w:tc>
        <w:tc>
          <w:tcPr>
            <w:tcW w:w="11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GPC</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HPC</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8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w:t>
            </w:r>
          </w:p>
        </w:tc>
        <w:tc>
          <w:tcPr>
            <w:tcW w:w="18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03"/>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Volume</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Price</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Organic</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Refer to the </w:t>
      </w:r>
      <w:r>
        <w:rPr>
          <w:rFonts w:ascii="Times New Roman" w:cs="Times New Roman" w:eastAsia="Times New Roman" w:hAnsi="Times New Roman"/>
          <w:sz w:val="14"/>
          <w:szCs w:val="14"/>
          <w:i w:val="1"/>
          <w:iCs w:val="1"/>
          <w:color w:val="auto"/>
        </w:rPr>
        <w:t>Segment Financial Data</w:t>
      </w:r>
      <w:r>
        <w:rPr>
          <w:rFonts w:ascii="Times New Roman" w:cs="Times New Roman" w:eastAsia="Times New Roman" w:hAnsi="Times New Roman"/>
          <w:sz w:val="14"/>
          <w:szCs w:val="14"/>
          <w:color w:val="auto"/>
        </w:rPr>
        <w:t xml:space="preserve"> section below for further discussion on net sales results.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Gross Profit. </w:t>
      </w:r>
      <w:r>
        <w:rPr>
          <w:rFonts w:ascii="Times New Roman" w:cs="Times New Roman" w:eastAsia="Times New Roman" w:hAnsi="Times New Roman"/>
          <w:sz w:val="14"/>
          <w:szCs w:val="14"/>
          <w:color w:val="auto"/>
        </w:rPr>
        <w:t>The following is a summary of the gross profit and gross profit margin for the three and six month periods ended March 30, 2025 and March 31, 2024, respectively, and the principal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factors contributing to the change between the respective periods.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7"/>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8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240" w:type="dxa"/>
            <w:vAlign w:val="bottom"/>
            <w:tcBorders>
              <w:top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253.4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273.4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gridSpan w:val="3"/>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(20.0)</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511.2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518.4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8"/>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profit margin</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(60) bps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37.2 %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bps</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 Period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margin)</w:t>
            </w: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80" w:type="dxa"/>
            <w:vAlign w:val="bottom"/>
          </w:tcPr>
          <w:p>
            <w:pPr>
              <w:spacing w:after="0"/>
              <w:rPr>
                <w:sz w:val="18"/>
                <w:szCs w:val="18"/>
                <w:color w:val="auto"/>
              </w:rPr>
            </w:pPr>
          </w:p>
        </w:tc>
        <w:tc>
          <w:tcPr>
            <w:tcW w:w="11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4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Price</w:t>
            </w: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bps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(0.5)</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Mix</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158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color w:val="auto"/>
              </w:rPr>
              <w:t>(130) bps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(7.3)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 bps</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Volume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 bps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bps</w:t>
            </w:r>
          </w:p>
        </w:tc>
        <w:tc>
          <w:tcPr>
            <w:tcW w:w="0" w:type="dxa"/>
            <w:vAlign w:val="bottom"/>
          </w:tcPr>
          <w:p>
            <w:pPr>
              <w:spacing w:after="0"/>
              <w:rPr>
                <w:sz w:val="1"/>
                <w:szCs w:val="1"/>
                <w:color w:val="auto"/>
              </w:rPr>
            </w:pPr>
          </w:p>
        </w:tc>
      </w:tr>
      <w:tr>
        <w:trPr>
          <w:trHeight w:val="195"/>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changes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260" w:type="dxa"/>
            <w:vAlign w:val="bottom"/>
            <w:gridSpan w:val="4"/>
          </w:tcPr>
          <w:p>
            <w:pPr>
              <w:jc w:val="center"/>
              <w:ind w:left="1048"/>
              <w:spacing w:after="0"/>
              <w:rPr>
                <w:sz w:val="20"/>
                <w:szCs w:val="20"/>
                <w:color w:val="auto"/>
              </w:rPr>
            </w:pPr>
            <w:r>
              <w:rPr>
                <w:rFonts w:ascii="Times New Roman" w:cs="Times New Roman" w:eastAsia="Times New Roman" w:hAnsi="Times New Roman"/>
                <w:sz w:val="14"/>
                <w:szCs w:val="14"/>
                <w:color w:val="auto"/>
                <w:w w:val="99"/>
              </w:rPr>
              <w:t>40</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bps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recalls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1260" w:type="dxa"/>
            <w:vAlign w:val="bottom"/>
            <w:gridSpan w:val="4"/>
            <w:shd w:val="clear" w:color="auto" w:fill="CCEEFF"/>
          </w:tcPr>
          <w:p>
            <w:pPr>
              <w:jc w:val="center"/>
              <w:ind w:left="1048"/>
              <w:spacing w:after="0"/>
              <w:rPr>
                <w:sz w:val="20"/>
                <w:szCs w:val="20"/>
                <w:color w:val="auto"/>
              </w:rPr>
            </w:pPr>
            <w:r>
              <w:rPr>
                <w:rFonts w:ascii="Times New Roman" w:cs="Times New Roman" w:eastAsia="Times New Roman" w:hAnsi="Times New Roman"/>
                <w:sz w:val="14"/>
                <w:szCs w:val="14"/>
                <w:color w:val="auto"/>
                <w:w w:val="99"/>
              </w:rPr>
              <w:t>80</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bps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6"/>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exchange rates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60" w:type="dxa"/>
            <w:vAlign w:val="bottom"/>
            <w:gridSpan w:val="4"/>
          </w:tcPr>
          <w:p>
            <w:pPr>
              <w:jc w:val="center"/>
              <w:ind w:left="1048"/>
              <w:spacing w:after="0"/>
              <w:rPr>
                <w:sz w:val="20"/>
                <w:szCs w:val="20"/>
                <w:color w:val="auto"/>
              </w:rPr>
            </w:pPr>
            <w:r>
              <w:rPr>
                <w:rFonts w:ascii="Times New Roman" w:cs="Times New Roman" w:eastAsia="Times New Roman" w:hAnsi="Times New Roman"/>
                <w:sz w:val="14"/>
                <w:szCs w:val="14"/>
                <w:color w:val="auto"/>
                <w:w w:val="99"/>
              </w:rPr>
              <w:t>10</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bps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60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28"/>
        </w:trPr>
        <w:tc>
          <w:tcPr>
            <w:tcW w:w="2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bps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Gross profit for the three month period decreased due to lower sales volumes with a margin decrease from unfavorable mix and higher trade promotions, with cost improvements and prior year recall costs offsetting the expiration of tariff exemptions for certain products and higher freight costs compared to the prior year. Gross profit for the six month period decreased due to lower sales volumes with a margin increase from cost improvements and prior year recall costs with favorable foreign currency translation offset by unfavorable mix.</w:t>
      </w:r>
    </w:p>
    <w:p>
      <w:pPr>
        <w:spacing w:after="0" w:line="5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Selling, General &amp; Administrative. </w:t>
      </w:r>
      <w:r>
        <w:rPr>
          <w:rFonts w:ascii="Times New Roman" w:cs="Times New Roman" w:eastAsia="Times New Roman" w:hAnsi="Times New Roman"/>
          <w:sz w:val="14"/>
          <w:szCs w:val="14"/>
          <w:color w:val="auto"/>
        </w:rPr>
        <w:t>The following summarizes the selling, general &amp; administrative costs for the three and six month periods ended March 30, 2025 and March 31, 2024,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respectively, including amounts as a percentage of net sales for each respective period.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 periods ended (in millions, except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1720" w:type="dxa"/>
            <w:vAlign w:val="bottom"/>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2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700" w:type="dxa"/>
            <w:vAlign w:val="bottom"/>
          </w:tcPr>
          <w:p>
            <w:pPr>
              <w:spacing w:after="0"/>
              <w:rPr>
                <w:sz w:val="16"/>
                <w:szCs w:val="16"/>
                <w:color w:val="auto"/>
              </w:rPr>
            </w:pPr>
          </w:p>
        </w:tc>
      </w:tr>
      <w:tr>
        <w:trPr>
          <w:trHeight w:val="31"/>
        </w:trPr>
        <w:tc>
          <w:tcPr>
            <w:tcW w:w="3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marketing &amp; advertising</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ind w:right="208"/>
              <w:spacing w:after="0"/>
              <w:rPr>
                <w:sz w:val="20"/>
                <w:szCs w:val="20"/>
                <w:color w:val="auto"/>
              </w:rPr>
            </w:pPr>
            <w:r>
              <w:rPr>
                <w:rFonts w:ascii="Times New Roman" w:cs="Times New Roman" w:eastAsia="Times New Roman" w:hAnsi="Times New Roman"/>
                <w:sz w:val="14"/>
                <w:szCs w:val="14"/>
                <w:color w:val="auto"/>
              </w:rPr>
              <w:t>3.2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195"/>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(2.7)</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10"/>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&amp; administrative</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228"/>
              <w:spacing w:after="0"/>
              <w:rPr>
                <w:sz w:val="20"/>
                <w:szCs w:val="20"/>
                <w:color w:val="auto"/>
              </w:rPr>
            </w:pPr>
            <w:r>
              <w:rPr>
                <w:rFonts w:ascii="Times New Roman" w:cs="Times New Roman" w:eastAsia="Times New Roman" w:hAnsi="Times New Roman"/>
                <w:sz w:val="14"/>
                <w:szCs w:val="14"/>
                <w:color w:val="auto"/>
              </w:rPr>
              <w:t>(3.6)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95"/>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&amp; development</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(0.3)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3"/>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Strategic transaction, restructuring and optimization</w:t>
            </w: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right="228"/>
              <w:spacing w:after="0"/>
              <w:rPr>
                <w:sz w:val="20"/>
                <w:szCs w:val="20"/>
                <w:color w:val="auto"/>
              </w:rPr>
            </w:pPr>
            <w:r>
              <w:rPr>
                <w:rFonts w:ascii="Times New Roman" w:cs="Times New Roman" w:eastAsia="Times New Roman" w:hAnsi="Times New Roman"/>
                <w:sz w:val="14"/>
                <w:szCs w:val="14"/>
                <w:color w:val="auto"/>
              </w:rPr>
              <w:t>(1.9)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selling, general &amp; administrative</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32.3 %</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31.1 %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(5.3)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 periods ended (in millions, except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1700" w:type="dxa"/>
            <w:vAlign w:val="bottom"/>
            <w:gridSpan w:val="3"/>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700" w:type="dxa"/>
            <w:vAlign w:val="bottom"/>
          </w:tcPr>
          <w:p>
            <w:pPr>
              <w:spacing w:after="0"/>
              <w:rPr>
                <w:sz w:val="16"/>
                <w:szCs w:val="16"/>
                <w:color w:val="auto"/>
              </w:rPr>
            </w:pPr>
          </w:p>
        </w:tc>
      </w:tr>
      <w:tr>
        <w:trPr>
          <w:trHeight w:val="30"/>
        </w:trPr>
        <w:tc>
          <w:tcPr>
            <w:tcW w:w="3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marketing &amp; advertising</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10.7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r>
      <w:tr>
        <w:trPr>
          <w:trHeight w:val="195"/>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(5.9)</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10"/>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&amp; administrative</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(11.1)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5"/>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&amp; development</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(0.1)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203"/>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Strategic transaction, restructuring and optimization</w:t>
            </w: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(1.7)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selling, general &amp; administrative</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31.3 %</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31.1 %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(8.1)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1"/>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Selling, general &amp; administrative expenses decreased for the three and six month periods due to reduced overhead from cost savings initiatives offset by higher costs on marketing and advertising initiatives. Sales, marketing and advertising costs increased for the three and six month periods due to the Company's investment towards brand focused marketing and advertising initiatives. Distribution costs decreased for the three and six month periods due to cost reduction and optimization in our distribution operations and supply chain. General &amp; administrative costs decreased for the three and six month periods due to lower overhead costs from cost improvement initiatives. Research &amp; development costs were consistent between periods for the three and six month periods. Strategic transaction, restructuring and optimization costs, inclusive of exit &amp; disposal costs, decreased for the three and six month periods due to lower costs towards HPC separation initiatives offset by higher exit and disposal costs within the three month period. See </w:t>
      </w:r>
      <w:r>
        <w:rPr>
          <w:rFonts w:ascii="Times New Roman" w:cs="Times New Roman" w:eastAsia="Times New Roman" w:hAnsi="Times New Roman"/>
          <w:sz w:val="14"/>
          <w:szCs w:val="14"/>
          <w:i w:val="1"/>
          <w:iCs w:val="1"/>
          <w:color w:val="auto"/>
        </w:rPr>
        <w:t>Note 2 - Exit and Disposal Activities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Condensed Consolidated Financial Statements</w:t>
      </w:r>
      <w:r>
        <w:rPr>
          <w:rFonts w:ascii="Times New Roman" w:cs="Times New Roman" w:eastAsia="Times New Roman" w:hAnsi="Times New Roman"/>
          <w:sz w:val="14"/>
          <w:szCs w:val="14"/>
          <w:color w:val="auto"/>
        </w:rPr>
        <w:t xml:space="preserve"> for further discussion.</w:t>
      </w:r>
    </w:p>
    <w:p>
      <w:pPr>
        <w:spacing w:after="0" w:line="25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i w:val="1"/>
          <w:iCs w:val="1"/>
          <w:color w:val="auto"/>
        </w:rPr>
        <w:t>Impairment of Intangible Assets</w:t>
      </w:r>
      <w:r>
        <w:rPr>
          <w:rFonts w:ascii="Times New Roman" w:cs="Times New Roman" w:eastAsia="Times New Roman" w:hAnsi="Times New Roman"/>
          <w:sz w:val="14"/>
          <w:szCs w:val="14"/>
          <w:color w:val="auto"/>
        </w:rPr>
        <w:t>. During three and six month period ended March 30, 2025, the Company recognized an impairment charge on its PowerXL® tradename in response to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triggering event identified during the three month period ended March 30, 2025. See </w:t>
      </w:r>
      <w:r>
        <w:rPr>
          <w:rFonts w:ascii="Times New Roman" w:cs="Times New Roman" w:eastAsia="Times New Roman" w:hAnsi="Times New Roman"/>
          <w:sz w:val="14"/>
          <w:szCs w:val="14"/>
          <w:i w:val="1"/>
          <w:iCs w:val="1"/>
          <w:color w:val="auto"/>
        </w:rPr>
        <w:t>Note 6 - Goodwill and Intangible Assets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Condensed Consolidated Financial Statements</w:t>
      </w:r>
      <w:r>
        <w:rPr>
          <w:rFonts w:ascii="Times New Roman" w:cs="Times New Roman" w:eastAsia="Times New Roman" w:hAnsi="Times New Roman"/>
          <w:sz w:val="14"/>
          <w:szCs w:val="14"/>
          <w:color w:val="auto"/>
        </w:rPr>
        <w:t xml:space="preserve"> for further discussion. During the three and six month period ended March 31, 2024, the Company recognized an impairment on its Rejuvenate® tradename and a non-core strategic tradename in response to a triggering event.</w:t>
      </w:r>
    </w:p>
    <w:p>
      <w:pPr>
        <w:spacing w:after="0" w:line="5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i w:val="1"/>
          <w:iCs w:val="1"/>
          <w:color w:val="auto"/>
        </w:rPr>
        <w:t>Representation and Warranty Insurance Proceeds</w:t>
      </w:r>
      <w:r>
        <w:rPr>
          <w:rFonts w:ascii="Times New Roman" w:cs="Times New Roman" w:eastAsia="Times New Roman" w:hAnsi="Times New Roman"/>
          <w:sz w:val="14"/>
          <w:szCs w:val="14"/>
          <w:color w:val="auto"/>
        </w:rPr>
        <w:t>. During the three and six month period ended March 31, 2024, the Company recognized a non-recurring gain of $65.0 million from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representation and warranty insurance policy associated with the Tristar Business acquisition. See </w:t>
      </w:r>
      <w:r>
        <w:rPr>
          <w:rFonts w:ascii="Times New Roman" w:cs="Times New Roman" w:eastAsia="Times New Roman" w:hAnsi="Times New Roman"/>
          <w:sz w:val="14"/>
          <w:szCs w:val="14"/>
          <w:i w:val="1"/>
          <w:iCs w:val="1"/>
          <w:color w:val="auto"/>
        </w:rPr>
        <w:t>Note 14 - Commitments and Contingencies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Condensed Consolidated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Financial Statements </w:t>
      </w:r>
      <w:r>
        <w:rPr>
          <w:rFonts w:ascii="Times New Roman" w:cs="Times New Roman" w:eastAsia="Times New Roman" w:hAnsi="Times New Roman"/>
          <w:sz w:val="14"/>
          <w:szCs w:val="14"/>
          <w:color w:val="auto"/>
        </w:rPr>
        <w:t>for further discussion. There is no comparable activity during the three and six month period ended March 30, 2025.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Interest Expense. </w:t>
      </w:r>
      <w:r>
        <w:rPr>
          <w:rFonts w:ascii="Times New Roman" w:cs="Times New Roman" w:eastAsia="Times New Roman" w:hAnsi="Times New Roman"/>
          <w:sz w:val="14"/>
          <w:szCs w:val="14"/>
          <w:color w:val="auto"/>
        </w:rPr>
        <w:t>Interest expense decreased during the three and six month periods due to reduced debt borrowings following previously discussed refinancing activity in the prior year.</w:t>
      </w:r>
    </w:p>
    <w:p>
      <w:pPr>
        <w:spacing w:after="0" w:line="1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Interest Income. </w:t>
      </w:r>
      <w:r>
        <w:rPr>
          <w:rFonts w:ascii="Times New Roman" w:cs="Times New Roman" w:eastAsia="Times New Roman" w:hAnsi="Times New Roman"/>
          <w:sz w:val="14"/>
          <w:szCs w:val="14"/>
          <w:color w:val="auto"/>
        </w:rPr>
        <w:t>Interest income decreased during the three and six due to lower balances in term deposits following the use of funds towards previously discussed refinancing activity in the prior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year.</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Gain From Early Extinguishment of Debt. </w:t>
      </w:r>
      <w:r>
        <w:rPr>
          <w:rFonts w:ascii="Times New Roman" w:cs="Times New Roman" w:eastAsia="Times New Roman" w:hAnsi="Times New Roman"/>
          <w:sz w:val="14"/>
          <w:szCs w:val="14"/>
          <w:color w:val="auto"/>
        </w:rPr>
        <w:t>During the six month period ended March 31, 2024, the Company recognized a net gain from extinguishment of debt associated with previously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discussed refinancing activity. There was no comparable activity during the three and six month periods ended March 30,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Other Non-Operating Expense, Net. </w:t>
      </w:r>
      <w:r>
        <w:rPr>
          <w:rFonts w:ascii="Times New Roman" w:cs="Times New Roman" w:eastAsia="Times New Roman" w:hAnsi="Times New Roman"/>
          <w:sz w:val="14"/>
          <w:szCs w:val="14"/>
          <w:color w:val="auto"/>
        </w:rPr>
        <w:t>Other non-operating expense is primarily due to changes in foreign currency compared to the prior year.</w:t>
      </w:r>
    </w:p>
    <w:p>
      <w:pPr>
        <w:spacing w:after="0" w:line="10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i w:val="1"/>
          <w:iCs w:val="1"/>
          <w:color w:val="auto"/>
        </w:rPr>
        <w:t xml:space="preserve">Income Taxes. </w:t>
      </w:r>
      <w:r>
        <w:rPr>
          <w:rFonts w:ascii="Times New Roman" w:cs="Times New Roman" w:eastAsia="Times New Roman" w:hAnsi="Times New Roman"/>
          <w:sz w:val="14"/>
          <w:szCs w:val="14"/>
          <w:color w:val="auto"/>
        </w:rPr>
        <w:t>Our estimated annual effective tax rate was impacted by income earned outside the U.S. that is subject to U.S. tax, including the U.S. tax on global intangible low taxed income,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and certain nondeductible expenses. See </w:t>
      </w:r>
      <w:r>
        <w:rPr>
          <w:rFonts w:ascii="Times New Roman" w:cs="Times New Roman" w:eastAsia="Times New Roman" w:hAnsi="Times New Roman"/>
          <w:sz w:val="14"/>
          <w:szCs w:val="14"/>
          <w:i w:val="1"/>
          <w:iCs w:val="1"/>
          <w:color w:val="auto"/>
        </w:rPr>
        <w:t>Note 13 - Income Tax</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Condensed Consolidated Financial Statements</w:t>
      </w:r>
      <w:r>
        <w:rPr>
          <w:rFonts w:ascii="Times New Roman" w:cs="Times New Roman" w:eastAsia="Times New Roman" w:hAnsi="Times New Roman"/>
          <w:sz w:val="14"/>
          <w:szCs w:val="14"/>
          <w:color w:val="auto"/>
        </w:rPr>
        <w:t xml:space="preserve"> for further discussion on the effective tax rate for the three and six month periods.</w:t>
      </w:r>
    </w:p>
    <w:p>
      <w:pPr>
        <w:spacing w:after="0" w:line="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Income From Discontinued Operations. </w:t>
      </w:r>
      <w:r>
        <w:rPr>
          <w:rFonts w:ascii="Times New Roman" w:cs="Times New Roman" w:eastAsia="Times New Roman" w:hAnsi="Times New Roman"/>
          <w:sz w:val="14"/>
          <w:szCs w:val="14"/>
          <w:color w:val="auto"/>
        </w:rPr>
        <w:t>Income from discontinued operations primarily reflect changes to indemnifications associated with divested businesses. Loss from discontinued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operations during the three and six month periods ended March 31, 2024 were attributable to a tax related indemnification settlement and reduction in previously accrued transaction related costs associated previous divestitures. During the three and six month periods ended March 30, 2025 there were no comparable substantive updates or changes.</w:t>
      </w:r>
    </w:p>
    <w:p>
      <w:pPr>
        <w:spacing w:after="0" w:line="7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Noncontrolling Interest. </w:t>
      </w:r>
      <w:r>
        <w:rPr>
          <w:rFonts w:ascii="Times New Roman" w:cs="Times New Roman" w:eastAsia="Times New Roman" w:hAnsi="Times New Roman"/>
          <w:sz w:val="14"/>
          <w:szCs w:val="14"/>
          <w:color w:val="auto"/>
        </w:rPr>
        <w:t>The net income attributable to noncontrolling interest reflects the share of the net income of our subsidiaries, which are not wholly-owned, attributable to the accounting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Such amount varies in relation to such a subsidiary’s net income or loss for the period and the percentage interest not owned by the Company.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 Financial Data</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Global Pet Care</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8"/>
        </w:trPr>
        <w:tc>
          <w:tcPr>
            <w:tcW w:w="22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269.2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289.9</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(20.7)</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529.2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566.8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(37.6)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2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(12.3)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(13.6)</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(290) bps</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(110) bps</w:t>
            </w: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sales for the three month period decreased with an organic net sales decrease of $18.3 million, or 6.3%, excluding an unfavorable foreign currency impact of $2.4 million, from lower North America (“NA”) volumes due to category softness in both companion animal and aquatics product categories as the consumer environment grew increasingly cautious looking for value or lower cost options, especially with premium products of the companion animal portfolio, and slower replenishment within the e-commerce channel due to slower reorder patterns and fulfillment center capacity constraints with an e-commerce retailer that appear normalized by the end of the period. Sales within Europe, Middle East and Africa (“EMEA”) and rest of world were relatively flat, excluding negative impacts from foreign currency with positive volume growth in the companion animal category from expanded distribution of Good Boy® in continental Europe offset by decrease in the aquatics category primarily driven by an unfavorable foreign currency impact. Net sales for the six month period decreased with an organic net sales decrease of $36.0 million, or 6.4%, excluding an unfavorable foreign currency impact of $1.6 million, from lower NA volumes due to category softness and slower replenishment within the e-commerce channel offset by an increase in EMEA volumes with the expansion of the Good Boy® brand and new product introduction with positive Dog and Cat Food product category distribution in e-commerce. Adjusted EBITDA for the three month period decreased with a margin decrease due to the decrease in sales volume, incremental programming and trade spend, unfavorable mix, inflationary cost pressure predominantly on ocean freight and higher brand-focused investments, offset by operational productivity. Adjusted EBITDA for the six month period decreased with a margin decrease due to sales volume decrease, unfavorable mix with increased ocean freight and higher brand-focused investment, offset by operational productivity and cost improvements.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Home &amp; Garden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2"/>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328"/>
        </w:trPr>
        <w:tc>
          <w:tcPr>
            <w:tcW w:w="2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160.7</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(8.4)</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244.4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232.7</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20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0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26.3 %</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(70) bps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4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3"/>
        </w:trPr>
        <w:tc>
          <w:tcPr>
            <w:tcW w:w="2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sales and organic net sales for the three month period decreased due to decreased volume with earlier seasonal inventory build up with retailers in the prior quarter, primarily with Controls products, pull forward of sales into prior quarter in anticipation of the S4/Hana ERP implementation in January 2025, and decline in the Cleaning category from prior year distribution losses, partially offset by incremental volume from new distribution and placement of Repellent and Household pest control products. Net sales and organic net sales for the six month period increased with the build up of seasonal inventory for expected seasonal demand with retailers, improved placement and retail display strategy, primarily within our Controls and Repellent product categories, plus an increase in sales of Household pest control products from a relatively warmer fall season extending retailer and consumer demand at the beginning of the fiscal year. Adjusted EBITDA for the three month period decreased with a margin decrease due to lower sales volumes, increased investment in brand-building advertising, unfavorable mix and some inflationary cost pressures within the period, partially offset by cost improvements. Adjusted EBITDA for the six month period increased with a margin increase from higher volumes and favorable trade variances and cost improvements offset by an increase in brand-focused advertising and some inflation.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Home and Personal Care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8"/>
        </w:trPr>
        <w:tc>
          <w:tcPr>
            <w:tcW w:w="2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254.2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267.9</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(13.7)</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602.3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611.2</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(8.9)</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0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(10.5)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(10.5)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24"/>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(370) bps</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(170) bps</w:t>
            </w: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sales for the three month period decreased with an organic net sales decrease of $6.0 million, or 2.2%, excluding an unfavorable foreign currency impact of $7.7 million primarily from NA sales volumes decreasing for both home appliance and personal care product categories due to lower category demand and retailer reorder patterns as consumer confidence levels impacted overall category sales. EMEA sales remained flat excluding negative foreign currency, with positive volumes in personal care offset by negative volumes in home appliances with European consumer confidence becoming more cautious in the current geopolitical environment and reduced home appliance category placement opportunities with certain grocery retailers. Net sales were benefited by continued growth in LATAM markets for both product categories with new product listings and market expansion. Net sales for the six month period decreased with volume decrease in NA for both product categories offset by volume growth in EMEA through e-commerce and new product listings, plus LATAM growth through new product listings and distribution wins. Adjusted EBITDA for the three month period decreased with a margin decrease from lower sales volumes, higher trade spend and programming, unfavorable mix with inflationary cost pressures in ocean freight and the expiration of tariff exclusions on certain products, offset by cost improvements and savings initiatives, lower brand-focused investments and foreign currency. Adjusted EBITDA for the six month period decreased from lower sales volumes, higher trade spend and programming, unfavorable mix with higher costs towards brand-focused investment and inflationary cost pressures in ocean freight and expiration of tariff exclusions on certain products, offset by cost improvements and savings initiatives.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cash flow from continuing operations for the six month periods ended March 30, 2025 and March 31, 2024,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20" w:type="dxa"/>
            <w:vAlign w:val="bottom"/>
          </w:tcPr>
          <w:p>
            <w:pPr>
              <w:spacing w:after="0"/>
              <w:rPr>
                <w:sz w:val="16"/>
                <w:szCs w:val="16"/>
                <w:color w:val="auto"/>
              </w:rPr>
            </w:pP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44"/>
        </w:trPr>
        <w:tc>
          <w:tcPr>
            <w:tcW w:w="7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10"/>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w:t>
            </w:r>
          </w:p>
        </w:tc>
      </w:tr>
      <w:tr>
        <w:trPr>
          <w:trHeight w:val="193"/>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544.1</w:t>
            </w:r>
          </w:p>
        </w:tc>
      </w:tr>
      <w:tr>
        <w:trPr>
          <w:trHeight w:val="37"/>
        </w:trPr>
        <w:tc>
          <w:tcPr>
            <w:tcW w:w="7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193"/>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w:t>
            </w:r>
          </w:p>
        </w:tc>
      </w:tr>
      <w:tr>
        <w:trPr>
          <w:trHeight w:val="37"/>
        </w:trPr>
        <w:tc>
          <w:tcPr>
            <w:tcW w:w="7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r>
    </w:tbl>
    <w:p>
      <w:pPr>
        <w:spacing w:after="0" w:line="176" w:lineRule="exact"/>
        <w:rPr>
          <w:sz w:val="20"/>
          <w:szCs w:val="20"/>
          <w:color w:val="auto"/>
        </w:rPr>
      </w:pPr>
    </w:p>
    <w:p>
      <w:pPr>
        <w:sectPr>
          <w:pgSz w:w="11900" w:h="16838" w:orient="portrait"/>
          <w:cols w:equalWidth="0" w:num="1">
            <w:col w:w="11240"/>
          </w:cols>
          <w:pgMar w:left="320" w:top="118" w:right="339" w:bottom="0" w:gutter="0" w:footer="0" w:header="0"/>
        </w:sect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p>
      <w:pPr>
        <w:sectPr>
          <w:pgSz w:w="11900" w:h="16838" w:orient="portrait"/>
          <w:cols w:equalWidth="0" w:num="1">
            <w:col w:w="11240"/>
          </w:cols>
          <w:pgMar w:left="320" w:top="118" w:right="339" w:bottom="0" w:gutter="0" w:footer="0" w:header="0"/>
          <w:type w:val="continuous"/>
        </w:sectPr>
      </w:pPr>
    </w:p>
    <w:bookmarkStart w:id="28" w:name="page29"/>
    <w:bookmarkEnd w:id="28"/>
    <w:p>
      <w:pPr>
        <w:jc w:val="both"/>
        <w:spacing w:after="0" w:line="281" w:lineRule="auto"/>
        <w:rPr>
          <w:sz w:val="20"/>
          <w:szCs w:val="20"/>
          <w:color w:val="auto"/>
        </w:rPr>
      </w:pPr>
      <w:r>
        <w:rPr>
          <w:rFonts w:ascii="Times New Roman" w:cs="Times New Roman" w:eastAsia="Times New Roman" w:hAnsi="Times New Roman"/>
          <w:sz w:val="14"/>
          <w:szCs w:val="14"/>
          <w:color w:val="auto"/>
        </w:rPr>
        <w:t>Cash flows from operating activities used by continuing operations decreased $129.3 million, due to increased cash flow used in working capital, primarily attributable to inventory build up in H&amp;G, lower interest income and the recognition of $50 million of cash receipts in the prior year from representation and warranty insurance proceeds associated with the Tristar Business, offset by lower spending on strategic transaction, restructuring and optimization initiatives and lower cash interest.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p>
      <w:pPr>
        <w:spacing w:after="0" w:line="12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Cash flows from investing activities for continuing operations decreased $559.3 million due to the decreased short term investment activity from the reduction of term deposits following previously discussed funding of refinancing activity in the prior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1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Cash flows from financing activities used by continuing operations increased $358.8 million primarily from lower debt repayment and share repurchases activity. During the six month periods ended March 30, 2025 and March 31, 2024, the Company made cash dividend payments of $25.3 million, or $0.47 per share, and $26.8 million, or $0.42 per share, respectively, which decreased due to the lower outstanding shares following treasury share repurchase activity.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Outlook</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ability to generate cash flow from operating activities coupled with our expected ability to access the credit markets, enables us to execute our growth strategies and return value to our shareholders. Our ability to make principal and interest payments on borrowings under our debt agreements and our ability to fund planned capital expenditures will depend on the ability to generate cash in the future, which, to a certain extent, is subject to general economic, financial, competitive, regulatory and other conditions. Based upon our current and anticipated level of operations, existing cash balances, and availability under our credit facility, we expect cash flows from operations to be sufficient to meet our operating and capital expenditure requirements for at least the next 12 months. It is not unusual for our business to experience negative operating cash flow during the first quarter of the fiscal year due to the operating calendar with our customers and the seasonality of our working capital. Additionally, we believe the availability under our credit facility and access to capital markets are sufficient to achieve our longer-term strategic plans. As of March 30, 2025, the Company had a total cash and cash equivalents of $96.0 million and borrowing availability of $408.6 million, net of outstanding letters of credit of $8.4 million, under our credit facility with a total liquidity of $504.6 million.</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maintain a capital structure that we believe provides us with sufficient access to credit markets. When combined with strong levels of cash flow from operations, our capital structure has provided the flexibility necessary to pursue strategic growth opportunities and return value to our shareholders. The Company’s access to capital markets and financing costs may depend on the Company’s credit ratings. None of the Company’s current borrowings are subject to default or acceleration as a result of a downgrading of credit ratings, although a downgrade of the Company’s credit ratings could increase fees and interest charges on future borrowings. As of March 30, 2025, we were in compliance with all covenants under the Credit Agreement and the indentures governing the 3.375% Notes, due June 1, 2029 and the 3.875% Notes, due March 15, 2031.</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Short-term financing needs primarily consist of working capital requirements, capital spending, periodic principal and interest payments on our long-term debt, and initiatives to support restructuring, integration or other strategic projects. Long-term financing needs depend largely on potential growth opportunities including acquisition activity, repayment or refinancing of our long-term obligations, and share repurchase activity, amongst others. Our long-term liquidity may be influenced by our ability to borrow additional funds, renegotiate existing debt, and raise equity under terms that are favorable to us. We also have long-term obligations associated with defined benefit plans with expected minimum required contributions that are not considered significant to the consolidated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substantially decreased its outstanding debt with the receipt of proceeds from the completion of the HHI divestiture in June 2023 through various redemptions and repurchase transactions. The Company may make additional repayments on its remaining outstanding debt obligations in the future, which may include repayments, redemptions, repurchases, refinancing or exchanges of its outstanding Senior Notes, any of which will be dependent on various factors, including market conditions. Any such repurchases may be effected through a variety of means, including privately negotiated transactions, market transactions, tender offers, redemptions or as otherwise required or permitted by the instruments covering the Company's outstanding indebtedness.</w:t>
      </w:r>
    </w:p>
    <w:p>
      <w:pPr>
        <w:spacing w:after="0" w:line="25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 xml:space="preserve">The Company has continued to repurchase shares of common stock as further detailed in </w:t>
      </w:r>
      <w:r>
        <w:rPr>
          <w:rFonts w:ascii="Times New Roman" w:cs="Times New Roman" w:eastAsia="Times New Roman" w:hAnsi="Times New Roman"/>
          <w:sz w:val="14"/>
          <w:szCs w:val="14"/>
          <w:i w:val="1"/>
          <w:iCs w:val="1"/>
          <w:color w:val="auto"/>
        </w:rPr>
        <w:t>Note 10 – Shareholders’ Equity</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Condensed Consolidated Financial Statements</w:t>
      </w:r>
      <w:r>
        <w:rPr>
          <w:rFonts w:ascii="Times New Roman" w:cs="Times New Roman" w:eastAsia="Times New Roman" w:hAnsi="Times New Roman"/>
          <w:sz w:val="14"/>
          <w:szCs w:val="14"/>
          <w:color w:val="auto"/>
        </w:rPr>
        <w:t>. We may, from time to time, seek to repurchase additional shares of our common stock and any further repurchase activity will be dependent on prevailing market conditions, liquidity requirements and other factors.</w:t>
      </w:r>
    </w:p>
    <w:p>
      <w:pPr>
        <w:spacing w:after="0" w:line="5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4"/>
          <w:szCs w:val="14"/>
          <w:color w:val="auto"/>
        </w:rPr>
        <w:t>A portion of our cash balance is located outside the U.S. given our international operations. We manage our worldwide cash requirements centrally by reviewing available cash balances across our worldwide group and the cost effectiveness with which this cash can be accessed. We generally repatriate cash from non-U.S. subsidiaries, provided the cost of the repatriation is not considered material. The counterparties that hold our deposits consist of major financial institutions.</w:t>
      </w:r>
    </w:p>
    <w:p>
      <w:pPr>
        <w:spacing w:after="0" w:line="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majority of our business is not considered seasonal with a year round selling cycle that is overall consistent during the fiscal year with the exception of our H&amp;G segment. H&amp;G sales typically peak during the first six months of the calendar year (the Company's second and third fiscal quarters) due to customer seasonal purchasing patterns and the timing of promotional activity. This seasonality requires the Company to ship large quantities of products ahead of peak consumer buying season that can impact cash flow demands to meet manufacturing and inventory requirements earlier in the fiscal year, as well as extended credit terms and/or promotional discounts throughout the peak season.</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From time to time the Company enters into factoring agreements and customers' supply chain financing arrangements to provide for the sale of certain trade receivables to unrelated third-party financial institutions. The factored receivables are accounted for as a sale without recourse, and the balance of the receivables sold are removed from the Condensed Consolidated Balance Sheet at the time of the sales transaction, with the proceeds received recognized as an operating cash flow. Amounts received from customers for factored receivables are recognized as a payable and remitted to the factor based upon terms of the factoring agreements. The Company discontinued its receivable factoring activity in the prior year but may factor receivables in the future which will be dependent on various factors. Additionally, the Company facilitates a voluntary supply chain financing program to provide certain of its suppliers with the opportunity to sell receivables due from the Company (the Company's trade payables) to an unrelated third-party financial institution under the sole discretion of the supplier and the participating financial institution. There are no guarantees provided by the Company or its subsidiaries and we do not enter into any agreements with the suppliers regarding their participation. The Company's responsibility is limited to payments on the original terms negotiated with its suppliers, regardless of whether the suppliers sell their receivables to the financial institution and continue to be recognized as Accounts Payable on the Company's </w:t>
      </w:r>
      <w:r>
        <w:rPr>
          <w:rFonts w:ascii="Times New Roman" w:cs="Times New Roman" w:eastAsia="Times New Roman" w:hAnsi="Times New Roman"/>
          <w:sz w:val="14"/>
          <w:szCs w:val="14"/>
          <w:i w:val="1"/>
          <w:iCs w:val="1"/>
          <w:color w:val="auto"/>
        </w:rPr>
        <w:t>Condensed Consolidated Balance Sheet</w:t>
      </w:r>
      <w:r>
        <w:rPr>
          <w:rFonts w:ascii="Times New Roman" w:cs="Times New Roman" w:eastAsia="Times New Roman" w:hAnsi="Times New Roman"/>
          <w:sz w:val="14"/>
          <w:szCs w:val="14"/>
          <w:color w:val="auto"/>
        </w:rPr>
        <w:t xml:space="preserve"> with cash flow activity recognized as an operating cash flow. We do not believe the level of supplier based financing to be material.</w:t>
      </w:r>
    </w:p>
    <w:p>
      <w:pPr>
        <w:spacing w:after="0" w:line="2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Other than the changes to debt obligations previously noted, there have been no material changes to our debt obligations, lease obligations, employee benefit obligations, or other contractual obligations or commercial commitments previously disclosed.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to our critical accounting estimates as discussed in our 2024 Annual Report.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Pronouncements</w:t>
      </w:r>
    </w:p>
    <w:p>
      <w:pPr>
        <w:spacing w:after="0" w:line="15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Note 1 – Basis of Presentation and Significant Accounting Policies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Condensed Consolidated Financial Statements</w:t>
      </w:r>
      <w:r>
        <w:rPr>
          <w:rFonts w:ascii="Times New Roman" w:cs="Times New Roman" w:eastAsia="Times New Roman" w:hAnsi="Times New Roman"/>
          <w:sz w:val="14"/>
          <w:szCs w:val="14"/>
          <w:color w:val="auto"/>
        </w:rPr>
        <w:t xml:space="preserve"> for information about accounting pronouncements that are newly adopted and recent accounting pronouncements not yet adopted.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Guarantor Statements</w:t>
      </w:r>
    </w:p>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Spectrum Brands, Inc. (“SBI”) has issued the 3.375% Notes, due June 1, 2029, under the 2029 Indenture and the 3.875% Exchangeable Notes, due March 15, 2031, under the 2031 Indentures (collectively, the “Notes”). The Notes are unconditionally guaranteed, jointly and severally, on a senior unsecured basis by Spectrum Brands Holdings, Inc., as parent guarantor, and SBI’s domestic subsidiaries. The Notes and the related guarantees rank equally in right of payment with all of SBI and the guarantors’ existing and future senior indebtedness and rank senior in right of payment to all of SBI and the guarantors’ future indebtedness that expressively provide for its subordination to the Notes and the related guarantees. Non-guarantor subsidiaries primarily consist of SBI’s foreign subsidiaries. See </w:t>
      </w:r>
      <w:r>
        <w:rPr>
          <w:rFonts w:ascii="Times New Roman" w:cs="Times New Roman" w:eastAsia="Times New Roman" w:hAnsi="Times New Roman"/>
          <w:sz w:val="14"/>
          <w:szCs w:val="14"/>
          <w:i w:val="1"/>
          <w:iCs w:val="1"/>
          <w:color w:val="auto"/>
        </w:rPr>
        <w:t>Note 11 - Debt</w:t>
      </w:r>
      <w:r>
        <w:rPr>
          <w:rFonts w:ascii="Times New Roman" w:cs="Times New Roman" w:eastAsia="Times New Roman" w:hAnsi="Times New Roman"/>
          <w:sz w:val="14"/>
          <w:szCs w:val="14"/>
          <w:color w:val="auto"/>
        </w:rPr>
        <w:t xml:space="preserve"> within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within the 2024 Annual Report.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following financial information consists of summarized financial information of the Obligor, presented on a combined basis. The “Obligor” consists of the financial statements of SBI as the debt issuer, Spectrum Brands Holdings, Inc. as the parent guarantor, and the domestic subsidiaries of SBI as subsidiary guarantors. Intercompany balances and transactions between SBI and the guarantors have been eliminated. Investments in non-guarantor subsidiaries and the earnings or losses from those non-guarantor subsidiaries have been excluded.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 Period Ended</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03"/>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31"/>
        </w:trPr>
        <w:tc>
          <w:tcPr>
            <w:tcW w:w="45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Statements of Operations Data</w:t>
            </w:r>
          </w:p>
        </w:tc>
        <w:tc>
          <w:tcPr>
            <w:tcW w:w="2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 party net sales</w:t>
            </w:r>
          </w:p>
        </w:tc>
        <w:tc>
          <w:tcPr>
            <w:tcW w:w="24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1,829.4</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Intercompany net sales to non-guarantor subsidiaries</w:t>
            </w:r>
          </w:p>
        </w:tc>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189"/>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1,852.2</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662.3</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controlling interest</w:t>
            </w:r>
          </w:p>
        </w:tc>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9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Statements of Financial Position Data</w:t>
            </w:r>
          </w:p>
        </w:tc>
        <w:tc>
          <w:tcPr>
            <w:tcW w:w="2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1,228.0</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3,989.6</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901.6</w:t>
            </w:r>
          </w:p>
        </w:tc>
      </w:tr>
      <w:tr>
        <w:trPr>
          <w:trHeight w:val="188"/>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930.9</w:t>
            </w:r>
          </w:p>
        </w:tc>
      </w:tr>
      <w:tr>
        <w:trPr>
          <w:trHeight w:val="369"/>
        </w:trPr>
        <w:tc>
          <w:tcPr>
            <w:tcW w:w="9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The Obligor’s amounts due from, due to the non-guarantor subsidiaries as of March 30, 2025 and September 30, 2024 are as follows: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1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30"/>
        </w:trPr>
        <w:tc>
          <w:tcPr>
            <w:tcW w:w="45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Statements of Financial Position Data</w:t>
            </w:r>
          </w:p>
        </w:tc>
        <w:tc>
          <w:tcPr>
            <w:tcW w:w="2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receivables from non-guarantor subsidiaries</w:t>
            </w:r>
          </w:p>
        </w:tc>
        <w:tc>
          <w:tcPr>
            <w:tcW w:w="244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note receivables from non-guarantor subsidiaries</w:t>
            </w:r>
          </w:p>
        </w:tc>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note receivables from non-guarantor subsidiaries</w:t>
            </w: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payables to non-guarantor subsidiaries</w:t>
            </w:r>
          </w:p>
        </w:tc>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debt with non-guarantor subsidiaries</w:t>
            </w: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435.3</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with non-guarantor subsidiaries</w:t>
            </w:r>
          </w:p>
        </w:tc>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895"/>
        </w:trPr>
        <w:tc>
          <w:tcPr>
            <w:tcW w:w="4520" w:type="dxa"/>
            <w:vAlign w:val="bottom"/>
          </w:tcPr>
          <w:p>
            <w:pPr>
              <w:spacing w:after="0"/>
              <w:rPr>
                <w:sz w:val="24"/>
                <w:szCs w:val="24"/>
                <w:color w:val="auto"/>
              </w:rPr>
            </w:pPr>
          </w:p>
        </w:tc>
        <w:tc>
          <w:tcPr>
            <w:tcW w:w="21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11"/>
        </w:trPr>
        <w:tc>
          <w:tcPr>
            <w:tcW w:w="45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tab/>
        <w:t>Quantitative and Qualitative Disclosures About Market Risk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Risk Factors</w:t>
      </w:r>
    </w:p>
    <w:p>
      <w:pPr>
        <w:spacing w:after="0" w:line="12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 xml:space="preserve">No material change in the Company’s market risk has occurred during the six month period ended March 30, 2025. For additional information, refer to </w:t>
      </w:r>
      <w:r>
        <w:rPr>
          <w:rFonts w:ascii="Times New Roman" w:cs="Times New Roman" w:eastAsia="Times New Roman" w:hAnsi="Times New Roman"/>
          <w:sz w:val="14"/>
          <w:szCs w:val="14"/>
          <w:i w:val="1"/>
          <w:iCs w:val="1"/>
          <w:color w:val="auto"/>
        </w:rPr>
        <w:t>Note 7 - Debt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Note 8 - Derivatives</w:t>
      </w:r>
      <w:r>
        <w:rPr>
          <w:rFonts w:ascii="Times New Roman" w:cs="Times New Roman" w:eastAsia="Times New Roman" w:hAnsi="Times New Roman"/>
          <w:sz w:val="14"/>
          <w:szCs w:val="14"/>
          <w:color w:val="auto"/>
        </w:rPr>
        <w:t xml:space="preserve"> included in the </w:t>
      </w:r>
      <w:r>
        <w:rPr>
          <w:rFonts w:ascii="Times New Roman" w:cs="Times New Roman" w:eastAsia="Times New Roman" w:hAnsi="Times New Roman"/>
          <w:sz w:val="14"/>
          <w:szCs w:val="14"/>
          <w:i w:val="1"/>
          <w:iCs w:val="1"/>
          <w:color w:val="auto"/>
        </w:rPr>
        <w:t>Notes to the Condensed Consolidated Financial Statements</w:t>
      </w:r>
      <w:r>
        <w:rPr>
          <w:rFonts w:ascii="Times New Roman" w:cs="Times New Roman" w:eastAsia="Times New Roman" w:hAnsi="Times New Roman"/>
          <w:sz w:val="14"/>
          <w:szCs w:val="14"/>
          <w:color w:val="auto"/>
        </w:rPr>
        <w:t xml:space="preserve"> included elsewhere in the Quarterly Report and to </w:t>
      </w:r>
      <w:r>
        <w:rPr>
          <w:rFonts w:ascii="Times New Roman" w:cs="Times New Roman" w:eastAsia="Times New Roman" w:hAnsi="Times New Roman"/>
          <w:sz w:val="14"/>
          <w:szCs w:val="14"/>
          <w:i w:val="1"/>
          <w:iCs w:val="1"/>
          <w:color w:val="auto"/>
        </w:rPr>
        <w:t>Part II, Items 7A</w:t>
      </w:r>
      <w:r>
        <w:rPr>
          <w:rFonts w:ascii="Times New Roman" w:cs="Times New Roman" w:eastAsia="Times New Roman" w:hAnsi="Times New Roman"/>
          <w:sz w:val="14"/>
          <w:szCs w:val="14"/>
          <w:color w:val="auto"/>
        </w:rPr>
        <w:t xml:space="preserve"> of the Company's 2024 Annual Report.</w:t>
      </w:r>
    </w:p>
    <w:p>
      <w:pPr>
        <w:spacing w:after="0" w:line="6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1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Evaluation of Disclosure Controls and Procedures. </w:t>
      </w:r>
      <w:r>
        <w:rPr>
          <w:rFonts w:ascii="Times New Roman" w:cs="Times New Roman" w:eastAsia="Times New Roman" w:hAnsi="Times New Roman"/>
          <w:sz w:val="14"/>
          <w:szCs w:val="14"/>
          <w:color w:val="auto"/>
        </w:rPr>
        <w:t>Our management, with the participation of our principal executive officer and principal financial officer, has evaluated the effectiveness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disclosure controls and procedures (as such term is defined in Rules 13a-15(e) and 15d-15(e) under the Exchange Act) pursuant to Rule 13a-15(b) under the Exchange Act as of the end of the period covered by this Quarterly Report on Form 10-Q. Based on this evaluation, the Company’s management, including our Chief Executive Officer and Chief Financial Officer, has concluded that, as of such date, our disclosure controls and procedures are effective to ensure that information required to be disclosed by us in reports that we file or submit under the Exchange Act is recorded, processed, summarized and reported within the time periods specified in applicable SEC rules and forms, and is accumulated and communicated to the Company’s management, including the Company’s Chief Executive Officer and Chief Financial Officer, as appropriate to allow timely decisions regarding required disclosure.</w:t>
      </w:r>
    </w:p>
    <w:p>
      <w:pPr>
        <w:spacing w:after="0" w:line="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Changes in Internal Control Over Financial Reporting. </w:t>
      </w:r>
      <w:r>
        <w:rPr>
          <w:rFonts w:ascii="Times New Roman" w:cs="Times New Roman" w:eastAsia="Times New Roman" w:hAnsi="Times New Roman"/>
          <w:sz w:val="14"/>
          <w:szCs w:val="14"/>
          <w:color w:val="auto"/>
        </w:rPr>
        <w:t>The Company is undergoing a multi-year implementation of a new global enterprise resource planning (“ERP”) system. During the six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month period ended March 30, 2025 the Company implemented the new ERP system within its GPC and H&amp;G businesses in North America. The new ERP system replaced a legacy system in which a significant portion of our business transactions originated, were processed, or were recorded. Additionally, during the three month period ended March 30, 2025, the Company implemented a new consolidation system. As a result of these implementations, certain existing internal controls were modified or removed, and new internal controls and procedures were designed and implemented to align with the new ERP system. The new ERP system is intended to provide us with enhanced transactional processing, security, and management tools and is intended to enhance internal controls over financial reporting. As the project continues, the Company continues to emphasize the maintenance of effective internal controls and assessment of the design and operating effectiveness of key control activities throughout the development and deployment of each phase.</w:t>
      </w:r>
    </w:p>
    <w:p>
      <w:pPr>
        <w:spacing w:after="0" w:line="6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Except as described above, there have been no changes in the Company's internal control over financial reporting (as defined in Rules 13a-15(f) and 15d-15(f) under the Securities Exchange Act of 1934 as amended) that occurred during the three month period ended March 30, 2025 that has materially affected, or is reasonably likely to materially affect, the Company's internal control over financial reporting.</w:t>
      </w:r>
    </w:p>
    <w:p>
      <w:pPr>
        <w:spacing w:after="0" w:line="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Limitations on the Effectiveness of Controls. </w:t>
      </w:r>
      <w:r>
        <w:rPr>
          <w:rFonts w:ascii="Times New Roman" w:cs="Times New Roman" w:eastAsia="Times New Roman" w:hAnsi="Times New Roman"/>
          <w:sz w:val="14"/>
          <w:szCs w:val="14"/>
          <w:color w:val="auto"/>
        </w:rPr>
        <w:t>The Company’s management, including our Chief Executive Officer and Chief Financial Officer, does not expect that the Company’s disclosure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controls and procedures or the Company’s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Litigation</w:t>
      </w:r>
    </w:p>
    <w:p>
      <w:pPr>
        <w:spacing w:after="0" w:line="12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 xml:space="preserve">We are a defendant in various litigation matters generally arising in the ordinary course of business. See risk factors below and </w:t>
      </w:r>
      <w:r>
        <w:rPr>
          <w:rFonts w:ascii="Times New Roman" w:cs="Times New Roman" w:eastAsia="Times New Roman" w:hAnsi="Times New Roman"/>
          <w:sz w:val="14"/>
          <w:szCs w:val="14"/>
          <w:i w:val="1"/>
          <w:iCs w:val="1"/>
          <w:color w:val="auto"/>
        </w:rPr>
        <w:t>Note 14 – Commitments and Contingencies</w:t>
      </w:r>
      <w:r>
        <w:rPr>
          <w:rFonts w:ascii="Times New Roman" w:cs="Times New Roman" w:eastAsia="Times New Roman" w:hAnsi="Times New Roman"/>
          <w:sz w:val="14"/>
          <w:szCs w:val="14"/>
          <w:color w:val="auto"/>
        </w:rPr>
        <w:t xml:space="preserve"> included in </w:t>
      </w:r>
      <w:r>
        <w:rPr>
          <w:rFonts w:ascii="Times New Roman" w:cs="Times New Roman" w:eastAsia="Times New Roman" w:hAnsi="Times New Roman"/>
          <w:sz w:val="14"/>
          <w:szCs w:val="14"/>
          <w:i w:val="1"/>
          <w:iCs w:val="1"/>
          <w:color w:val="auto"/>
        </w:rPr>
        <w:t>Notes to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Condensed Consolidated Financial Statements. </w:t>
      </w:r>
      <w:r>
        <w:rPr>
          <w:rFonts w:ascii="Times New Roman" w:cs="Times New Roman" w:eastAsia="Times New Roman" w:hAnsi="Times New Roman"/>
          <w:sz w:val="14"/>
          <w:szCs w:val="14"/>
          <w:color w:val="auto"/>
        </w:rPr>
        <w:t>Based on information currently available, we do not believe that any matters or proceedings presently pending will have a material adverse effect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our results of operations, financial condition, liquidity or cash flows.</w:t>
      </w:r>
    </w:p>
    <w:p>
      <w:pPr>
        <w:spacing w:after="0" w:line="7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123"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4"/>
          <w:szCs w:val="14"/>
          <w:color w:val="auto"/>
        </w:rPr>
        <w:t xml:space="preserve">Information about our risk factors is contained in </w:t>
      </w:r>
      <w:r>
        <w:rPr>
          <w:rFonts w:ascii="Times New Roman" w:cs="Times New Roman" w:eastAsia="Times New Roman" w:hAnsi="Times New Roman"/>
          <w:sz w:val="14"/>
          <w:szCs w:val="14"/>
          <w:i w:val="1"/>
          <w:iCs w:val="1"/>
          <w:color w:val="auto"/>
        </w:rPr>
        <w:t>Item 1A</w:t>
      </w:r>
      <w:r>
        <w:rPr>
          <w:rFonts w:ascii="Times New Roman" w:cs="Times New Roman" w:eastAsia="Times New Roman" w:hAnsi="Times New Roman"/>
          <w:sz w:val="14"/>
          <w:szCs w:val="14"/>
          <w:color w:val="auto"/>
        </w:rPr>
        <w:t xml:space="preserve"> of our 2024 Annual Report. Other than the risk factor set forth below, there have been no material changes from the risk factors discussed in our 2024 Annual Report.</w:t>
      </w:r>
    </w:p>
    <w:p>
      <w:pPr>
        <w:spacing w:after="0" w:line="5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b w:val="1"/>
          <w:bCs w:val="1"/>
          <w:color w:val="auto"/>
        </w:rPr>
        <w:t>We face risks associated with our international suppliers and supply chains, including those related to unfavorable and uncertain regulatory, political, economic, tax, tariff, export and import controls imposed by the United States and other governments</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United States has recently announced changes to existing U.S. trade policy, including increasing tariffs on imports, in many cases significantly, and potentially renegotiating or terminating existing trade agreements. The exact scope of any such tariffs or changes to existing trade agreements, that will ultimately be implemented is not known at this time, and the impacts on our business and costs of our products is uncertain. In response, a number of countries, including several in Europe as well as China, have imposed retaliatory tariffs on a wide range of American products. Additional tariffs could be imposed by the United States or on the United States’ response to actions taken by the United States government. A large percentage of our products that we sell in the United States are manufactured or sourced in China. The imposition of tariffs on products imported by us from China have in some cases required us to increase prices to our customers or and/or resulted in lowering our gross margin on products sold. Our attempts to mitigate potential disruptions to our supply chain and offset procurement and operational cost pressures, such as through alternative sourcing and/or increases in the selling prices of some of our products and services, may not be successful. Impacts from potential deterioration in geopolitical or trade relationships between the United States and other countries, particularly China and European Union member states, could have, and any similar future action may have, a material adverse effect on our business, financial condition and result of operations. Further, we cannot predict whether, and to what extent, there may be changes to international trade agreements, such as those with China, or whether, or to what extent, quotas, duties, additional tariffs, export controls or other restrictions will be changed or imposed by the United States or by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tab/>
        <w:t>Unregistered Sales of Equity Securities and Use of Proceeds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not issued or sold any shares of its common stock or any other equity securities pursuant to unregistered transactions during the three month period ended March 30,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Issuer Purchases of Equity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common stock repurchases for the three month period ended March 30,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59"/>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jc w:val="center"/>
              <w:ind w:right="88"/>
              <w:spacing w:after="0" w:line="15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224"/>
        </w:trPr>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as Part of Plan</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9"/>
                <w:szCs w:val="19"/>
                <w:color w:val="auto"/>
              </w:rPr>
            </w:pPr>
          </w:p>
        </w:tc>
        <w:tc>
          <w:tcPr>
            <w:tcW w:w="17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30, 2024 to January 26, 2025</w:t>
            </w:r>
          </w:p>
        </w:tc>
        <w:tc>
          <w:tcPr>
            <w:tcW w:w="12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799,204</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84.64</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799,204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262,233,108</w:t>
            </w:r>
          </w:p>
        </w:tc>
        <w:tc>
          <w:tcPr>
            <w:tcW w:w="0" w:type="dxa"/>
            <w:vAlign w:val="bottom"/>
          </w:tcPr>
          <w:p>
            <w:pPr>
              <w:spacing w:after="0"/>
              <w:rPr>
                <w:sz w:val="1"/>
                <w:szCs w:val="1"/>
                <w:color w:val="auto"/>
              </w:rPr>
            </w:pPr>
          </w:p>
        </w:tc>
      </w:tr>
      <w:tr>
        <w:trPr>
          <w:trHeight w:val="195"/>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January 27, 2025 to February 23, 2025</w:t>
            </w:r>
          </w:p>
        </w:tc>
        <w:tc>
          <w:tcPr>
            <w:tcW w:w="1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854,911</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81.65</w:t>
            </w: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854,911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192,446,172</w:t>
            </w: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February 24, 2025 to March 30, 2025</w:t>
            </w:r>
          </w:p>
        </w:tc>
        <w:tc>
          <w:tcPr>
            <w:tcW w:w="1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304,894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73.89</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304,894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169,926,557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1" w:lineRule="exact"/>
        <w:rPr>
          <w:sz w:val="20"/>
          <w:szCs w:val="20"/>
          <w:color w:val="auto"/>
        </w:rPr>
      </w:pPr>
    </w:p>
    <w:p>
      <w:pPr>
        <w:ind w:left="180" w:right="40" w:hanging="172"/>
        <w:spacing w:after="0" w:line="225" w:lineRule="auto"/>
        <w:tabs>
          <w:tab w:leader="none" w:pos="158"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May 20, 2024, the Company announced a $500 million (the "Maximum Amount") common stock repurchase program authorized by its Board of Directors, which is effective from May 20, 2024 until the earlier of the Maximum Amount being repurchased thereunder or the suspension, termination or replacement of the program by the Company's Board of Directors.</w:t>
      </w:r>
    </w:p>
    <w:p>
      <w:pPr>
        <w:spacing w:after="0" w:line="8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tab/>
        <w:t>Other Information</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three month period ended March 30, 2025, none of our officers or directors adopted, modified (as to amount, price or timing of trades) or terminated any contract, instruction or written plan for the purchase or sale of our securities that was intended to satisfy the affirmative defense conditions of Rule 10b5-1(c) of the Exchange Act or any “non-Rule 10b5-1 trading arrangement” (as defined under Item 408(c) of Regulation S-K).</w:t>
      </w:r>
    </w:p>
    <w:p>
      <w:pPr>
        <w:spacing w:after="0" w:line="6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6.</w:t>
        <w:tab/>
        <w:t>Exhibits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refer to the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May 8, 2025</w:t>
      </w:r>
    </w:p>
    <w:p>
      <w:pPr>
        <w:spacing w:after="0" w:line="5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SPECTRUM BRANDS HOLDINGS, INC.</w:t>
      </w:r>
    </w:p>
    <w:p>
      <w:pPr>
        <w:spacing w:after="0" w:line="69" w:lineRule="exact"/>
        <w:rPr>
          <w:sz w:val="20"/>
          <w:szCs w:val="20"/>
          <w:color w:val="auto"/>
        </w:rPr>
      </w:pPr>
    </w:p>
    <w:p>
      <w:pPr>
        <w:ind w:left="4340"/>
        <w:spacing w:after="0"/>
        <w:tabs>
          <w:tab w:leader="none" w:pos="49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b w:val="1"/>
          <w:bCs w:val="1"/>
          <w:color w:val="auto"/>
        </w:rPr>
        <w:t>/s/ Jeremy W. Smeltser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40640</wp:posOffset>
            </wp:positionV>
            <wp:extent cx="3985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4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Jeremy W. Smeltser</w:t>
      </w:r>
    </w:p>
    <w:p>
      <w:pPr>
        <w:spacing w:after="0" w:line="9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b w:val="1"/>
          <w:bCs w:val="1"/>
          <w:i w:val="1"/>
          <w:iCs w:val="1"/>
          <w:color w:val="auto"/>
        </w:rPr>
        <w:t>Executive Vice President and Chief Financial Officer</w:t>
      </w:r>
    </w:p>
    <w:p>
      <w:pPr>
        <w:spacing w:after="0" w:line="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b w:val="1"/>
          <w:bCs w:val="1"/>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18" w:right="10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928"/>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5"/>
        </w:trPr>
        <w:tc>
          <w:tcPr>
            <w:tcW w:w="1260" w:type="dxa"/>
            <w:vAlign w:val="bottom"/>
            <w:gridSpan w:val="2"/>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Exhibit 22.1*</w:t>
            </w:r>
          </w:p>
        </w:tc>
        <w:tc>
          <w:tcPr>
            <w:tcW w:w="97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0000FF"/>
              </w:rPr>
              <w:t>List of Guarantor Subsidiaries</w:t>
            </w:r>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162"/>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31.1*</w:t>
            </w:r>
          </w:p>
        </w:tc>
        <w:tc>
          <w:tcPr>
            <w:tcW w:w="9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required by Rule 13a-14(a) or Rule 15d-14(a) of the Securities and Exchange Act of 1934, as adopted pursuant to Section 302</w:t>
            </w:r>
          </w:p>
        </w:tc>
        <w:tc>
          <w:tcPr>
            <w:tcW w:w="140" w:type="dxa"/>
            <w:vAlign w:val="bottom"/>
          </w:tcPr>
          <w:p>
            <w:pPr>
              <w:spacing w:after="0"/>
              <w:rPr>
                <w:sz w:val="14"/>
                <w:szCs w:val="14"/>
                <w:color w:val="auto"/>
              </w:rPr>
            </w:pPr>
          </w:p>
        </w:tc>
      </w:tr>
      <w:tr>
        <w:trPr>
          <w:trHeight w:val="156"/>
        </w:trPr>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4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0000FF"/>
              </w:rPr>
              <w:t>of the Sarbanes-Oxley Act of 2002</w:t>
            </w:r>
          </w:p>
        </w:tc>
      </w:tr>
      <w:tr>
        <w:trPr>
          <w:trHeight w:val="48"/>
        </w:trPr>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62"/>
        </w:trPr>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Exhibit 31.2*</w:t>
            </w:r>
          </w:p>
        </w:tc>
        <w:tc>
          <w:tcPr>
            <w:tcW w:w="9560" w:type="dxa"/>
            <w:vAlign w:val="bottom"/>
            <w:tcBorders>
              <w:bottom w:val="single" w:sz="8" w:color="0000FF"/>
            </w:tcBorders>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required by Rule 13a-14(a) or Rule 15d-14(a) of the Securities and Exchange Act of 1934, as adopted pursuant to Section 302</w:t>
            </w:r>
          </w:p>
        </w:tc>
        <w:tc>
          <w:tcPr>
            <w:tcW w:w="180" w:type="dxa"/>
            <w:vAlign w:val="bottom"/>
            <w:tcBorders>
              <w:bottom w:val="single" w:sz="8" w:color="CCEEFF"/>
            </w:tcBorders>
            <w:gridSpan w:val="2"/>
            <w:shd w:val="clear" w:color="auto" w:fill="CCEEFF"/>
          </w:tcPr>
          <w:p>
            <w:pPr>
              <w:spacing w:after="0"/>
              <w:rPr>
                <w:sz w:val="14"/>
                <w:szCs w:val="14"/>
                <w:color w:val="auto"/>
              </w:rPr>
            </w:pPr>
          </w:p>
        </w:tc>
      </w:tr>
      <w:tr>
        <w:trPr>
          <w:trHeight w:val="156"/>
        </w:trPr>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74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the Sarbanes-Oxley Act of 2002</w:t>
            </w:r>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162"/>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32.1*</w:t>
            </w:r>
          </w:p>
        </w:tc>
        <w:tc>
          <w:tcPr>
            <w:tcW w:w="97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 adopted pursuant to Section 906 of the Sarbanes-Oxley Act of 2002</w:t>
            </w:r>
          </w:p>
        </w:tc>
      </w:tr>
      <w:tr>
        <w:trPr>
          <w:trHeight w:val="48"/>
        </w:trPr>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4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9"/>
        </w:trPr>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Exhibit 32.2*</w:t>
            </w:r>
          </w:p>
        </w:tc>
        <w:tc>
          <w:tcPr>
            <w:tcW w:w="8680" w:type="dxa"/>
            <w:vAlign w:val="bottom"/>
            <w:tcBorders>
              <w:bottom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0000FF"/>
              </w:rPr>
              <w:t>Certification of the Chief Financial Officer pursuant to 18 U.S.C. Section 1350, as adopted pursuant to Section 906 of the Sarbanes-Oxley Act of 2002</w:t>
            </w:r>
          </w:p>
        </w:tc>
        <w:tc>
          <w:tcPr>
            <w:tcW w:w="1060" w:type="dxa"/>
            <w:vAlign w:val="bottom"/>
            <w:tcBorders>
              <w:bottom w:val="single" w:sz="8" w:color="CCEEFF"/>
            </w:tcBorders>
            <w:gridSpan w:val="3"/>
            <w:shd w:val="clear" w:color="auto" w:fill="CCEEFF"/>
          </w:tcPr>
          <w:p>
            <w:pPr>
              <w:spacing w:after="0"/>
              <w:rPr>
                <w:sz w:val="18"/>
                <w:szCs w:val="18"/>
                <w:color w:val="auto"/>
              </w:rPr>
            </w:pPr>
          </w:p>
        </w:tc>
      </w:tr>
      <w:tr>
        <w:trPr>
          <w:trHeight w:val="193"/>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97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XBRL Instance Document</w:t>
            </w:r>
          </w:p>
        </w:tc>
      </w:tr>
      <w:tr>
        <w:trPr>
          <w:trHeight w:val="37"/>
        </w:trPr>
        <w:tc>
          <w:tcPr>
            <w:tcW w:w="1260" w:type="dxa"/>
            <w:vAlign w:val="bottom"/>
            <w:gridSpan w:val="2"/>
          </w:tcPr>
          <w:p>
            <w:pPr>
              <w:spacing w:after="0"/>
              <w:rPr>
                <w:sz w:val="3"/>
                <w:szCs w:val="3"/>
                <w:color w:val="auto"/>
              </w:rPr>
            </w:pPr>
          </w:p>
        </w:tc>
        <w:tc>
          <w:tcPr>
            <w:tcW w:w="1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9"/>
        </w:trPr>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97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193"/>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97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37"/>
        </w:trPr>
        <w:tc>
          <w:tcPr>
            <w:tcW w:w="1260" w:type="dxa"/>
            <w:vAlign w:val="bottom"/>
            <w:gridSpan w:val="2"/>
          </w:tcPr>
          <w:p>
            <w:pPr>
              <w:spacing w:after="0"/>
              <w:rPr>
                <w:sz w:val="3"/>
                <w:szCs w:val="3"/>
                <w:color w:val="auto"/>
              </w:rPr>
            </w:pPr>
          </w:p>
        </w:tc>
        <w:tc>
          <w:tcPr>
            <w:tcW w:w="1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10"/>
        </w:trPr>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97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193"/>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97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37"/>
        </w:trPr>
        <w:tc>
          <w:tcPr>
            <w:tcW w:w="1260" w:type="dxa"/>
            <w:vAlign w:val="bottom"/>
            <w:gridSpan w:val="2"/>
          </w:tcPr>
          <w:p>
            <w:pPr>
              <w:spacing w:after="0"/>
              <w:rPr>
                <w:sz w:val="3"/>
                <w:szCs w:val="3"/>
                <w:color w:val="auto"/>
              </w:rPr>
            </w:pPr>
          </w:p>
        </w:tc>
        <w:tc>
          <w:tcPr>
            <w:tcW w:w="1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3"/>
        </w:trPr>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97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37"/>
        </w:trPr>
        <w:tc>
          <w:tcPr>
            <w:tcW w:w="10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4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r>
    </w:tbl>
    <w:p>
      <w:pPr>
        <w:ind w:left="1260" w:hanging="1234"/>
        <w:spacing w:after="0"/>
        <w:tabs>
          <w:tab w:leader="none" w:pos="1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45" w:lineRule="exact"/>
        <w:rPr>
          <w:rFonts w:ascii="Times New Roman" w:cs="Times New Roman" w:eastAsia="Times New Roman" w:hAnsi="Times New Roman"/>
          <w:sz w:val="14"/>
          <w:szCs w:val="14"/>
          <w:color w:val="auto"/>
        </w:rPr>
      </w:pPr>
    </w:p>
    <w:p>
      <w:pPr>
        <w:ind w:lef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68" w:lineRule="exact"/>
        <w:rPr>
          <w:rFonts w:ascii="Times New Roman" w:cs="Times New Roman" w:eastAsia="Times New Roman" w:hAnsi="Times New Roman"/>
          <w:sz w:val="14"/>
          <w:szCs w:val="14"/>
          <w:color w:val="auto"/>
        </w:rPr>
      </w:pPr>
    </w:p>
    <w:p>
      <w:pPr>
        <w:ind w:lef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000"/>
          </w:cols>
          <w:pgMar w:left="320" w:top="114" w:right="5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8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w w:val="96"/>
              </w:rPr>
              <w:t>Exhibit 22.1</w:t>
            </w:r>
          </w:p>
        </w:tc>
        <w:tc>
          <w:tcPr>
            <w:tcW w:w="0" w:type="dxa"/>
            <w:vAlign w:val="bottom"/>
          </w:tcPr>
          <w:p>
            <w:pPr>
              <w:spacing w:after="0"/>
              <w:rPr>
                <w:sz w:val="1"/>
                <w:szCs w:val="1"/>
                <w:color w:val="auto"/>
              </w:rPr>
            </w:pPr>
          </w:p>
        </w:tc>
      </w:tr>
      <w:tr>
        <w:trPr>
          <w:trHeight w:val="162"/>
        </w:trPr>
        <w:tc>
          <w:tcPr>
            <w:tcW w:w="9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0" w:type="dxa"/>
            <w:vAlign w:val="bottom"/>
          </w:tcPr>
          <w:p>
            <w:pPr>
              <w:spacing w:after="0"/>
              <w:rPr>
                <w:sz w:val="1"/>
                <w:szCs w:val="1"/>
                <w:color w:val="auto"/>
              </w:rPr>
            </w:pPr>
          </w:p>
        </w:tc>
      </w:tr>
      <w:tr>
        <w:trPr>
          <w:trHeight w:val="196"/>
        </w:trPr>
        <w:tc>
          <w:tcPr>
            <w:tcW w:w="9060" w:type="dxa"/>
            <w:vAlign w:val="bottom"/>
            <w:gridSpan w:val="2"/>
            <w:vMerge w:val="continue"/>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0" w:type="dxa"/>
            <w:vAlign w:val="bottom"/>
          </w:tcPr>
          <w:p>
            <w:pPr>
              <w:spacing w:after="0"/>
              <w:rPr>
                <w:sz w:val="1"/>
                <w:szCs w:val="1"/>
                <w:color w:val="auto"/>
              </w:rPr>
            </w:pPr>
          </w:p>
        </w:tc>
      </w:tr>
      <w:tr>
        <w:trPr>
          <w:trHeight w:val="202"/>
        </w:trPr>
        <w:tc>
          <w:tcPr>
            <w:tcW w:w="8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Applica Mexico Holdings, Inc.</w:t>
            </w:r>
          </w:p>
        </w:tc>
        <w:tc>
          <w:tcPr>
            <w:tcW w:w="1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Alaska Merger Acquisition Corp.</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217"/>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Empower Brands, LLC** (f/k/a HPC Brands, LLC)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Empower Brands Group, LLC**</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217"/>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Empower Brands Holdings, Inc.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Glofish LLC**</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217"/>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ROV Holding, Inc.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ROV International Holdings, LLC**</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217"/>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Salix Animal Health, LLC**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SB/RH Holdings, LLC**</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217"/>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Schultz Company</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Missouri</w:t>
            </w:r>
          </w:p>
        </w:tc>
        <w:tc>
          <w:tcPr>
            <w:tcW w:w="0" w:type="dxa"/>
            <w:vAlign w:val="bottom"/>
          </w:tcPr>
          <w:p>
            <w:pPr>
              <w:spacing w:after="0"/>
              <w:rPr>
                <w:sz w:val="1"/>
                <w:szCs w:val="1"/>
                <w:color w:val="auto"/>
              </w:rPr>
            </w:pPr>
          </w:p>
        </w:tc>
      </w:tr>
      <w:tr>
        <w:trPr>
          <w:trHeight w:val="18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Shaser, LLC** (f/k/a Shaser, Inc.)</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217"/>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Holdings, Inc.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Spectrum Brands Pet Group Inc.</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217"/>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Pet LLC**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New York</w:t>
            </w:r>
          </w:p>
        </w:tc>
        <w:tc>
          <w:tcPr>
            <w:tcW w:w="0" w:type="dxa"/>
            <w:vAlign w:val="bottom"/>
          </w:tcPr>
          <w:p>
            <w:pPr>
              <w:spacing w:after="0"/>
              <w:rPr>
                <w:sz w:val="1"/>
                <w:szCs w:val="1"/>
                <w:color w:val="auto"/>
              </w:rPr>
            </w:pPr>
          </w:p>
        </w:tc>
      </w:tr>
      <w:tr>
        <w:trPr>
          <w:trHeight w:val="18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Industries Corporation</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address of each additional registrant’s principal executive office is c/o Spectrum Brands, Inc., 3001 Deming Way, Middleton, Wisconsin 53562, (608) 275-3340.</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**Single member LLC disregarded for U.S. tax purposes.</w:t>
      </w:r>
    </w:p>
    <w:p>
      <w:pPr>
        <w:sectPr>
          <w:pgSz w:w="11900" w:h="16838" w:orient="portrait"/>
          <w:cols w:equalWidth="0" w:num="1">
            <w:col w:w="11240"/>
          </w:cols>
          <w:pgMar w:left="320" w:top="1035"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M. Maura, Chief Executive Officer, certify that:</w:t>
      </w:r>
    </w:p>
    <w:p>
      <w:pPr>
        <w:spacing w:after="0" w:line="15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Spectrum Brands Holdings, Inc. (the “registrant”);</w:t>
      </w:r>
    </w:p>
    <w:p>
      <w:pPr>
        <w:spacing w:after="0" w:line="149" w:lineRule="exact"/>
        <w:rPr>
          <w:rFonts w:ascii="Times New Roman" w:cs="Times New Roman" w:eastAsia="Times New Roman" w:hAnsi="Times New Roman"/>
          <w:sz w:val="14"/>
          <w:szCs w:val="14"/>
          <w:color w:val="auto"/>
        </w:rPr>
      </w:pPr>
    </w:p>
    <w:p>
      <w:pPr>
        <w:ind w:left="660" w:hanging="328"/>
        <w:spacing w:after="0" w:line="302" w:lineRule="auto"/>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4"/>
          <w:szCs w:val="14"/>
          <w:color w:val="auto"/>
        </w:rPr>
      </w:pPr>
    </w:p>
    <w:p>
      <w:pPr>
        <w:ind w:left="660" w:hanging="328"/>
        <w:spacing w:after="0" w:line="302" w:lineRule="auto"/>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7"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4"/>
          <w:szCs w:val="14"/>
          <w:color w:val="auto"/>
        </w:rPr>
      </w:pPr>
    </w:p>
    <w:p>
      <w:pPr>
        <w:jc w:val="both"/>
        <w:ind w:left="980" w:hanging="324"/>
        <w:spacing w:after="0" w:line="295" w:lineRule="auto"/>
        <w:tabs>
          <w:tab w:leader="none" w:pos="97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5" w:lineRule="exact"/>
        <w:rPr>
          <w:rFonts w:ascii="Times New Roman" w:cs="Times New Roman" w:eastAsia="Times New Roman" w:hAnsi="Times New Roman"/>
          <w:sz w:val="14"/>
          <w:szCs w:val="14"/>
          <w:color w:val="auto"/>
        </w:rPr>
      </w:pPr>
    </w:p>
    <w:p>
      <w:pPr>
        <w:jc w:val="both"/>
        <w:ind w:left="980" w:hanging="324"/>
        <w:spacing w:after="0" w:line="295" w:lineRule="auto"/>
        <w:tabs>
          <w:tab w:leader="none" w:pos="978"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5" w:lineRule="exact"/>
        <w:rPr>
          <w:rFonts w:ascii="Times New Roman" w:cs="Times New Roman" w:eastAsia="Times New Roman" w:hAnsi="Times New Roman"/>
          <w:sz w:val="14"/>
          <w:szCs w:val="14"/>
          <w:color w:val="auto"/>
        </w:rPr>
      </w:pPr>
    </w:p>
    <w:p>
      <w:pPr>
        <w:ind w:left="980" w:hanging="324"/>
        <w:spacing w:after="0" w:line="302" w:lineRule="auto"/>
        <w:tabs>
          <w:tab w:leader="none" w:pos="97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4"/>
          <w:szCs w:val="14"/>
          <w:color w:val="auto"/>
        </w:rPr>
      </w:pPr>
    </w:p>
    <w:p>
      <w:pPr>
        <w:jc w:val="both"/>
        <w:ind w:left="980" w:hanging="324"/>
        <w:spacing w:after="0" w:line="282" w:lineRule="auto"/>
        <w:tabs>
          <w:tab w:leader="none" w:pos="978"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3" w:lineRule="exact"/>
        <w:rPr>
          <w:rFonts w:ascii="Times New Roman" w:cs="Times New Roman" w:eastAsia="Times New Roman" w:hAnsi="Times New Roman"/>
          <w:sz w:val="14"/>
          <w:szCs w:val="14"/>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4"/>
          <w:szCs w:val="14"/>
          <w:color w:val="auto"/>
        </w:rPr>
      </w:pPr>
    </w:p>
    <w:p>
      <w:pPr>
        <w:ind w:left="980" w:hanging="324"/>
        <w:spacing w:after="0" w:line="302" w:lineRule="auto"/>
        <w:tabs>
          <w:tab w:leader="none" w:pos="97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8, 2025</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 David M. Maura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6630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David M. Maura</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40"/>
          </w:cols>
          <w:pgMar w:left="320" w:top="103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Jeremy W. Smeltser, Chief Financial Officer, certify that:</w:t>
      </w:r>
    </w:p>
    <w:p>
      <w:pPr>
        <w:spacing w:after="0" w:line="15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Spectrum Brands Holdings, Inc. (the “registrant”);</w:t>
      </w:r>
    </w:p>
    <w:p>
      <w:pPr>
        <w:spacing w:after="0" w:line="149" w:lineRule="exact"/>
        <w:rPr>
          <w:rFonts w:ascii="Times New Roman" w:cs="Times New Roman" w:eastAsia="Times New Roman" w:hAnsi="Times New Roman"/>
          <w:sz w:val="14"/>
          <w:szCs w:val="14"/>
          <w:color w:val="auto"/>
        </w:rPr>
      </w:pPr>
    </w:p>
    <w:p>
      <w:pPr>
        <w:ind w:left="660" w:hanging="328"/>
        <w:spacing w:after="0" w:line="302" w:lineRule="auto"/>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4"/>
          <w:szCs w:val="14"/>
          <w:color w:val="auto"/>
        </w:rPr>
      </w:pPr>
    </w:p>
    <w:p>
      <w:pPr>
        <w:ind w:left="660" w:hanging="328"/>
        <w:spacing w:after="0" w:line="302" w:lineRule="auto"/>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7"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4"/>
          <w:szCs w:val="14"/>
          <w:color w:val="auto"/>
        </w:rPr>
      </w:pPr>
    </w:p>
    <w:p>
      <w:pPr>
        <w:jc w:val="both"/>
        <w:ind w:left="980" w:hanging="324"/>
        <w:spacing w:after="0" w:line="295" w:lineRule="auto"/>
        <w:tabs>
          <w:tab w:leader="none" w:pos="97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5" w:lineRule="exact"/>
        <w:rPr>
          <w:rFonts w:ascii="Times New Roman" w:cs="Times New Roman" w:eastAsia="Times New Roman" w:hAnsi="Times New Roman"/>
          <w:sz w:val="14"/>
          <w:szCs w:val="14"/>
          <w:color w:val="auto"/>
        </w:rPr>
      </w:pPr>
    </w:p>
    <w:p>
      <w:pPr>
        <w:jc w:val="both"/>
        <w:ind w:left="980" w:hanging="324"/>
        <w:spacing w:after="0" w:line="295" w:lineRule="auto"/>
        <w:tabs>
          <w:tab w:leader="none" w:pos="978"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5" w:lineRule="exact"/>
        <w:rPr>
          <w:rFonts w:ascii="Times New Roman" w:cs="Times New Roman" w:eastAsia="Times New Roman" w:hAnsi="Times New Roman"/>
          <w:sz w:val="14"/>
          <w:szCs w:val="14"/>
          <w:color w:val="auto"/>
        </w:rPr>
      </w:pPr>
    </w:p>
    <w:p>
      <w:pPr>
        <w:ind w:left="980" w:hanging="324"/>
        <w:spacing w:after="0" w:line="302" w:lineRule="auto"/>
        <w:tabs>
          <w:tab w:leader="none" w:pos="97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4"/>
          <w:szCs w:val="14"/>
          <w:color w:val="auto"/>
        </w:rPr>
      </w:pPr>
    </w:p>
    <w:p>
      <w:pPr>
        <w:jc w:val="both"/>
        <w:ind w:left="980" w:hanging="324"/>
        <w:spacing w:after="0" w:line="282" w:lineRule="auto"/>
        <w:tabs>
          <w:tab w:leader="none" w:pos="978"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3" w:lineRule="exact"/>
        <w:rPr>
          <w:rFonts w:ascii="Times New Roman" w:cs="Times New Roman" w:eastAsia="Times New Roman" w:hAnsi="Times New Roman"/>
          <w:sz w:val="14"/>
          <w:szCs w:val="14"/>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4"/>
          <w:szCs w:val="14"/>
          <w:color w:val="auto"/>
        </w:rPr>
      </w:pPr>
    </w:p>
    <w:p>
      <w:pPr>
        <w:ind w:left="980" w:hanging="324"/>
        <w:spacing w:after="0" w:line="302" w:lineRule="auto"/>
        <w:tabs>
          <w:tab w:leader="none" w:pos="97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8, 2025</w:t>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 Jeremy W. Smeltser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3970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Jeremy W. Smeltser</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240"/>
          </w:cols>
          <w:pgMar w:left="320" w:top="103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CHIEF EXECUTIVE OFFICER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In connection with the Quarterly Report on Form 10-Q of Spectrum Brands Holdings, Inc. (the “Company”) for the quarterly period ended March 30, 2025 as filed with the Securities and Exchange Commission on the date hereof (the “Report”), I, David M. Maura, as Chief Executive Officer of the Company, hereby certify, pursuant to 18 U.S.C. Section 1350, as adopted pursuant to Section 906 of the Sarbanes-Oxley Act of 2002, that, to the best of my knowledge:</w:t>
      </w:r>
    </w:p>
    <w:p>
      <w:pPr>
        <w:spacing w:after="0" w:line="96"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4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0" w:type="dxa"/>
            <w:vAlign w:val="bottom"/>
          </w:tcPr>
          <w:p>
            <w:pPr>
              <w:spacing w:after="0"/>
              <w:rPr>
                <w:sz w:val="16"/>
                <w:szCs w:val="16"/>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 David M. Maura</w:t>
            </w:r>
          </w:p>
        </w:tc>
        <w:tc>
          <w:tcPr>
            <w:tcW w:w="0" w:type="dxa"/>
            <w:vAlign w:val="bottom"/>
          </w:tcPr>
          <w:p>
            <w:pPr>
              <w:spacing w:after="0"/>
              <w:rPr>
                <w:sz w:val="1"/>
                <w:szCs w:val="1"/>
                <w:color w:val="auto"/>
              </w:rPr>
            </w:pPr>
          </w:p>
        </w:tc>
      </w:tr>
      <w:tr>
        <w:trPr>
          <w:trHeight w:val="23"/>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2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80" w:type="dxa"/>
            <w:vAlign w:val="bottom"/>
            <w:vMerge w:val="continue"/>
          </w:tcPr>
          <w:p>
            <w:pPr>
              <w:spacing w:after="0"/>
              <w:rPr>
                <w:sz w:val="15"/>
                <w:szCs w:val="15"/>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M. Maura</w:t>
            </w:r>
          </w:p>
        </w:tc>
        <w:tc>
          <w:tcPr>
            <w:tcW w:w="0" w:type="dxa"/>
            <w:vAlign w:val="bottom"/>
          </w:tcPr>
          <w:p>
            <w:pPr>
              <w:spacing w:after="0"/>
              <w:rPr>
                <w:sz w:val="1"/>
                <w:szCs w:val="1"/>
                <w:color w:val="auto"/>
              </w:rPr>
            </w:pPr>
          </w:p>
        </w:tc>
      </w:tr>
      <w:tr>
        <w:trPr>
          <w:trHeight w:val="19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8, 2025</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or Exchange Act, except to the extent that the Company specifically incorporates it by reference.</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03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CHIEF FINANCIAL OFFICER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In connection with the Quarterly Report on Form 10-Q of Spectrum Brands Holdings, Inc. (the “Company”) for the quarterly period ended March 30, 2025 as filed with the Securities and Exchange Commission on the date hereof (the “Report”), I, Jeremy W. Smeltser, as Chief Financial Officer of the Company, hereby certify, pursuant to 18 U.S.C. Section 1350, as adopted pursuant to Section 906 of the Sarbanes-Oxley Act of 2002, that, to the best of my knowledge:</w:t>
      </w:r>
    </w:p>
    <w:p>
      <w:pPr>
        <w:spacing w:after="0" w:line="96"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4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20" w:type="dxa"/>
            <w:vAlign w:val="bottom"/>
          </w:tcPr>
          <w:p>
            <w:pPr>
              <w:spacing w:after="0"/>
              <w:rPr>
                <w:sz w:val="16"/>
                <w:szCs w:val="16"/>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 Jeremy W. Smeltser</w:t>
            </w:r>
          </w:p>
        </w:tc>
        <w:tc>
          <w:tcPr>
            <w:tcW w:w="0" w:type="dxa"/>
            <w:vAlign w:val="bottom"/>
          </w:tcPr>
          <w:p>
            <w:pPr>
              <w:spacing w:after="0"/>
              <w:rPr>
                <w:sz w:val="1"/>
                <w:szCs w:val="1"/>
                <w:color w:val="auto"/>
              </w:rPr>
            </w:pPr>
          </w:p>
        </w:tc>
      </w:tr>
      <w:tr>
        <w:trPr>
          <w:trHeight w:val="23"/>
        </w:trPr>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20" w:type="dxa"/>
            <w:vAlign w:val="bottom"/>
            <w:vMerge w:val="continue"/>
          </w:tcPr>
          <w:p>
            <w:pPr>
              <w:spacing w:after="0"/>
              <w:rPr>
                <w:sz w:val="15"/>
                <w:szCs w:val="15"/>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Jeremy W. Smeltser</w:t>
            </w:r>
          </w:p>
        </w:tc>
        <w:tc>
          <w:tcPr>
            <w:tcW w:w="0" w:type="dxa"/>
            <w:vAlign w:val="bottom"/>
          </w:tcPr>
          <w:p>
            <w:pPr>
              <w:spacing w:after="0"/>
              <w:rPr>
                <w:sz w:val="1"/>
                <w:szCs w:val="1"/>
                <w:color w:val="auto"/>
              </w:rPr>
            </w:pPr>
          </w:p>
        </w:tc>
      </w:t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8, 2025</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or Exchange Act, except to the extent that the Company specifically incorporates it by reference.</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0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bullet"/>
      <w:start w:val="1"/>
    </w:lvl>
  </w:abstractNum>
  <w:abstractNum w:abstractNumId="5">
    <w:nsid w:val="41A7C4C9"/>
    <w:multiLevelType w:val="hybridMultilevel"/>
    <w:lvl w:ilvl="0">
      <w:lvlJc w:val="left"/>
      <w:lvlText w:val="2"/>
      <w:numFmt w:val="bullet"/>
      <w:start w:val="1"/>
    </w:lvl>
  </w:abstractNum>
  <w:abstractNum w:abstractNumId="6">
    <w:nsid w:val="6B68079A"/>
    <w:multiLevelType w:val="hybridMultilevel"/>
    <w:lvl w:ilvl="0">
      <w:lvlJc w:val="left"/>
      <w:lvlText w:val="3"/>
      <w:numFmt w:val="bullet"/>
      <w:start w:val="1"/>
    </w:lvl>
  </w:abstractNum>
  <w:abstractNum w:abstractNumId="7">
    <w:nsid w:val="4E6AFB66"/>
    <w:multiLevelType w:val="hybridMultilevel"/>
    <w:lvl w:ilvl="0">
      <w:lvlJc w:val="left"/>
      <w:lvlText w:val="4"/>
      <w:numFmt w:val="bullet"/>
      <w:start w:val="1"/>
    </w:lvl>
  </w:abstractNum>
  <w:abstractNum w:abstractNumId="8">
    <w:nsid w:val="25E45D32"/>
    <w:multiLevelType w:val="hybridMultilevel"/>
    <w:lvl w:ilvl="0">
      <w:lvlJc w:val="left"/>
      <w:lvlText w:val="5"/>
      <w:numFmt w:val="bullet"/>
      <w:start w:val="1"/>
    </w:lvl>
  </w:abstractNum>
  <w:abstractNum w:abstractNumId="9">
    <w:nsid w:val="519B500D"/>
    <w:multiLevelType w:val="hybridMultilevel"/>
    <w:lvl w:ilvl="0">
      <w:lvlJc w:val="left"/>
      <w:lvlText w:val="1"/>
      <w:numFmt w:val="bullet"/>
      <w:start w:val="1"/>
    </w:lvl>
  </w:abstractNum>
  <w:abstractNum w:abstractNumId="10">
    <w:nsid w:val="431BD7B7"/>
    <w:multiLevelType w:val="hybridMultilevel"/>
    <w:lvl w:ilvl="0">
      <w:lvlJc w:val="left"/>
      <w:lvlText w:val="2"/>
      <w:numFmt w:val="bullet"/>
      <w:start w:val="1"/>
    </w:lvl>
  </w:abstractNum>
  <w:abstractNum w:abstractNumId="11">
    <w:nsid w:val="3F2DBA31"/>
    <w:multiLevelType w:val="hybridMultilevel"/>
    <w:lvl w:ilvl="0">
      <w:lvlJc w:val="left"/>
      <w:lvlText w:val="3"/>
      <w:numFmt w:val="bullet"/>
      <w:start w:val="1"/>
    </w:lvl>
  </w:abstractNum>
  <w:abstractNum w:abstractNumId="12">
    <w:nsid w:val="7C83E458"/>
    <w:multiLevelType w:val="hybridMultilevel"/>
    <w:lvl w:ilvl="0">
      <w:lvlJc w:val="left"/>
      <w:lvlText w:val="4"/>
      <w:numFmt w:val="bullet"/>
      <w:start w:val="1"/>
    </w:lvl>
  </w:abstractNum>
  <w:abstractNum w:abstractNumId="13">
    <w:nsid w:val="257130A3"/>
    <w:multiLevelType w:val="hybridMultilevel"/>
    <w:lvl w:ilvl="0">
      <w:lvlJc w:val="left"/>
      <w:lvlText w:val="5"/>
      <w:numFmt w:val="bullet"/>
      <w:start w:val="1"/>
    </w:lvl>
  </w:abstractNum>
  <w:abstractNum w:abstractNumId="14">
    <w:nsid w:val="62BBD95A"/>
    <w:multiLevelType w:val="hybridMultilevel"/>
    <w:lvl w:ilvl="0">
      <w:lvlJc w:val="left"/>
      <w:lvlText w:val="1"/>
      <w:numFmt w:val="bullet"/>
      <w:start w:val="1"/>
    </w:lvl>
  </w:abstractNum>
  <w:abstractNum w:abstractNumId="15">
    <w:nsid w:val="436C6125"/>
    <w:multiLevelType w:val="hybridMultilevel"/>
    <w:lvl w:ilvl="0">
      <w:lvlJc w:val="left"/>
      <w:lvlText w:val="2"/>
      <w:numFmt w:val="bullet"/>
      <w:start w:val="1"/>
    </w:lvl>
  </w:abstractNum>
  <w:abstractNum w:abstractNumId="16">
    <w:nsid w:val="628C895D"/>
    <w:multiLevelType w:val="hybridMultilevel"/>
    <w:lvl w:ilvl="0">
      <w:lvlJc w:val="left"/>
      <w:lvlText w:val="3"/>
      <w:numFmt w:val="bullet"/>
      <w:start w:val="1"/>
    </w:lvl>
  </w:abstractNum>
  <w:abstractNum w:abstractNumId="17">
    <w:nsid w:val="333AB105"/>
    <w:multiLevelType w:val="hybridMultilevel"/>
    <w:lvl w:ilvl="0">
      <w:lvlJc w:val="left"/>
      <w:lvlText w:val="4"/>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bullet"/>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2025-05-08T09:24:36Z</dcterms:created>
  <dcterms:modified xsi:type="dcterms:W3CDTF">2025-05-08T09:24:36Z</dcterms:modified>
</cp:coreProperties>
</file>