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January 15, 2016</w:t>
      </w:r>
    </w:p>
    <w:p>
      <w:pPr>
        <w:spacing w:after="0" w:line="4" w:lineRule="exact"/>
        <w:rPr>
          <w:sz w:val="24"/>
          <w:szCs w:val="24"/>
          <w:color w:val="auto"/>
        </w:rPr>
      </w:pPr>
    </w:p>
    <w:p>
      <w:pPr>
        <w:ind w:left="9760"/>
        <w:spacing w:after="0"/>
        <w:rPr>
          <w:sz w:val="20"/>
          <w:szCs w:val="20"/>
          <w:color w:val="auto"/>
        </w:rPr>
      </w:pPr>
      <w:r>
        <w:rPr>
          <w:rFonts w:ascii="Arial" w:cs="Arial" w:eastAsia="Arial" w:hAnsi="Arial"/>
          <w:sz w:val="14"/>
          <w:szCs w:val="14"/>
          <w:b w:val="1"/>
          <w:bCs w:val="1"/>
          <w:color w:val="auto"/>
        </w:rPr>
        <w:t>Registration No</w:t>
      </w:r>
      <w:r>
        <w:rPr>
          <w:rFonts w:ascii="Arial" w:cs="Arial" w:eastAsia="Arial" w:hAnsi="Arial"/>
          <w:sz w:val="14"/>
          <w:szCs w:val="14"/>
          <w:color w:val="auto"/>
        </w:rPr>
        <w:t>.</w:t>
      </w:r>
      <w:r>
        <w:rPr>
          <w:rFonts w:ascii="Arial" w:cs="Arial" w:eastAsia="Arial" w:hAnsi="Arial"/>
          <w:sz w:val="14"/>
          <w:szCs w:val="14"/>
          <w:b w:val="1"/>
          <w:bCs w:val="1"/>
          <w:color w:val="auto"/>
        </w:rPr>
        <w:t xml:space="preserve">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S-1</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SPECTRUM BRANDS,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1"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780" w:type="dxa"/>
            <w:vAlign w:val="bottom"/>
          </w:tcPr>
          <w:p>
            <w:pPr>
              <w:jc w:val="center"/>
              <w:ind w:right="1054"/>
              <w:spacing w:after="0"/>
              <w:rPr>
                <w:sz w:val="20"/>
                <w:szCs w:val="20"/>
                <w:color w:val="auto"/>
              </w:rPr>
            </w:pPr>
            <w:r>
              <w:rPr>
                <w:rFonts w:ascii="Arial" w:cs="Arial" w:eastAsia="Arial" w:hAnsi="Arial"/>
                <w:sz w:val="14"/>
                <w:szCs w:val="14"/>
                <w:b w:val="1"/>
                <w:bCs w:val="1"/>
                <w:color w:val="auto"/>
              </w:rPr>
              <w:t>DELAWARE</w:t>
            </w:r>
          </w:p>
        </w:tc>
        <w:tc>
          <w:tcPr>
            <w:tcW w:w="39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3690</w:t>
            </w:r>
          </w:p>
        </w:tc>
        <w:tc>
          <w:tcPr>
            <w:tcW w:w="2220" w:type="dxa"/>
            <w:vAlign w:val="bottom"/>
          </w:tcPr>
          <w:p>
            <w:pPr>
              <w:jc w:val="center"/>
              <w:ind w:left="1134"/>
              <w:spacing w:after="0"/>
              <w:rPr>
                <w:sz w:val="20"/>
                <w:szCs w:val="20"/>
                <w:color w:val="auto"/>
              </w:rPr>
            </w:pPr>
            <w:r>
              <w:rPr>
                <w:rFonts w:ascii="Arial" w:cs="Arial" w:eastAsia="Arial" w:hAnsi="Arial"/>
                <w:sz w:val="14"/>
                <w:szCs w:val="14"/>
                <w:b w:val="1"/>
                <w:bCs w:val="1"/>
                <w:color w:val="auto"/>
                <w:w w:val="93"/>
              </w:rPr>
              <w:t>22-2423556</w:t>
            </w:r>
          </w:p>
        </w:tc>
      </w:tr>
      <w:tr>
        <w:trPr>
          <w:trHeight w:val="135"/>
        </w:trPr>
        <w:tc>
          <w:tcPr>
            <w:tcW w:w="2780" w:type="dxa"/>
            <w:vAlign w:val="bottom"/>
          </w:tcPr>
          <w:p>
            <w:pPr>
              <w:jc w:val="center"/>
              <w:ind w:right="105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98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220" w:type="dxa"/>
            <w:vAlign w:val="bottom"/>
          </w:tcPr>
          <w:p>
            <w:pPr>
              <w:jc w:val="center"/>
              <w:ind w:left="115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80" w:type="dxa"/>
            <w:vAlign w:val="bottom"/>
          </w:tcPr>
          <w:p>
            <w:pPr>
              <w:jc w:val="center"/>
              <w:ind w:right="1074"/>
              <w:spacing w:after="0"/>
              <w:rPr>
                <w:sz w:val="20"/>
                <w:szCs w:val="20"/>
                <w:color w:val="auto"/>
              </w:rPr>
            </w:pPr>
            <w:r>
              <w:rPr>
                <w:rFonts w:ascii="Arial" w:cs="Arial" w:eastAsia="Arial" w:hAnsi="Arial"/>
                <w:sz w:val="13"/>
                <w:szCs w:val="13"/>
                <w:b w:val="1"/>
                <w:bCs w:val="1"/>
                <w:color w:val="auto"/>
                <w:w w:val="88"/>
              </w:rPr>
              <w:t>incorporation or organization)</w:t>
            </w:r>
          </w:p>
        </w:tc>
        <w:tc>
          <w:tcPr>
            <w:tcW w:w="3980" w:type="dxa"/>
            <w:vAlign w:val="bottom"/>
          </w:tcPr>
          <w:p>
            <w:pPr>
              <w:jc w:val="center"/>
              <w:ind w:right="34"/>
              <w:spacing w:after="0"/>
              <w:rPr>
                <w:sz w:val="20"/>
                <w:szCs w:val="20"/>
                <w:color w:val="auto"/>
              </w:rPr>
            </w:pPr>
            <w:r>
              <w:rPr>
                <w:rFonts w:ascii="Arial" w:cs="Arial" w:eastAsia="Arial" w:hAnsi="Arial"/>
                <w:sz w:val="13"/>
                <w:szCs w:val="13"/>
                <w:b w:val="1"/>
                <w:bCs w:val="1"/>
                <w:color w:val="auto"/>
                <w:w w:val="87"/>
              </w:rPr>
              <w:t>Classification Code Number)</w:t>
            </w:r>
          </w:p>
        </w:tc>
        <w:tc>
          <w:tcPr>
            <w:tcW w:w="2220" w:type="dxa"/>
            <w:vAlign w:val="bottom"/>
          </w:tcPr>
          <w:p>
            <w:pPr>
              <w:jc w:val="center"/>
              <w:ind w:left="1154"/>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3001 Deming Way</w:t>
      </w:r>
    </w:p>
    <w:p>
      <w:pPr>
        <w:jc w:val="center"/>
        <w:spacing w:after="0" w:line="226" w:lineRule="auto"/>
        <w:rPr>
          <w:sz w:val="20"/>
          <w:szCs w:val="20"/>
          <w:color w:val="auto"/>
        </w:rPr>
      </w:pPr>
      <w:r>
        <w:rPr>
          <w:rFonts w:ascii="Arial" w:cs="Arial" w:eastAsia="Arial" w:hAnsi="Arial"/>
          <w:sz w:val="14"/>
          <w:szCs w:val="14"/>
          <w:b w:val="1"/>
          <w:bCs w:val="1"/>
          <w:color w:val="auto"/>
        </w:rPr>
        <w:t>Middleton, Wisconsin 53562</w:t>
      </w:r>
    </w:p>
    <w:p>
      <w:pPr>
        <w:jc w:val="center"/>
        <w:spacing w:after="0" w:line="225" w:lineRule="auto"/>
        <w:rPr>
          <w:sz w:val="20"/>
          <w:szCs w:val="20"/>
          <w:color w:val="auto"/>
        </w:rPr>
      </w:pPr>
      <w:r>
        <w:rPr>
          <w:rFonts w:ascii="Arial" w:cs="Arial" w:eastAsia="Arial" w:hAnsi="Arial"/>
          <w:sz w:val="14"/>
          <w:szCs w:val="14"/>
          <w:b w:val="1"/>
          <w:bCs w:val="1"/>
          <w:color w:val="auto"/>
        </w:rPr>
        <w:t>(608) 275-3340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*ADDITIONAL REGISTRANTS LISTED ON SCHEDULE A HERETO</w:t>
      </w:r>
    </w:p>
    <w:p>
      <w:pPr>
        <w:spacing w:after="0" w:line="42" w:lineRule="exact"/>
        <w:rPr>
          <w:sz w:val="24"/>
          <w:szCs w:val="24"/>
          <w:color w:val="auto"/>
        </w:rPr>
      </w:pPr>
    </w:p>
    <w:p>
      <w:pPr>
        <w:ind w:left="5040"/>
        <w:spacing w:after="0"/>
        <w:rPr>
          <w:sz w:val="20"/>
          <w:szCs w:val="20"/>
          <w:color w:val="auto"/>
        </w:rPr>
      </w:pPr>
      <w:r>
        <w:rPr>
          <w:rFonts w:ascii="Arial" w:cs="Arial" w:eastAsia="Arial" w:hAnsi="Arial"/>
          <w:sz w:val="14"/>
          <w:szCs w:val="14"/>
          <w:b w:val="1"/>
          <w:bCs w:val="1"/>
          <w:color w:val="auto"/>
        </w:rPr>
        <w:t>Nathan E. Fagre, Esq.</w:t>
      </w:r>
    </w:p>
    <w:p>
      <w:pPr>
        <w:jc w:val="center"/>
        <w:spacing w:after="0" w:line="226" w:lineRule="auto"/>
        <w:rPr>
          <w:sz w:val="20"/>
          <w:szCs w:val="20"/>
          <w:color w:val="auto"/>
        </w:rPr>
      </w:pPr>
      <w:r>
        <w:rPr>
          <w:rFonts w:ascii="Arial" w:cs="Arial" w:eastAsia="Arial" w:hAnsi="Arial"/>
          <w:sz w:val="14"/>
          <w:szCs w:val="14"/>
          <w:b w:val="1"/>
          <w:bCs w:val="1"/>
          <w:color w:val="auto"/>
        </w:rPr>
        <w:t>General Counsel and Secretary</w:t>
      </w:r>
    </w:p>
    <w:p>
      <w:pPr>
        <w:jc w:val="center"/>
        <w:spacing w:after="0" w:line="222" w:lineRule="auto"/>
        <w:rPr>
          <w:sz w:val="20"/>
          <w:szCs w:val="20"/>
          <w:color w:val="auto"/>
        </w:rPr>
      </w:pPr>
      <w:r>
        <w:rPr>
          <w:rFonts w:ascii="Arial" w:cs="Arial" w:eastAsia="Arial" w:hAnsi="Arial"/>
          <w:sz w:val="14"/>
          <w:szCs w:val="14"/>
          <w:b w:val="1"/>
          <w:bCs w:val="1"/>
          <w:color w:val="auto"/>
        </w:rPr>
        <w:t>3001 Deming Way</w:t>
      </w:r>
    </w:p>
    <w:p>
      <w:pPr>
        <w:jc w:val="center"/>
        <w:spacing w:after="0" w:line="221" w:lineRule="auto"/>
        <w:rPr>
          <w:sz w:val="20"/>
          <w:szCs w:val="20"/>
          <w:color w:val="auto"/>
        </w:rPr>
      </w:pPr>
      <w:r>
        <w:rPr>
          <w:rFonts w:ascii="Arial" w:cs="Arial" w:eastAsia="Arial" w:hAnsi="Arial"/>
          <w:sz w:val="14"/>
          <w:szCs w:val="14"/>
          <w:b w:val="1"/>
          <w:bCs w:val="1"/>
          <w:color w:val="auto"/>
        </w:rPr>
        <w:t>Middleton, Wisconsin 53562</w:t>
      </w:r>
    </w:p>
    <w:p>
      <w:pPr>
        <w:jc w:val="center"/>
        <w:spacing w:after="0" w:line="225" w:lineRule="auto"/>
        <w:rPr>
          <w:sz w:val="20"/>
          <w:szCs w:val="20"/>
          <w:color w:val="auto"/>
        </w:rPr>
      </w:pPr>
      <w:r>
        <w:rPr>
          <w:rFonts w:ascii="Arial" w:cs="Arial" w:eastAsia="Arial" w:hAnsi="Arial"/>
          <w:sz w:val="14"/>
          <w:szCs w:val="14"/>
          <w:b w:val="1"/>
          <w:bCs w:val="1"/>
          <w:color w:val="auto"/>
        </w:rPr>
        <w:t>(608) 275-3340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With a copy to:</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Raphael M. Russo, Esq.</w:t>
      </w:r>
    </w:p>
    <w:p>
      <w:pPr>
        <w:jc w:val="center"/>
        <w:spacing w:after="0" w:line="226" w:lineRule="auto"/>
        <w:rPr>
          <w:sz w:val="20"/>
          <w:szCs w:val="20"/>
          <w:color w:val="auto"/>
        </w:rPr>
      </w:pPr>
      <w:r>
        <w:rPr>
          <w:rFonts w:ascii="Arial" w:cs="Arial" w:eastAsia="Arial" w:hAnsi="Arial"/>
          <w:sz w:val="14"/>
          <w:szCs w:val="14"/>
          <w:b w:val="1"/>
          <w:bCs w:val="1"/>
          <w:color w:val="auto"/>
        </w:rPr>
        <w:t>Paul, Weiss, Rifkind, Wharton &amp; Garrison LLP</w:t>
      </w:r>
    </w:p>
    <w:p>
      <w:pPr>
        <w:jc w:val="center"/>
        <w:spacing w:after="0" w:line="222" w:lineRule="auto"/>
        <w:rPr>
          <w:sz w:val="20"/>
          <w:szCs w:val="20"/>
          <w:color w:val="auto"/>
        </w:rPr>
      </w:pPr>
      <w:r>
        <w:rPr>
          <w:rFonts w:ascii="Arial" w:cs="Arial" w:eastAsia="Arial" w:hAnsi="Arial"/>
          <w:sz w:val="14"/>
          <w:szCs w:val="14"/>
          <w:b w:val="1"/>
          <w:bCs w:val="1"/>
          <w:color w:val="auto"/>
        </w:rPr>
        <w:t>1285 Avenue of the Americas</w:t>
      </w:r>
    </w:p>
    <w:p>
      <w:pPr>
        <w:jc w:val="center"/>
        <w:spacing w:after="0" w:line="221" w:lineRule="auto"/>
        <w:rPr>
          <w:sz w:val="20"/>
          <w:szCs w:val="20"/>
          <w:color w:val="auto"/>
        </w:rPr>
      </w:pPr>
      <w:r>
        <w:rPr>
          <w:rFonts w:ascii="Arial" w:cs="Arial" w:eastAsia="Arial" w:hAnsi="Arial"/>
          <w:sz w:val="14"/>
          <w:szCs w:val="14"/>
          <w:b w:val="1"/>
          <w:bCs w:val="1"/>
          <w:color w:val="auto"/>
        </w:rPr>
        <w:t>New York, New York 10019-6064</w:t>
      </w:r>
    </w:p>
    <w:p>
      <w:pPr>
        <w:jc w:val="center"/>
        <w:spacing w:after="0"/>
        <w:rPr>
          <w:sz w:val="20"/>
          <w:szCs w:val="20"/>
          <w:color w:val="auto"/>
        </w:rPr>
      </w:pPr>
      <w:r>
        <w:rPr>
          <w:rFonts w:ascii="Arial" w:cs="Arial" w:eastAsia="Arial" w:hAnsi="Arial"/>
          <w:sz w:val="14"/>
          <w:szCs w:val="14"/>
          <w:b w:val="1"/>
          <w:bCs w:val="1"/>
          <w:color w:val="auto"/>
        </w:rPr>
        <w:t>(212) 373-3000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19"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90"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right="8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Arial" w:cs="Arial" w:eastAsia="Arial" w:hAnsi="Arial"/>
                <w:sz w:val="14"/>
                <w:szCs w:val="14"/>
                <w:color w:val="auto"/>
              </w:rPr>
              <w:t>Large accelerated filer</w:t>
            </w:r>
          </w:p>
        </w:tc>
        <w:tc>
          <w:tcPr>
            <w:tcW w:w="21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gridSpan w:val="2"/>
          </w:tcPr>
          <w:p>
            <w:pPr>
              <w:ind w:left="1380"/>
              <w:spacing w:after="0"/>
              <w:rPr>
                <w:sz w:val="20"/>
                <w:szCs w:val="20"/>
                <w:color w:val="auto"/>
              </w:rPr>
            </w:pPr>
            <w:r>
              <w:rPr>
                <w:rFonts w:ascii="Arial" w:cs="Arial" w:eastAsia="Arial" w:hAnsi="Arial"/>
                <w:sz w:val="14"/>
                <w:szCs w:val="14"/>
                <w:color w:val="auto"/>
              </w:rPr>
              <w:t>Accelerated filer</w:t>
            </w:r>
          </w:p>
        </w:tc>
        <w:tc>
          <w:tcPr>
            <w:tcW w:w="340" w:type="dxa"/>
            <w:vAlign w:val="bottom"/>
          </w:tcPr>
          <w:p>
            <w:pPr>
              <w:spacing w:after="0"/>
              <w:rPr>
                <w:sz w:val="14"/>
                <w:szCs w:val="14"/>
                <w:color w:val="auto"/>
              </w:rPr>
            </w:pPr>
          </w:p>
        </w:tc>
        <w:tc>
          <w:tcPr>
            <w:tcW w:w="64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1"/>
        </w:trPr>
        <w:tc>
          <w:tcPr>
            <w:tcW w:w="146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5660" w:type="dxa"/>
            <w:vAlign w:val="bottom"/>
            <w:gridSpan w:val="6"/>
          </w:tcPr>
          <w:p>
            <w:pPr>
              <w:ind w:left="2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760" w:type="dxa"/>
            <w:vAlign w:val="bottom"/>
          </w:tcPr>
          <w:p>
            <w:pPr>
              <w:spacing w:after="0"/>
              <w:rPr>
                <w:sz w:val="18"/>
                <w:szCs w:val="18"/>
                <w:color w:val="auto"/>
              </w:rPr>
            </w:pPr>
          </w:p>
        </w:tc>
        <w:tc>
          <w:tcPr>
            <w:tcW w:w="2900" w:type="dxa"/>
            <w:vAlign w:val="bottom"/>
            <w:gridSpan w:val="3"/>
          </w:tcPr>
          <w:p>
            <w:pPr>
              <w:ind w:left="1380"/>
              <w:spacing w:after="0"/>
              <w:rPr>
                <w:sz w:val="20"/>
                <w:szCs w:val="20"/>
                <w:color w:val="auto"/>
              </w:rPr>
            </w:pPr>
            <w:r>
              <w:rPr>
                <w:rFonts w:ascii="Arial" w:cs="Arial" w:eastAsia="Arial" w:hAnsi="Arial"/>
                <w:sz w:val="14"/>
                <w:szCs w:val="14"/>
                <w:color w:val="auto"/>
                <w:w w:val="89"/>
              </w:rPr>
              <w:t>Smaller reporting company</w:t>
            </w:r>
          </w:p>
        </w:tc>
        <w:tc>
          <w:tcPr>
            <w:tcW w:w="64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00" w:type="dxa"/>
            <w:vAlign w:val="bottom"/>
            <w:gridSpan w:val="7"/>
          </w:tcPr>
          <w:p>
            <w:pPr>
              <w:ind w:left="340"/>
              <w:spacing w:after="0"/>
              <w:rPr>
                <w:sz w:val="20"/>
                <w:szCs w:val="20"/>
                <w:color w:val="auto"/>
              </w:rPr>
            </w:pPr>
            <w:r>
              <w:rPr>
                <w:rFonts w:ascii="Arial" w:cs="Arial" w:eastAsia="Arial" w:hAnsi="Arial"/>
                <w:sz w:val="14"/>
                <w:szCs w:val="14"/>
                <w:color w:val="auto"/>
                <w:w w:val="91"/>
              </w:rPr>
              <w:t>If applicable, place an X in the box to designate the appropriate rule provision relied upon in conducting this transaction:</w:t>
            </w: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gridSpan w:val="5"/>
          </w:tcPr>
          <w:p>
            <w:pPr>
              <w:ind w:left="780"/>
              <w:spacing w:after="0"/>
              <w:rPr>
                <w:sz w:val="20"/>
                <w:szCs w:val="20"/>
                <w:color w:val="auto"/>
              </w:rPr>
            </w:pPr>
            <w:r>
              <w:rPr>
                <w:rFonts w:ascii="Arial" w:cs="Arial" w:eastAsia="Arial" w:hAnsi="Arial"/>
                <w:sz w:val="14"/>
                <w:szCs w:val="14"/>
                <w:b w:val="1"/>
                <w:bCs w:val="1"/>
                <w:color w:val="auto"/>
              </w:rPr>
              <w:t>CALCULATION OF REGISTRATION FEE</w:t>
            </w: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auto"/>
            </w:tcBorders>
          </w:tcPr>
          <w:p>
            <w:pPr>
              <w:jc w:val="center"/>
              <w:ind w:left="38"/>
              <w:spacing w:after="0" w:line="89" w:lineRule="exact"/>
              <w:rPr>
                <w:sz w:val="20"/>
                <w:szCs w:val="20"/>
                <w:color w:val="auto"/>
              </w:rPr>
            </w:pPr>
            <w:r>
              <w:rPr>
                <w:rFonts w:ascii="Arial" w:cs="Arial" w:eastAsia="Arial" w:hAnsi="Arial"/>
                <w:sz w:val="10"/>
                <w:szCs w:val="10"/>
                <w:b w:val="1"/>
                <w:bCs w:val="1"/>
                <w:color w:val="auto"/>
                <w:w w:val="90"/>
              </w:rPr>
              <w:t>Proposed</w:t>
            </w:r>
          </w:p>
        </w:tc>
        <w:tc>
          <w:tcPr>
            <w:tcW w:w="1760" w:type="dxa"/>
            <w:vAlign w:val="bottom"/>
            <w:tcBorders>
              <w:right w:val="single" w:sz="8" w:color="auto"/>
            </w:tcBorders>
          </w:tcPr>
          <w:p>
            <w:pPr>
              <w:jc w:val="center"/>
              <w:ind w:left="997"/>
              <w:spacing w:after="0" w:line="89" w:lineRule="exact"/>
              <w:rPr>
                <w:sz w:val="20"/>
                <w:szCs w:val="20"/>
                <w:color w:val="auto"/>
              </w:rPr>
            </w:pPr>
            <w:r>
              <w:rPr>
                <w:rFonts w:ascii="Arial" w:cs="Arial" w:eastAsia="Arial" w:hAnsi="Arial"/>
                <w:sz w:val="10"/>
                <w:szCs w:val="10"/>
                <w:b w:val="1"/>
                <w:bCs w:val="1"/>
                <w:color w:val="auto"/>
                <w:w w:val="90"/>
              </w:rPr>
              <w:t>Proposed</w:t>
            </w: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180" w:type="dxa"/>
            <w:vAlign w:val="bottom"/>
            <w:vMerge w:val="restart"/>
          </w:tcPr>
          <w:p>
            <w:pPr>
              <w:jc w:val="center"/>
              <w:ind w:right="479"/>
              <w:spacing w:after="0"/>
              <w:rPr>
                <w:sz w:val="20"/>
                <w:szCs w:val="20"/>
                <w:color w:val="auto"/>
              </w:rPr>
            </w:pPr>
            <w:r>
              <w:rPr>
                <w:rFonts w:ascii="Arial" w:cs="Arial" w:eastAsia="Arial" w:hAnsi="Arial"/>
                <w:sz w:val="11"/>
                <w:szCs w:val="11"/>
                <w:b w:val="1"/>
                <w:bCs w:val="1"/>
                <w:color w:val="auto"/>
                <w:w w:val="84"/>
              </w:rPr>
              <w:t>Title of each class of</w:t>
            </w:r>
          </w:p>
        </w:tc>
        <w:tc>
          <w:tcPr>
            <w:tcW w:w="8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jc w:val="center"/>
              <w:ind w:left="997"/>
              <w:spacing w:after="0" w:line="122" w:lineRule="exact"/>
              <w:rPr>
                <w:sz w:val="20"/>
                <w:szCs w:val="20"/>
                <w:color w:val="auto"/>
              </w:rPr>
            </w:pPr>
            <w:r>
              <w:rPr>
                <w:rFonts w:ascii="Arial" w:cs="Arial" w:eastAsia="Arial" w:hAnsi="Arial"/>
                <w:sz w:val="11"/>
                <w:szCs w:val="11"/>
                <w:b w:val="1"/>
                <w:bCs w:val="1"/>
                <w:color w:val="auto"/>
                <w:w w:val="91"/>
              </w:rPr>
              <w:t>Amount</w:t>
            </w:r>
          </w:p>
        </w:tc>
        <w:tc>
          <w:tcPr>
            <w:tcW w:w="980" w:type="dxa"/>
            <w:vAlign w:val="bottom"/>
            <w:gridSpan w:val="2"/>
          </w:tcPr>
          <w:p>
            <w:pPr>
              <w:spacing w:after="0"/>
              <w:rPr>
                <w:sz w:val="10"/>
                <w:szCs w:val="10"/>
                <w:color w:val="auto"/>
              </w:rPr>
            </w:pPr>
          </w:p>
        </w:tc>
        <w:tc>
          <w:tcPr>
            <w:tcW w:w="760" w:type="dxa"/>
            <w:vAlign w:val="bottom"/>
            <w:tcBorders>
              <w:right w:val="single" w:sz="8" w:color="auto"/>
            </w:tcBorders>
          </w:tcPr>
          <w:p>
            <w:pPr>
              <w:jc w:val="center"/>
              <w:ind w:left="38"/>
              <w:spacing w:after="0" w:line="122" w:lineRule="exact"/>
              <w:rPr>
                <w:sz w:val="20"/>
                <w:szCs w:val="20"/>
                <w:color w:val="auto"/>
              </w:rPr>
            </w:pPr>
            <w:r>
              <w:rPr>
                <w:rFonts w:ascii="Arial" w:cs="Arial" w:eastAsia="Arial" w:hAnsi="Arial"/>
                <w:sz w:val="11"/>
                <w:szCs w:val="11"/>
                <w:b w:val="1"/>
                <w:bCs w:val="1"/>
                <w:color w:val="auto"/>
                <w:w w:val="89"/>
              </w:rPr>
              <w:t>maximum</w:t>
            </w:r>
          </w:p>
        </w:tc>
        <w:tc>
          <w:tcPr>
            <w:tcW w:w="1760" w:type="dxa"/>
            <w:vAlign w:val="bottom"/>
            <w:tcBorders>
              <w:right w:val="single" w:sz="8" w:color="auto"/>
            </w:tcBorders>
          </w:tcPr>
          <w:p>
            <w:pPr>
              <w:jc w:val="center"/>
              <w:ind w:left="997"/>
              <w:spacing w:after="0" w:line="122" w:lineRule="exact"/>
              <w:rPr>
                <w:sz w:val="20"/>
                <w:szCs w:val="20"/>
                <w:color w:val="auto"/>
              </w:rPr>
            </w:pPr>
            <w:r>
              <w:rPr>
                <w:rFonts w:ascii="Arial" w:cs="Arial" w:eastAsia="Arial" w:hAnsi="Arial"/>
                <w:sz w:val="11"/>
                <w:szCs w:val="11"/>
                <w:b w:val="1"/>
                <w:bCs w:val="1"/>
                <w:color w:val="auto"/>
                <w:w w:val="89"/>
              </w:rPr>
              <w:t>maximum</w:t>
            </w: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Amount of</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jc w:val="center"/>
              <w:ind w:left="997"/>
              <w:spacing w:after="0" w:line="109" w:lineRule="exact"/>
              <w:rPr>
                <w:sz w:val="20"/>
                <w:szCs w:val="20"/>
                <w:color w:val="auto"/>
              </w:rPr>
            </w:pPr>
            <w:r>
              <w:rPr>
                <w:rFonts w:ascii="Arial" w:cs="Arial" w:eastAsia="Arial" w:hAnsi="Arial"/>
                <w:sz w:val="11"/>
                <w:szCs w:val="11"/>
                <w:b w:val="1"/>
                <w:bCs w:val="1"/>
                <w:color w:val="auto"/>
                <w:w w:val="83"/>
              </w:rPr>
              <w:t>to be</w:t>
            </w:r>
          </w:p>
        </w:tc>
        <w:tc>
          <w:tcPr>
            <w:tcW w:w="980" w:type="dxa"/>
            <w:vAlign w:val="bottom"/>
            <w:gridSpan w:val="2"/>
          </w:tcPr>
          <w:p>
            <w:pPr>
              <w:spacing w:after="0"/>
              <w:rPr>
                <w:sz w:val="9"/>
                <w:szCs w:val="9"/>
                <w:color w:val="auto"/>
              </w:rPr>
            </w:pPr>
          </w:p>
        </w:tc>
        <w:tc>
          <w:tcPr>
            <w:tcW w:w="760" w:type="dxa"/>
            <w:vAlign w:val="bottom"/>
            <w:tcBorders>
              <w:right w:val="single" w:sz="8" w:color="auto"/>
            </w:tcBorders>
          </w:tcPr>
          <w:p>
            <w:pPr>
              <w:jc w:val="center"/>
              <w:ind w:left="38"/>
              <w:spacing w:after="0" w:line="109" w:lineRule="exact"/>
              <w:rPr>
                <w:sz w:val="20"/>
                <w:szCs w:val="20"/>
                <w:color w:val="auto"/>
              </w:rPr>
            </w:pPr>
            <w:r>
              <w:rPr>
                <w:rFonts w:ascii="Arial" w:cs="Arial" w:eastAsia="Arial" w:hAnsi="Arial"/>
                <w:sz w:val="11"/>
                <w:szCs w:val="11"/>
                <w:b w:val="1"/>
                <w:bCs w:val="1"/>
                <w:color w:val="auto"/>
                <w:w w:val="88"/>
              </w:rPr>
              <w:t>offering price</w:t>
            </w:r>
          </w:p>
        </w:tc>
        <w:tc>
          <w:tcPr>
            <w:tcW w:w="1760" w:type="dxa"/>
            <w:vAlign w:val="bottom"/>
            <w:tcBorders>
              <w:right w:val="single" w:sz="8" w:color="auto"/>
            </w:tcBorders>
          </w:tcPr>
          <w:p>
            <w:pPr>
              <w:jc w:val="center"/>
              <w:ind w:left="997"/>
              <w:spacing w:after="0" w:line="109" w:lineRule="exact"/>
              <w:rPr>
                <w:sz w:val="20"/>
                <w:szCs w:val="20"/>
                <w:color w:val="auto"/>
              </w:rPr>
            </w:pPr>
            <w:r>
              <w:rPr>
                <w:rFonts w:ascii="Arial" w:cs="Arial" w:eastAsia="Arial" w:hAnsi="Arial"/>
                <w:sz w:val="11"/>
                <w:szCs w:val="11"/>
                <w:b w:val="1"/>
                <w:bCs w:val="1"/>
                <w:color w:val="auto"/>
                <w:w w:val="87"/>
              </w:rPr>
              <w:t>aggregate</w:t>
            </w: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center"/>
              <w:ind w:right="479"/>
              <w:spacing w:after="0"/>
              <w:rPr>
                <w:sz w:val="20"/>
                <w:szCs w:val="20"/>
                <w:color w:val="auto"/>
              </w:rPr>
            </w:pPr>
            <w:r>
              <w:rPr>
                <w:rFonts w:ascii="Arial" w:cs="Arial" w:eastAsia="Arial" w:hAnsi="Arial"/>
                <w:sz w:val="11"/>
                <w:szCs w:val="11"/>
                <w:b w:val="1"/>
                <w:bCs w:val="1"/>
                <w:color w:val="auto"/>
                <w:w w:val="84"/>
              </w:rPr>
              <w:t>securities to be registered</w:t>
            </w: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jc w:val="center"/>
              <w:ind w:left="997"/>
              <w:spacing w:after="0"/>
              <w:rPr>
                <w:sz w:val="20"/>
                <w:szCs w:val="20"/>
                <w:color w:val="auto"/>
              </w:rPr>
            </w:pPr>
            <w:r>
              <w:rPr>
                <w:rFonts w:ascii="Arial" w:cs="Arial" w:eastAsia="Arial" w:hAnsi="Arial"/>
                <w:sz w:val="11"/>
                <w:szCs w:val="11"/>
                <w:b w:val="1"/>
                <w:bCs w:val="1"/>
                <w:color w:val="auto"/>
                <w:w w:val="86"/>
              </w:rPr>
              <w:t>registered</w:t>
            </w:r>
          </w:p>
        </w:tc>
        <w:tc>
          <w:tcPr>
            <w:tcW w:w="980" w:type="dxa"/>
            <w:vAlign w:val="bottom"/>
            <w:tcBorders>
              <w:bottom w:val="single" w:sz="8" w:color="auto"/>
            </w:tcBorders>
            <w:gridSpan w:val="2"/>
          </w:tcPr>
          <w:p>
            <w:pPr>
              <w:spacing w:after="0"/>
              <w:rPr>
                <w:sz w:val="12"/>
                <w:szCs w:val="12"/>
                <w:color w:val="auto"/>
              </w:rPr>
            </w:pPr>
          </w:p>
        </w:tc>
        <w:tc>
          <w:tcPr>
            <w:tcW w:w="760" w:type="dxa"/>
            <w:vAlign w:val="bottom"/>
            <w:tcBorders>
              <w:bottom w:val="single" w:sz="8" w:color="auto"/>
              <w:right w:val="single" w:sz="8" w:color="auto"/>
            </w:tcBorders>
          </w:tcPr>
          <w:p>
            <w:pPr>
              <w:jc w:val="center"/>
              <w:ind w:left="38"/>
              <w:spacing w:after="0"/>
              <w:rPr>
                <w:sz w:val="20"/>
                <w:szCs w:val="20"/>
                <w:color w:val="auto"/>
              </w:rPr>
            </w:pPr>
            <w:r>
              <w:rPr>
                <w:rFonts w:ascii="Arial" w:cs="Arial" w:eastAsia="Arial" w:hAnsi="Arial"/>
                <w:sz w:val="11"/>
                <w:szCs w:val="11"/>
                <w:b w:val="1"/>
                <w:bCs w:val="1"/>
                <w:color w:val="auto"/>
                <w:w w:val="94"/>
              </w:rPr>
              <w:t>per unit</w:t>
            </w:r>
          </w:p>
        </w:tc>
        <w:tc>
          <w:tcPr>
            <w:tcW w:w="1760" w:type="dxa"/>
            <w:vAlign w:val="bottom"/>
            <w:tcBorders>
              <w:bottom w:val="single" w:sz="8" w:color="auto"/>
              <w:right w:val="single" w:sz="8" w:color="auto"/>
            </w:tcBorders>
          </w:tcPr>
          <w:p>
            <w:pPr>
              <w:jc w:val="center"/>
              <w:ind w:left="997"/>
              <w:spacing w:after="0"/>
              <w:rPr>
                <w:sz w:val="20"/>
                <w:szCs w:val="20"/>
                <w:color w:val="auto"/>
              </w:rPr>
            </w:pPr>
            <w:r>
              <w:rPr>
                <w:rFonts w:ascii="Arial" w:cs="Arial" w:eastAsia="Arial" w:hAnsi="Arial"/>
                <w:sz w:val="11"/>
                <w:szCs w:val="11"/>
                <w:b w:val="1"/>
                <w:bCs w:val="1"/>
                <w:color w:val="auto"/>
                <w:w w:val="88"/>
              </w:rPr>
              <w:t>offering price</w:t>
            </w: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left="226"/>
              <w:spacing w:after="0"/>
              <w:rPr>
                <w:sz w:val="20"/>
                <w:szCs w:val="20"/>
                <w:color w:val="auto"/>
              </w:rPr>
            </w:pPr>
            <w:r>
              <w:rPr>
                <w:rFonts w:ascii="Arial" w:cs="Arial" w:eastAsia="Arial" w:hAnsi="Arial"/>
                <w:sz w:val="11"/>
                <w:szCs w:val="11"/>
                <w:b w:val="1"/>
                <w:bCs w:val="1"/>
                <w:color w:val="auto"/>
                <w:w w:val="88"/>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6.375% Senior Notes due 2020</w:t>
            </w:r>
          </w:p>
        </w:tc>
        <w:tc>
          <w:tcPr>
            <w:tcW w:w="940" w:type="dxa"/>
            <w:vAlign w:val="bottom"/>
            <w:tcBorders>
              <w:bottom w:val="single" w:sz="8" w:color="auto"/>
              <w:right w:val="single" w:sz="8" w:color="auto"/>
            </w:tcBorders>
            <w:gridSpan w:val="2"/>
          </w:tcPr>
          <w:p>
            <w:pPr>
              <w:spacing w:after="0"/>
              <w:rPr>
                <w:sz w:val="12"/>
                <w:szCs w:val="12"/>
                <w:color w:val="auto"/>
              </w:rPr>
            </w:pPr>
          </w:p>
        </w:tc>
        <w:tc>
          <w:tcPr>
            <w:tcW w:w="1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2"/>
                <w:szCs w:val="12"/>
                <w:color w:val="auto"/>
              </w:rPr>
              <w:t>(1)</w:t>
            </w: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2"/>
                <w:szCs w:val="12"/>
                <w:color w:val="auto"/>
              </w:rPr>
              <w:t>(1)</w:t>
            </w:r>
          </w:p>
        </w:tc>
        <w:tc>
          <w:tcPr>
            <w:tcW w:w="176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2"/>
                <w:szCs w:val="12"/>
                <w:color w:val="auto"/>
              </w:rPr>
              <w:t>(1)</w:t>
            </w: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Guarantees of 6.375% Senior Notes due 2020</w:t>
            </w: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jc w:val="center"/>
              <w:ind w:left="1017"/>
              <w:spacing w:after="0" w:line="142" w:lineRule="exact"/>
              <w:rPr>
                <w:sz w:val="20"/>
                <w:szCs w:val="20"/>
                <w:color w:val="auto"/>
              </w:rPr>
            </w:pPr>
            <w:r>
              <w:rPr>
                <w:rFonts w:ascii="Arial" w:cs="Arial" w:eastAsia="Arial" w:hAnsi="Arial"/>
                <w:sz w:val="14"/>
                <w:szCs w:val="14"/>
                <w:color w:val="auto"/>
              </w:rPr>
              <w:t>N/A</w:t>
            </w:r>
          </w:p>
        </w:tc>
        <w:tc>
          <w:tcPr>
            <w:tcW w:w="980" w:type="dxa"/>
            <w:vAlign w:val="bottom"/>
            <w:tcBorders>
              <w:bottom w:val="single" w:sz="8" w:color="auto"/>
            </w:tcBorders>
            <w:gridSpan w:val="2"/>
          </w:tcPr>
          <w:p>
            <w:pPr>
              <w:spacing w:after="0"/>
              <w:rPr>
                <w:sz w:val="12"/>
                <w:szCs w:val="12"/>
                <w:color w:val="auto"/>
              </w:rPr>
            </w:pPr>
          </w:p>
        </w:tc>
        <w:tc>
          <w:tcPr>
            <w:tcW w:w="760" w:type="dxa"/>
            <w:vAlign w:val="bottom"/>
            <w:tcBorders>
              <w:bottom w:val="single" w:sz="8" w:color="auto"/>
              <w:right w:val="single" w:sz="8" w:color="auto"/>
            </w:tcBorders>
          </w:tcPr>
          <w:p>
            <w:pPr>
              <w:jc w:val="center"/>
              <w:ind w:left="38"/>
              <w:spacing w:after="0" w:line="142"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auto"/>
              <w:right w:val="single" w:sz="8" w:color="auto"/>
            </w:tcBorders>
          </w:tcPr>
          <w:p>
            <w:pPr>
              <w:jc w:val="center"/>
              <w:ind w:left="997"/>
              <w:spacing w:after="0" w:line="142" w:lineRule="exact"/>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N/A</w:t>
            </w:r>
            <w:r>
              <w:rPr>
                <w:rFonts w:ascii="Arial" w:cs="Arial" w:eastAsia="Arial" w:hAnsi="Arial"/>
                <w:sz w:val="12"/>
                <w:szCs w:val="12"/>
                <w:color w:val="auto"/>
                <w:w w:val="99"/>
              </w:rPr>
              <w:t>(2)</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6.625% Senior Notes due 2022</w:t>
            </w:r>
          </w:p>
        </w:tc>
        <w:tc>
          <w:tcPr>
            <w:tcW w:w="940" w:type="dxa"/>
            <w:vAlign w:val="bottom"/>
            <w:tcBorders>
              <w:bottom w:val="single" w:sz="8" w:color="auto"/>
              <w:right w:val="single" w:sz="8" w:color="auto"/>
            </w:tcBorders>
            <w:gridSpan w:val="2"/>
          </w:tcPr>
          <w:p>
            <w:pPr>
              <w:spacing w:after="0"/>
              <w:rPr>
                <w:sz w:val="12"/>
                <w:szCs w:val="12"/>
                <w:color w:val="auto"/>
              </w:rPr>
            </w:pPr>
          </w:p>
        </w:tc>
        <w:tc>
          <w:tcPr>
            <w:tcW w:w="1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2"/>
                <w:szCs w:val="12"/>
                <w:color w:val="auto"/>
              </w:rPr>
              <w:t>(1)</w:t>
            </w: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2"/>
                <w:szCs w:val="12"/>
                <w:color w:val="auto"/>
              </w:rPr>
              <w:t>(1)</w:t>
            </w:r>
          </w:p>
        </w:tc>
        <w:tc>
          <w:tcPr>
            <w:tcW w:w="176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2"/>
                <w:szCs w:val="12"/>
                <w:color w:val="auto"/>
              </w:rPr>
              <w:t>(1)</w:t>
            </w: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Guarantees of 6.625% Senior Notes due 2022</w:t>
            </w: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jc w:val="center"/>
              <w:ind w:left="1017"/>
              <w:spacing w:after="0" w:line="142" w:lineRule="exact"/>
              <w:rPr>
                <w:sz w:val="20"/>
                <w:szCs w:val="20"/>
                <w:color w:val="auto"/>
              </w:rPr>
            </w:pPr>
            <w:r>
              <w:rPr>
                <w:rFonts w:ascii="Arial" w:cs="Arial" w:eastAsia="Arial" w:hAnsi="Arial"/>
                <w:sz w:val="14"/>
                <w:szCs w:val="14"/>
                <w:color w:val="auto"/>
              </w:rPr>
              <w:t>N/A</w:t>
            </w:r>
          </w:p>
        </w:tc>
        <w:tc>
          <w:tcPr>
            <w:tcW w:w="980" w:type="dxa"/>
            <w:vAlign w:val="bottom"/>
            <w:tcBorders>
              <w:bottom w:val="single" w:sz="8" w:color="auto"/>
            </w:tcBorders>
            <w:gridSpan w:val="2"/>
          </w:tcPr>
          <w:p>
            <w:pPr>
              <w:spacing w:after="0"/>
              <w:rPr>
                <w:sz w:val="12"/>
                <w:szCs w:val="12"/>
                <w:color w:val="auto"/>
              </w:rPr>
            </w:pPr>
          </w:p>
        </w:tc>
        <w:tc>
          <w:tcPr>
            <w:tcW w:w="760" w:type="dxa"/>
            <w:vAlign w:val="bottom"/>
            <w:tcBorders>
              <w:bottom w:val="single" w:sz="8" w:color="auto"/>
              <w:right w:val="single" w:sz="8" w:color="auto"/>
            </w:tcBorders>
          </w:tcPr>
          <w:p>
            <w:pPr>
              <w:jc w:val="center"/>
              <w:ind w:left="38"/>
              <w:spacing w:after="0" w:line="142"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auto"/>
              <w:right w:val="single" w:sz="8" w:color="auto"/>
            </w:tcBorders>
          </w:tcPr>
          <w:p>
            <w:pPr>
              <w:jc w:val="center"/>
              <w:ind w:left="997"/>
              <w:spacing w:after="0" w:line="142" w:lineRule="exact"/>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N/A</w:t>
            </w:r>
            <w:r>
              <w:rPr>
                <w:rFonts w:ascii="Arial" w:cs="Arial" w:eastAsia="Arial" w:hAnsi="Arial"/>
                <w:sz w:val="12"/>
                <w:szCs w:val="12"/>
                <w:color w:val="auto"/>
                <w:w w:val="99"/>
              </w:rPr>
              <w:t>(2)</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6.125% Senior Notes due 2024</w:t>
            </w:r>
          </w:p>
        </w:tc>
        <w:tc>
          <w:tcPr>
            <w:tcW w:w="940" w:type="dxa"/>
            <w:vAlign w:val="bottom"/>
            <w:tcBorders>
              <w:bottom w:val="single" w:sz="8" w:color="auto"/>
              <w:right w:val="single" w:sz="8" w:color="auto"/>
            </w:tcBorders>
            <w:gridSpan w:val="2"/>
          </w:tcPr>
          <w:p>
            <w:pPr>
              <w:spacing w:after="0"/>
              <w:rPr>
                <w:sz w:val="12"/>
                <w:szCs w:val="12"/>
                <w:color w:val="auto"/>
              </w:rPr>
            </w:pPr>
          </w:p>
        </w:tc>
        <w:tc>
          <w:tcPr>
            <w:tcW w:w="1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2"/>
                <w:szCs w:val="12"/>
                <w:color w:val="auto"/>
              </w:rPr>
              <w:t>(1)</w:t>
            </w: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2"/>
                <w:szCs w:val="12"/>
                <w:color w:val="auto"/>
              </w:rPr>
              <w:t>(1)</w:t>
            </w:r>
          </w:p>
        </w:tc>
        <w:tc>
          <w:tcPr>
            <w:tcW w:w="176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2"/>
                <w:szCs w:val="12"/>
                <w:color w:val="auto"/>
              </w:rPr>
              <w:t>(1)</w:t>
            </w: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Guarantees of 6.125% Senior Notes due 2024</w:t>
            </w: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jc w:val="center"/>
              <w:ind w:left="1017"/>
              <w:spacing w:after="0" w:line="142" w:lineRule="exact"/>
              <w:rPr>
                <w:sz w:val="20"/>
                <w:szCs w:val="20"/>
                <w:color w:val="auto"/>
              </w:rPr>
            </w:pPr>
            <w:r>
              <w:rPr>
                <w:rFonts w:ascii="Arial" w:cs="Arial" w:eastAsia="Arial" w:hAnsi="Arial"/>
                <w:sz w:val="14"/>
                <w:szCs w:val="14"/>
                <w:color w:val="auto"/>
              </w:rPr>
              <w:t>N/A</w:t>
            </w:r>
          </w:p>
        </w:tc>
        <w:tc>
          <w:tcPr>
            <w:tcW w:w="980" w:type="dxa"/>
            <w:vAlign w:val="bottom"/>
            <w:tcBorders>
              <w:bottom w:val="single" w:sz="8" w:color="auto"/>
            </w:tcBorders>
            <w:gridSpan w:val="2"/>
          </w:tcPr>
          <w:p>
            <w:pPr>
              <w:spacing w:after="0"/>
              <w:rPr>
                <w:sz w:val="12"/>
                <w:szCs w:val="12"/>
                <w:color w:val="auto"/>
              </w:rPr>
            </w:pPr>
          </w:p>
        </w:tc>
        <w:tc>
          <w:tcPr>
            <w:tcW w:w="760" w:type="dxa"/>
            <w:vAlign w:val="bottom"/>
            <w:tcBorders>
              <w:bottom w:val="single" w:sz="8" w:color="auto"/>
              <w:right w:val="single" w:sz="8" w:color="auto"/>
            </w:tcBorders>
          </w:tcPr>
          <w:p>
            <w:pPr>
              <w:jc w:val="center"/>
              <w:ind w:left="38"/>
              <w:spacing w:after="0" w:line="142"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auto"/>
              <w:right w:val="single" w:sz="8" w:color="auto"/>
            </w:tcBorders>
          </w:tcPr>
          <w:p>
            <w:pPr>
              <w:jc w:val="center"/>
              <w:ind w:left="997"/>
              <w:spacing w:after="0" w:line="142" w:lineRule="exact"/>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N/A</w:t>
            </w:r>
            <w:r>
              <w:rPr>
                <w:rFonts w:ascii="Arial" w:cs="Arial" w:eastAsia="Arial" w:hAnsi="Arial"/>
                <w:sz w:val="12"/>
                <w:szCs w:val="12"/>
                <w:color w:val="auto"/>
                <w:w w:val="99"/>
              </w:rPr>
              <w:t>(2)</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5.750% Senior Notes due 2025</w:t>
            </w:r>
          </w:p>
        </w:tc>
        <w:tc>
          <w:tcPr>
            <w:tcW w:w="940" w:type="dxa"/>
            <w:vAlign w:val="bottom"/>
            <w:tcBorders>
              <w:bottom w:val="single" w:sz="8" w:color="auto"/>
              <w:right w:val="single" w:sz="8" w:color="auto"/>
            </w:tcBorders>
            <w:gridSpan w:val="2"/>
          </w:tcPr>
          <w:p>
            <w:pPr>
              <w:spacing w:after="0"/>
              <w:rPr>
                <w:sz w:val="12"/>
                <w:szCs w:val="12"/>
                <w:color w:val="auto"/>
              </w:rPr>
            </w:pPr>
          </w:p>
        </w:tc>
        <w:tc>
          <w:tcPr>
            <w:tcW w:w="1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2"/>
                <w:szCs w:val="12"/>
                <w:color w:val="auto"/>
              </w:rPr>
              <w:t>(1)</w:t>
            </w: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2"/>
                <w:szCs w:val="12"/>
                <w:color w:val="auto"/>
              </w:rPr>
              <w:t>(1)</w:t>
            </w:r>
          </w:p>
        </w:tc>
        <w:tc>
          <w:tcPr>
            <w:tcW w:w="176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2"/>
                <w:szCs w:val="12"/>
                <w:color w:val="auto"/>
              </w:rPr>
              <w:t>(1)</w:t>
            </w: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Guarantees of 5.750% Senior Notes due 2025</w:t>
            </w: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jc w:val="center"/>
              <w:ind w:left="1017"/>
              <w:spacing w:after="0" w:line="142" w:lineRule="exact"/>
              <w:rPr>
                <w:sz w:val="20"/>
                <w:szCs w:val="20"/>
                <w:color w:val="auto"/>
              </w:rPr>
            </w:pPr>
            <w:r>
              <w:rPr>
                <w:rFonts w:ascii="Arial" w:cs="Arial" w:eastAsia="Arial" w:hAnsi="Arial"/>
                <w:sz w:val="14"/>
                <w:szCs w:val="14"/>
                <w:color w:val="auto"/>
              </w:rPr>
              <w:t>N/A</w:t>
            </w:r>
          </w:p>
        </w:tc>
        <w:tc>
          <w:tcPr>
            <w:tcW w:w="980" w:type="dxa"/>
            <w:vAlign w:val="bottom"/>
            <w:tcBorders>
              <w:bottom w:val="single" w:sz="8" w:color="auto"/>
            </w:tcBorders>
            <w:gridSpan w:val="2"/>
          </w:tcPr>
          <w:p>
            <w:pPr>
              <w:spacing w:after="0"/>
              <w:rPr>
                <w:sz w:val="12"/>
                <w:szCs w:val="12"/>
                <w:color w:val="auto"/>
              </w:rPr>
            </w:pPr>
          </w:p>
        </w:tc>
        <w:tc>
          <w:tcPr>
            <w:tcW w:w="760" w:type="dxa"/>
            <w:vAlign w:val="bottom"/>
            <w:tcBorders>
              <w:bottom w:val="single" w:sz="8" w:color="auto"/>
              <w:right w:val="single" w:sz="8" w:color="auto"/>
            </w:tcBorders>
          </w:tcPr>
          <w:p>
            <w:pPr>
              <w:jc w:val="center"/>
              <w:ind w:left="38"/>
              <w:spacing w:after="0" w:line="142"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auto"/>
              <w:right w:val="single" w:sz="8" w:color="auto"/>
            </w:tcBorders>
          </w:tcPr>
          <w:p>
            <w:pPr>
              <w:jc w:val="center"/>
              <w:ind w:left="997"/>
              <w:spacing w:after="0" w:line="142" w:lineRule="exact"/>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N/A</w:t>
            </w:r>
            <w:r>
              <w:rPr>
                <w:rFonts w:ascii="Arial" w:cs="Arial" w:eastAsia="Arial" w:hAnsi="Arial"/>
                <w:sz w:val="12"/>
                <w:szCs w:val="12"/>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340" w:right="120" w:hanging="332"/>
        <w:spacing w:after="0" w:line="230" w:lineRule="auto"/>
        <w:tabs>
          <w:tab w:leader="none" w:pos="340" w:val="left"/>
        </w:tabs>
        <w:numPr>
          <w:ilvl w:val="0"/>
          <w:numId w:val="1"/>
        </w:numPr>
        <w:rPr>
          <w:rFonts w:ascii="Arial" w:cs="Arial" w:eastAsia="Arial" w:hAnsi="Arial"/>
          <w:sz w:val="11"/>
          <w:szCs w:val="11"/>
          <w:color w:val="auto"/>
        </w:rPr>
      </w:pPr>
      <w:r>
        <w:rPr>
          <w:rFonts w:ascii="Arial" w:cs="Arial" w:eastAsia="Arial" w:hAnsi="Arial"/>
          <w:sz w:val="14"/>
          <w:szCs w:val="14"/>
          <w:color w:val="auto"/>
        </w:rPr>
        <w:t>An indeterminate amount of securities are being registered hereby to be offered solely for market-making purposes by affiliates of the registrant. Pursuant to Rule 457(q) under the Securities Act of 1933, as amended, no filing fee is required.</w:t>
      </w:r>
    </w:p>
    <w:p>
      <w:pPr>
        <w:ind w:left="340" w:hanging="332"/>
        <w:spacing w:after="0"/>
        <w:tabs>
          <w:tab w:leader="none" w:pos="340" w:val="left"/>
        </w:tabs>
        <w:numPr>
          <w:ilvl w:val="0"/>
          <w:numId w:val="1"/>
        </w:numPr>
        <w:rPr>
          <w:rFonts w:ascii="Arial" w:cs="Arial" w:eastAsia="Arial" w:hAnsi="Arial"/>
          <w:sz w:val="11"/>
          <w:szCs w:val="11"/>
          <w:color w:val="auto"/>
        </w:rPr>
      </w:pPr>
      <w:r>
        <w:rPr>
          <w:rFonts w:ascii="Arial" w:cs="Arial" w:eastAsia="Arial" w:hAnsi="Arial"/>
          <w:sz w:val="12"/>
          <w:szCs w:val="12"/>
          <w:color w:val="auto"/>
        </w:rPr>
        <w:t>No additional consideration is being received for the guarantees. Pursuant to Rule 457(n) under the Securities Act of 1933, as amended, no separate fee is required in respect of such guarantees.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ind w:right="32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SCHEDULE 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97"/>
              </w:rPr>
              <w:t>Primary</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1220" w:type="dxa"/>
            <w:vAlign w:val="bottom"/>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89"/>
              </w:rPr>
              <w:t>State or Other</w:t>
            </w:r>
          </w:p>
        </w:tc>
        <w:tc>
          <w:tcPr>
            <w:tcW w:w="1200" w:type="dxa"/>
            <w:vAlign w:val="bottom"/>
            <w:gridSpan w:val="2"/>
          </w:tcPr>
          <w:p>
            <w:pPr>
              <w:jc w:val="center"/>
              <w:ind w:right="520"/>
              <w:spacing w:after="0" w:line="122" w:lineRule="exact"/>
              <w:rPr>
                <w:sz w:val="20"/>
                <w:szCs w:val="20"/>
                <w:color w:val="auto"/>
              </w:rPr>
            </w:pPr>
            <w:r>
              <w:rPr>
                <w:rFonts w:ascii="Arial" w:cs="Arial" w:eastAsia="Arial" w:hAnsi="Arial"/>
                <w:sz w:val="11"/>
                <w:szCs w:val="11"/>
                <w:b w:val="1"/>
                <w:bCs w:val="1"/>
                <w:color w:val="auto"/>
                <w:w w:val="92"/>
              </w:rPr>
              <w:t>Standard</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1220" w:type="dxa"/>
            <w:vAlign w:val="bottom"/>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87"/>
              </w:rPr>
              <w:t>Jurisdiction of</w:t>
            </w:r>
          </w:p>
        </w:tc>
        <w:tc>
          <w:tcPr>
            <w:tcW w:w="1200" w:type="dxa"/>
            <w:vAlign w:val="bottom"/>
            <w:gridSpan w:val="2"/>
          </w:tcPr>
          <w:p>
            <w:pPr>
              <w:jc w:val="center"/>
              <w:ind w:right="540"/>
              <w:spacing w:after="0" w:line="122" w:lineRule="exact"/>
              <w:rPr>
                <w:sz w:val="20"/>
                <w:szCs w:val="20"/>
                <w:color w:val="auto"/>
              </w:rPr>
            </w:pPr>
            <w:r>
              <w:rPr>
                <w:rFonts w:ascii="Arial" w:cs="Arial" w:eastAsia="Arial" w:hAnsi="Arial"/>
                <w:sz w:val="11"/>
                <w:szCs w:val="11"/>
                <w:b w:val="1"/>
                <w:bCs w:val="1"/>
                <w:color w:val="auto"/>
                <w:w w:val="92"/>
              </w:rPr>
              <w:t>Industrial</w:t>
            </w:r>
          </w:p>
        </w:tc>
        <w:tc>
          <w:tcPr>
            <w:tcW w:w="94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89"/>
              </w:rPr>
              <w:t>I.R.S. Employer</w:t>
            </w:r>
          </w:p>
        </w:tc>
        <w:tc>
          <w:tcPr>
            <w:tcW w:w="0" w:type="dxa"/>
            <w:vAlign w:val="bottom"/>
          </w:tcPr>
          <w:p>
            <w:pPr>
              <w:spacing w:after="0"/>
              <w:rPr>
                <w:sz w:val="1"/>
                <w:szCs w:val="1"/>
                <w:color w:val="auto"/>
              </w:rPr>
            </w:pPr>
          </w:p>
        </w:tc>
      </w:tr>
      <w:tr>
        <w:trPr>
          <w:trHeight w:val="122"/>
        </w:trPr>
        <w:tc>
          <w:tcPr>
            <w:tcW w:w="80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220" w:type="dxa"/>
            <w:vAlign w:val="bottom"/>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91"/>
              </w:rPr>
              <w:t>Incorporation or</w:t>
            </w:r>
          </w:p>
        </w:tc>
        <w:tc>
          <w:tcPr>
            <w:tcW w:w="1200" w:type="dxa"/>
            <w:vAlign w:val="bottom"/>
            <w:gridSpan w:val="2"/>
          </w:tcPr>
          <w:p>
            <w:pPr>
              <w:jc w:val="center"/>
              <w:ind w:right="540"/>
              <w:spacing w:after="0" w:line="122" w:lineRule="exact"/>
              <w:rPr>
                <w:sz w:val="20"/>
                <w:szCs w:val="20"/>
                <w:color w:val="auto"/>
              </w:rPr>
            </w:pPr>
            <w:r>
              <w:rPr>
                <w:rFonts w:ascii="Arial" w:cs="Arial" w:eastAsia="Arial" w:hAnsi="Arial"/>
                <w:sz w:val="11"/>
                <w:szCs w:val="11"/>
                <w:b w:val="1"/>
                <w:bCs w:val="1"/>
                <w:color w:val="auto"/>
                <w:w w:val="86"/>
              </w:rPr>
              <w:t>Classification</w:t>
            </w:r>
          </w:p>
        </w:tc>
        <w:tc>
          <w:tcPr>
            <w:tcW w:w="9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Identification</w:t>
            </w:r>
          </w:p>
        </w:tc>
        <w:tc>
          <w:tcPr>
            <w:tcW w:w="0" w:type="dxa"/>
            <w:vAlign w:val="bottom"/>
          </w:tcPr>
          <w:p>
            <w:pPr>
              <w:spacing w:after="0"/>
              <w:rPr>
                <w:sz w:val="1"/>
                <w:szCs w:val="1"/>
                <w:color w:val="auto"/>
              </w:rPr>
            </w:pPr>
          </w:p>
        </w:tc>
      </w:tr>
      <w:tr>
        <w:trPr>
          <w:trHeight w:val="135"/>
        </w:trPr>
        <w:tc>
          <w:tcPr>
            <w:tcW w:w="8060" w:type="dxa"/>
            <w:vAlign w:val="bottom"/>
            <w:gridSpan w:val="2"/>
            <w:vMerge w:val="continue"/>
          </w:tcPr>
          <w:p>
            <w:pPr>
              <w:spacing w:after="0"/>
              <w:rPr>
                <w:sz w:val="11"/>
                <w:szCs w:val="11"/>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2"/>
              </w:rPr>
              <w:t>Organization</w:t>
            </w:r>
          </w:p>
        </w:tc>
        <w:tc>
          <w:tcPr>
            <w:tcW w:w="120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88"/>
              </w:rPr>
              <w:t>Code Number</w:t>
            </w: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Number</w:t>
            </w:r>
          </w:p>
        </w:tc>
        <w:tc>
          <w:tcPr>
            <w:tcW w:w="0" w:type="dxa"/>
            <w:vAlign w:val="bottom"/>
          </w:tcPr>
          <w:p>
            <w:pPr>
              <w:spacing w:after="0"/>
              <w:rPr>
                <w:sz w:val="1"/>
                <w:szCs w:val="1"/>
                <w:color w:val="auto"/>
              </w:rPr>
            </w:pPr>
          </w:p>
        </w:tc>
      </w:tr>
      <w:tr>
        <w:trPr>
          <w:trHeight w:val="142"/>
        </w:trPr>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AA</w:t>
            </w:r>
          </w:p>
        </w:tc>
        <w:tc>
          <w:tcPr>
            <w:tcW w:w="7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Group (U.S.)—A LLC</w:t>
            </w: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Delaware</w:t>
            </w:r>
          </w:p>
        </w:tc>
        <w:tc>
          <w:tcPr>
            <w:tcW w:w="4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w w:val="83"/>
              </w:rPr>
              <w:t>3690</w:t>
            </w:r>
          </w:p>
        </w:tc>
        <w:tc>
          <w:tcPr>
            <w:tcW w:w="5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45-4070567</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AA Group (U.S.)—B LLC</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45-4070646</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Applica Mexico Holdings, Inc.</w:t>
            </w:r>
          </w:p>
        </w:tc>
        <w:tc>
          <w:tcPr>
            <w:tcW w:w="12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74-3100872</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Armored AutoGroup Inc.</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27-3620112</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Armored AutoGroup Sales Inc.</w:t>
            </w:r>
          </w:p>
        </w:tc>
        <w:tc>
          <w:tcPr>
            <w:tcW w:w="12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27-5136040</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National Manufacturing Mexico A LLC</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National Manufacturing Mexico B LLC</w:t>
            </w:r>
          </w:p>
        </w:tc>
        <w:tc>
          <w:tcPr>
            <w:tcW w:w="12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National Openings, LLC</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Pennsylvania</w:t>
            </w: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46-2516338</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ROV Holding, Inc.</w:t>
            </w:r>
          </w:p>
        </w:tc>
        <w:tc>
          <w:tcPr>
            <w:tcW w:w="12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22-2423555</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ROV International Holdings LLC</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Salix Animal Health, LLC</w:t>
            </w:r>
          </w:p>
        </w:tc>
        <w:tc>
          <w:tcPr>
            <w:tcW w:w="12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8"/>
              </w:rPr>
              <w:t>Florida</w:t>
            </w: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65-0965477</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SB/RH Holdings, LLC</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27-2812840</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Schultz Company</w:t>
            </w:r>
          </w:p>
        </w:tc>
        <w:tc>
          <w:tcPr>
            <w:tcW w:w="12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5"/>
              </w:rPr>
              <w:t>Missouri</w:t>
            </w: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43-0625762</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STP Products Manufacturing Company</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06-1408442</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Armor All/STP Products Company</w:t>
            </w:r>
          </w:p>
        </w:tc>
        <w:tc>
          <w:tcPr>
            <w:tcW w:w="12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1"/>
              </w:rPr>
              <w:t>Delaware</w:t>
            </w:r>
          </w:p>
        </w:tc>
        <w:tc>
          <w:tcPr>
            <w:tcW w:w="12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3690</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36-2999270</w:t>
            </w:r>
          </w:p>
        </w:tc>
        <w:tc>
          <w:tcPr>
            <w:tcW w:w="0" w:type="dxa"/>
            <w:vAlign w:val="bottom"/>
          </w:tcPr>
          <w:p>
            <w:pPr>
              <w:spacing w:after="0"/>
              <w:rPr>
                <w:sz w:val="1"/>
                <w:szCs w:val="1"/>
                <w:color w:val="auto"/>
              </w:rPr>
            </w:pPr>
          </w:p>
        </w:tc>
      </w:tr>
      <w:tr>
        <w:trPr>
          <w:trHeight w:val="182"/>
        </w:trPr>
        <w:tc>
          <w:tcPr>
            <w:tcW w:w="8060" w:type="dxa"/>
            <w:vAlign w:val="bottom"/>
            <w:gridSpan w:val="2"/>
          </w:tcPr>
          <w:p>
            <w:pPr>
              <w:spacing w:after="0"/>
              <w:rPr>
                <w:sz w:val="20"/>
                <w:szCs w:val="20"/>
                <w:color w:val="auto"/>
              </w:rPr>
            </w:pPr>
            <w:r>
              <w:rPr>
                <w:rFonts w:ascii="Arial" w:cs="Arial" w:eastAsia="Arial" w:hAnsi="Arial"/>
                <w:sz w:val="14"/>
                <w:szCs w:val="14"/>
                <w:color w:val="auto"/>
              </w:rPr>
              <w:t>United Industries Corporation</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Delaware</w:t>
            </w:r>
          </w:p>
        </w:tc>
        <w:tc>
          <w:tcPr>
            <w:tcW w:w="1200" w:type="dxa"/>
            <w:vAlign w:val="bottom"/>
            <w:gridSpan w:val="2"/>
          </w:tcPr>
          <w:p>
            <w:pPr>
              <w:ind w:left="380"/>
              <w:spacing w:after="0"/>
              <w:rPr>
                <w:sz w:val="20"/>
                <w:szCs w:val="20"/>
                <w:color w:val="auto"/>
              </w:rPr>
            </w:pPr>
            <w:r>
              <w:rPr>
                <w:rFonts w:ascii="Arial" w:cs="Arial" w:eastAsia="Arial" w:hAnsi="Arial"/>
                <w:sz w:val="14"/>
                <w:szCs w:val="14"/>
                <w:color w:val="auto"/>
              </w:rPr>
              <w:t>3690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43-1025604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5" w:lineRule="exact"/>
        <w:rPr>
          <w:sz w:val="20"/>
          <w:szCs w:val="20"/>
          <w:color w:val="auto"/>
        </w:rPr>
      </w:pPr>
    </w:p>
    <w:p>
      <w:pPr>
        <w:ind w:right="2160" w:firstLine="8"/>
        <w:spacing w:after="0" w:line="239" w:lineRule="auto"/>
        <w:tabs>
          <w:tab w:leader="none" w:pos="338"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address of each additional registrant’s principal executive office is c/o Spectrum Brands, Inc., 3001 Deming Way, Middleton, Wisconsin 53562, (608) 275-3340. ** Single member LLC disregarded for U.S.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January 15, 2016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175260</wp:posOffset>
            </wp:positionV>
            <wp:extent cx="2058035"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Spectrum Brands, Inc.</w:t>
      </w:r>
    </w:p>
    <w:p>
      <w:pPr>
        <w:spacing w:after="0" w:line="323"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auto"/>
        </w:rPr>
        <w:t>6.375% Senior Notes due 2020 and Related Guarantees</w:t>
      </w:r>
    </w:p>
    <w:p>
      <w:pPr>
        <w:spacing w:after="0" w:line="77"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auto"/>
        </w:rPr>
        <w:t>6.625% Senior Notes due 2022 and Related Guarantees</w:t>
      </w:r>
    </w:p>
    <w:p>
      <w:pPr>
        <w:spacing w:after="0" w:line="77"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auto"/>
        </w:rPr>
        <w:t>6.125% Senior Notes due 2024 and Related Guarantees</w:t>
      </w:r>
    </w:p>
    <w:p>
      <w:pPr>
        <w:spacing w:after="0" w:line="91"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auto"/>
        </w:rPr>
        <w:t>5.750% Senior Notes due 2025 and Related Guarantees</w:t>
      </w:r>
    </w:p>
    <w:p>
      <w:pPr>
        <w:spacing w:after="0" w:line="122" w:lineRule="exact"/>
        <w:rPr>
          <w:sz w:val="20"/>
          <w:szCs w:val="20"/>
          <w:color w:val="auto"/>
        </w:rPr>
      </w:pPr>
    </w:p>
    <w:p>
      <w:pPr>
        <w:ind w:firstLine="342"/>
        <w:spacing w:after="0" w:line="249" w:lineRule="auto"/>
        <w:rPr>
          <w:sz w:val="20"/>
          <w:szCs w:val="20"/>
          <w:color w:val="auto"/>
        </w:rPr>
      </w:pPr>
      <w:r>
        <w:rPr>
          <w:rFonts w:ascii="Arial" w:cs="Arial" w:eastAsia="Arial" w:hAnsi="Arial"/>
          <w:sz w:val="13"/>
          <w:szCs w:val="13"/>
          <w:color w:val="auto"/>
        </w:rPr>
        <w:t>This prospectus may be used by our affiliate, Jefferies LLC or any of its affiliates (which we collectively refer to as “Jefferies”) in connection with offers and sales by Jefferies of our notes (as defined below) in market-making transactions effected from time to time. Market-making transactions in the notes may occur in the open market or may be privately negotiated at prevailing market prices at a time of resale or at related or negotiated prices. In these transactions, Jefferies may act as principal or agent, including as agent for the counterparty in a transaction in which Jefferies acts as principal, or as agent for both counterparties in a transaction in which Jefferies does not act as a principal. Jefferies may receive compensation in the form of discounts and commissions, including from both counterparties in some cases. We will not receive any proceeds from these market-making transactions. Neither Jefferies, nor any of our affiliates, has any obligation to make a market in the notes, and Jefferies or any such other affiliate may discontinue market-making activities at any time without notice.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Notes and the Guarantees</w:t>
      </w:r>
    </w:p>
    <w:p>
      <w:pPr>
        <w:spacing w:after="0" w:line="113" w:lineRule="exact"/>
        <w:rPr>
          <w:sz w:val="20"/>
          <w:szCs w:val="20"/>
          <w:color w:val="auto"/>
        </w:rPr>
      </w:pPr>
    </w:p>
    <w:p>
      <w:pPr>
        <w:ind w:left="880" w:right="140" w:hanging="426"/>
        <w:spacing w:after="0" w:line="238"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6.375% Senior Notes due 2020 and certain related guarantees (the “2020 notes”) and the 6.625% Senior Notes due 2022 and certain related guarantees (the “2022 notes”) are governed by the indenture dated as of November 16, 2012, as supplemented, which we refer to as the “2020/2022 indenture.” As of September 30, 2015, we had $520.0 million and $570.0 million aggregate principal amount of the 2020 notes and 2022 notes outstanding, respectively.</w:t>
      </w:r>
    </w:p>
    <w:p>
      <w:pPr>
        <w:spacing w:after="0" w:line="34" w:lineRule="exact"/>
        <w:rPr>
          <w:rFonts w:ascii="Arial" w:cs="Arial" w:eastAsia="Arial" w:hAnsi="Arial"/>
          <w:sz w:val="14"/>
          <w:szCs w:val="14"/>
          <w:color w:val="auto"/>
        </w:rPr>
      </w:pPr>
    </w:p>
    <w:p>
      <w:pPr>
        <w:ind w:left="880" w:hanging="426"/>
        <w:spacing w:after="0" w:line="253"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6.125% Senior Notes due 2024 and certain related guarantees (the “2024 notes”) are governed by the indenture dated as of December 4, 2014, as supplemented, which we refer to as the “2024 notes indenture.” As of September 30, 2015, we had $250.0 million aggregate principal amount of the 2024 notes outstanding.</w:t>
      </w:r>
    </w:p>
    <w:p>
      <w:pPr>
        <w:spacing w:after="0" w:line="25" w:lineRule="exact"/>
        <w:rPr>
          <w:rFonts w:ascii="Arial" w:cs="Arial" w:eastAsia="Arial" w:hAnsi="Arial"/>
          <w:sz w:val="14"/>
          <w:szCs w:val="14"/>
          <w:color w:val="auto"/>
        </w:rPr>
      </w:pPr>
    </w:p>
    <w:p>
      <w:pPr>
        <w:ind w:left="880" w:right="100" w:hanging="426"/>
        <w:spacing w:after="0" w:line="238"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5.750% Senior Notes due 2025 and certain related guarantees (the “2025 notes”) are governed by the indenture dated as of May 20, 2015, as supplemented, which we refer to as the “2025 notes indenture” and, collectively with the 2020/2022 indenture and the 2024 notes indenture, the “indentures.” As of September 30, 2015, we had $1,000.0 million aggregate principal amount of the 2025 notes outstanding.</w:t>
      </w:r>
    </w:p>
    <w:p>
      <w:pPr>
        <w:spacing w:after="0" w:line="34" w:lineRule="exact"/>
        <w:rPr>
          <w:rFonts w:ascii="Arial" w:cs="Arial" w:eastAsia="Arial" w:hAnsi="Arial"/>
          <w:sz w:val="14"/>
          <w:szCs w:val="14"/>
          <w:color w:val="auto"/>
        </w:rPr>
      </w:pPr>
    </w:p>
    <w:p>
      <w:pPr>
        <w:ind w:left="880" w:hanging="426"/>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refer to the 2020 notes, the 2022 notes, the 2024 notes and the 2025 notes, collectively or individually, as the context requires, as the “notes.”</w:t>
      </w:r>
    </w:p>
    <w:p>
      <w:pPr>
        <w:spacing w:after="0" w:line="55" w:lineRule="exact"/>
        <w:rPr>
          <w:rFonts w:ascii="Arial" w:cs="Arial" w:eastAsia="Arial" w:hAnsi="Arial"/>
          <w:sz w:val="14"/>
          <w:szCs w:val="14"/>
          <w:color w:val="auto"/>
        </w:rPr>
      </w:pPr>
    </w:p>
    <w:p>
      <w:pPr>
        <w:ind w:left="880" w:right="20" w:hanging="426"/>
        <w:spacing w:after="0" w:line="253"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2020 notes will mature on November 15, 2020. We will pay interest on the 2020 notes semi-annually on May 15 and November 15 of each year at a rate of 6.375% per annum, to holders of record on the May 1 or November 1 immediately preceding the interest payment date.</w:t>
      </w:r>
    </w:p>
    <w:p>
      <w:pPr>
        <w:spacing w:after="0" w:line="25" w:lineRule="exact"/>
        <w:rPr>
          <w:rFonts w:ascii="Arial" w:cs="Arial" w:eastAsia="Arial" w:hAnsi="Arial"/>
          <w:sz w:val="14"/>
          <w:szCs w:val="14"/>
          <w:color w:val="auto"/>
        </w:rPr>
      </w:pPr>
    </w:p>
    <w:p>
      <w:pPr>
        <w:ind w:left="880" w:right="20" w:hanging="426"/>
        <w:spacing w:after="0" w:line="253"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2022 notes will mature on November 15, 2022. We will pay interest on the 2022 notes semi-annually on May 15 and November 15 of each year at a rate of 6.625% per annum, to holders of record on the May 1 or November 1 immediately preceding the interest payment date.</w:t>
      </w:r>
    </w:p>
    <w:p>
      <w:pPr>
        <w:spacing w:after="0" w:line="25" w:lineRule="exact"/>
        <w:rPr>
          <w:rFonts w:ascii="Arial" w:cs="Arial" w:eastAsia="Arial" w:hAnsi="Arial"/>
          <w:sz w:val="14"/>
          <w:szCs w:val="14"/>
          <w:color w:val="auto"/>
        </w:rPr>
      </w:pPr>
    </w:p>
    <w:p>
      <w:pPr>
        <w:ind w:left="880" w:right="40" w:hanging="426"/>
        <w:spacing w:after="0" w:line="253"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2024 notes will mature on December 15, 2024. We will pay interest on the 2024 notes semi-annually on June 15 and December 15 of each year at a rate of 6.125% per annum, to holders of record on the June 1 or December 1 immediately preceding the interest payment date.</w:t>
      </w:r>
    </w:p>
    <w:p>
      <w:pPr>
        <w:spacing w:after="0" w:line="25" w:lineRule="exact"/>
        <w:rPr>
          <w:rFonts w:ascii="Arial" w:cs="Arial" w:eastAsia="Arial" w:hAnsi="Arial"/>
          <w:sz w:val="14"/>
          <w:szCs w:val="14"/>
          <w:color w:val="auto"/>
        </w:rPr>
      </w:pPr>
    </w:p>
    <w:p>
      <w:pPr>
        <w:ind w:left="880" w:right="100" w:hanging="426"/>
        <w:spacing w:after="0" w:line="253"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2025 notes will mature on July 15, 2025. We will pay interest on the 2025 notes semi-annually on July 15 and January 15 of each year at a rate of 5.750% per annum, to holders of record on the July 1 or January 1 immediately preceding the interest payment date.</w:t>
      </w:r>
    </w:p>
    <w:p>
      <w:pPr>
        <w:spacing w:after="0" w:line="25" w:lineRule="exact"/>
        <w:rPr>
          <w:rFonts w:ascii="Arial" w:cs="Arial" w:eastAsia="Arial" w:hAnsi="Arial"/>
          <w:sz w:val="14"/>
          <w:szCs w:val="14"/>
          <w:color w:val="auto"/>
        </w:rPr>
      </w:pPr>
    </w:p>
    <w:p>
      <w:pPr>
        <w:ind w:left="880" w:right="460" w:hanging="426"/>
        <w:spacing w:after="0" w:line="253"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notes are guaranteed on a senior unsecured basis by our direct parent, SB/RH Holdings, LLC, and each of our existing and future domestic subsidiaries, which we refer to collectively as the “guarantors.”</w:t>
      </w:r>
    </w:p>
    <w:p>
      <w:pPr>
        <w:spacing w:after="0" w:line="25" w:lineRule="exact"/>
        <w:rPr>
          <w:rFonts w:ascii="Arial" w:cs="Arial" w:eastAsia="Arial" w:hAnsi="Arial"/>
          <w:sz w:val="14"/>
          <w:szCs w:val="14"/>
          <w:color w:val="auto"/>
        </w:rPr>
      </w:pPr>
    </w:p>
    <w:p>
      <w:pPr>
        <w:ind w:left="880" w:hanging="426"/>
        <w:spacing w:after="0" w:line="256" w:lineRule="auto"/>
        <w:tabs>
          <w:tab w:leader="none" w:pos="8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notes and the related guarantees are the general unsecured obligations of us and the guarantors and will rank equally in right of payment with all of our and the guarantors’ existing and future senior indebtedness (but effectively subordinated to our secured debt, including the Secured Credit Facilities (as defined herein) to the extent of the value of the assets securing such secured debt), and senior in right of payment to all of our and the guarantors’ future indebtedness that expressly provides for its subordination to the notes and the related guarantees. See “Description of 2020/2022 Notes,” “Description of 2024 Notes” and “Description of 2025 Notes,” as applicable.</w:t>
      </w:r>
    </w:p>
    <w:p>
      <w:pPr>
        <w:spacing w:after="0" w:line="23" w:lineRule="exact"/>
        <w:rPr>
          <w:rFonts w:ascii="Arial" w:cs="Arial" w:eastAsia="Arial" w:hAnsi="Arial"/>
          <w:sz w:val="13"/>
          <w:szCs w:val="13"/>
          <w:color w:val="auto"/>
        </w:rPr>
      </w:pPr>
    </w:p>
    <w:p>
      <w:pPr>
        <w:ind w:left="880" w:right="420" w:hanging="426"/>
        <w:spacing w:after="0" w:line="253"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There is no established market for trading the notes. We have not applied, and do not intend to apply, for listing or quotation of the notes on any national securities exchange or automated quotation system.</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investment in the notes involves risks. Please refer to the section in this prospectus entitled “Risk Factors” commencing on page 15.</w:t>
      </w:r>
    </w:p>
    <w:p>
      <w:pPr>
        <w:spacing w:after="0" w:line="124" w:lineRule="exact"/>
        <w:rPr>
          <w:sz w:val="20"/>
          <w:szCs w:val="20"/>
          <w:color w:val="auto"/>
        </w:rPr>
      </w:pPr>
    </w:p>
    <w:p>
      <w:pPr>
        <w:ind w:right="320"/>
        <w:spacing w:after="0" w:line="259"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128270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1" w:lineRule="exact"/>
        <w:rPr>
          <w:sz w:val="20"/>
          <w:szCs w:val="20"/>
          <w:color w:val="auto"/>
        </w:rPr>
      </w:pPr>
    </w:p>
    <w:tbl>
      <w:tblPr>
        <w:tblLayout w:type="fixed"/>
        <w:tblInd w:w="4320" w:type="dxa"/>
        <w:tblCellMar>
          <w:top w:w="0" w:type="dxa"/>
          <w:left w:w="0" w:type="dxa"/>
          <w:bottom w:w="0" w:type="dxa"/>
          <w:right w:w="0" w:type="dxa"/>
        </w:tblCellMar>
      </w:tblPr>
      <w:tr>
        <w:trPr>
          <w:trHeight w:val="186"/>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The date of this prospectus is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 2016.</w:t>
            </w:r>
          </w:p>
        </w:tc>
      </w:tr>
      <w:tr>
        <w:trPr>
          <w:trHeight w:val="215"/>
        </w:trPr>
        <w:tc>
          <w:tcPr>
            <w:tcW w:w="2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40" w:type="dxa"/>
            <w:vAlign w:val="bottom"/>
            <w:gridSpan w:val="5"/>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00" w:type="dxa"/>
            <w:vAlign w:val="bottom"/>
            <w:gridSpan w:val="25"/>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TRADEMARKS</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1000" w:type="dxa"/>
            <w:vAlign w:val="bottom"/>
            <w:gridSpan w:val="2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MARKET AND INDUSTRY DATA</w:t>
              </w:r>
            </w:hyperlink>
          </w:p>
        </w:tc>
        <w:tc>
          <w:tcPr>
            <w:tcW w:w="8340" w:type="dxa"/>
            <w:vAlign w:val="bottom"/>
            <w:gridSpan w:val="12"/>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SUMMARY</w:t>
              </w:r>
            </w:hyperlink>
          </w:p>
        </w:tc>
        <w:tc>
          <w:tcPr>
            <w:tcW w:w="890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RISK FACTORS</w:t>
              </w:r>
            </w:hyperlink>
          </w:p>
        </w:tc>
        <w:tc>
          <w:tcPr>
            <w:tcW w:w="97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CAUTIONARY STATEMENT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FIXED CHARGES</w:t>
              </w:r>
            </w:hyperlink>
          </w:p>
        </w:tc>
        <w:tc>
          <w:tcPr>
            <w:tcW w:w="4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75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942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UNAUDITED PRO FORMA CONDENSED COMBINED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SELECTED HISTORICAL FINANCIAL DATA</w:t>
              </w:r>
            </w:hyperlink>
          </w:p>
        </w:tc>
        <w:tc>
          <w:tcPr>
            <w:tcW w:w="45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BUSINESS</w:t>
              </w:r>
            </w:hyperlink>
          </w:p>
        </w:tc>
        <w:tc>
          <w:tcPr>
            <w:tcW w:w="8060" w:type="dxa"/>
            <w:vAlign w:val="bottom"/>
            <w:tcBorders>
              <w:top w:val="single" w:sz="8" w:color="0000EE"/>
            </w:tcBorders>
            <w:gridSpan w:val="22"/>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EXECUTIVE COMPENSATION</w:t>
              </w:r>
            </w:hyperlink>
          </w:p>
        </w:tc>
        <w:tc>
          <w:tcPr>
            <w:tcW w:w="854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135">
              <w:r>
                <w:rPr>
                  <w:rFonts w:ascii="Arial" w:cs="Arial" w:eastAsia="Arial" w:hAnsi="Arial"/>
                  <w:sz w:val="18"/>
                  <w:szCs w:val="18"/>
                  <w:color w:val="0000EE"/>
                  <w:w w:val="96"/>
                </w:rPr>
                <w:t>SECURITY OWNERSHIP OF CERTAIN BENEFICIAL OWNERS AND MANAGEMENT</w:t>
              </w:r>
            </w:hyperlink>
          </w:p>
        </w:tc>
        <w:tc>
          <w:tcPr>
            <w:tcW w:w="42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TRANSACTIONS WITH RELATED PERSONS</w:t>
              </w:r>
            </w:hyperlink>
          </w:p>
        </w:tc>
        <w:tc>
          <w:tcPr>
            <w:tcW w:w="742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DESCRIPTION OF OTHER INDEBTEDNESS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140">
              <w:r>
                <w:rPr>
                  <w:rFonts w:ascii="Arial" w:cs="Arial" w:eastAsia="Arial" w:hAnsi="Arial"/>
                  <w:sz w:val="18"/>
                  <w:szCs w:val="18"/>
                  <w:color w:val="0000EE"/>
                  <w:w w:val="92"/>
                </w:rPr>
                <w:t>DESCRIPTION OF 2020/2022 NOTES</w:t>
              </w:r>
            </w:hyperlink>
          </w:p>
        </w:tc>
        <w:tc>
          <w:tcPr>
            <w:tcW w:w="580" w:type="dxa"/>
            <w:vAlign w:val="bottom"/>
            <w:tcBorders>
              <w:top w:val="single" w:sz="8" w:color="0000EE"/>
            </w:tcBorders>
          </w:tcPr>
          <w:p>
            <w:pPr>
              <w:spacing w:after="0"/>
              <w:rPr>
                <w:sz w:val="17"/>
                <w:szCs w:val="17"/>
                <w:color w:val="auto"/>
              </w:rPr>
            </w:pPr>
          </w:p>
        </w:tc>
        <w:tc>
          <w:tcPr>
            <w:tcW w:w="752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DESCRIPTION OF 2024 NOTES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DESCRIPTION OF 2025 NOTES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233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289">
              <w:r>
                <w:rPr>
                  <w:rFonts w:ascii="Arial" w:cs="Arial" w:eastAsia="Arial" w:hAnsi="Arial"/>
                  <w:sz w:val="18"/>
                  <w:szCs w:val="18"/>
                  <w:color w:val="0000EE"/>
                  <w:w w:val="96"/>
                </w:rPr>
                <w:t>BOOK-ENTRY, DELIVERY AND FORM OF SECURITIES</w:t>
              </w:r>
            </w:hyperlink>
          </w:p>
        </w:tc>
        <w:tc>
          <w:tcPr>
            <w:tcW w:w="654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293">
              <w:r>
                <w:rPr>
                  <w:rFonts w:ascii="Arial" w:cs="Arial" w:eastAsia="Arial" w:hAnsi="Arial"/>
                  <w:sz w:val="18"/>
                  <w:szCs w:val="18"/>
                  <w:color w:val="0000EE"/>
                  <w:w w:val="97"/>
                </w:rPr>
                <w:t>PLAN OF DISTRIBUTION</w:t>
              </w:r>
            </w:hyperlink>
          </w:p>
        </w:tc>
        <w:tc>
          <w:tcPr>
            <w:tcW w:w="89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288</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294">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94">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954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294">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20"/>
        </w:trPr>
        <w:tc>
          <w:tcPr>
            <w:tcW w:w="3820" w:type="dxa"/>
            <w:vAlign w:val="bottom"/>
            <w:gridSpan w:val="19"/>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295">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have not authorized anyone to give you any information or to make any representations about us or the transactions we discuss in this prospectus other than those contained in this prospectus. We take no responsibility for, and can provide no assurances as to the reliability of, any information that others may give you. This prospectus is not an offer to sell or a solicitation of an offer to buy securities anywhere or to anyone where or to whom we are not permitted to offer or sell securities under applicable law. The delivery of this prospectus does not, under any circumstances, mean that there has not been a change in our affairs since the date of this prospectus. Subject to our obligation to amend or supplement this prospectus as required by law and the rules and regulations of the SEC, the information contained in this prospectus is correct only as of the date of this prospectus, regardless of the time of delivery of this prospectus or any sale of these securities.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proprietary rights to or are exclusively licensed to use a number of registered and unregistered trademarks that we believe are important to our business, including, without limitation, Rayovac, Remington, VARTA, Tetra, 8-in-1, Dingo, Nature’s Miracle, IAMS, Eukanuba, Digest-eeze, Liquid Fence, Black Flag, Wild Harvest, Marineland, FURminator, Spectracide, Cutter, Hot Shot, Garden Safe, Repel, George Foreman, Russell Hobbs, Farberware, Toastmaster, Black &amp; Decker, Kwikset, Weiser, Baldwin, National Hardware, Pfister, Armor All, STP, A/C PRO, Arctic Freeze, Sub Zero and Super Seal Stop Leak. We attempt to obtain registration of our key trademarks whenever possible or practicable and pursue any infringement of those trademarks. Solely for convenience, the trademarks, service marks and tradenames referred to in this prospectus are without the “</w:t>
      </w:r>
      <w:r>
        <w:rPr>
          <w:rFonts w:ascii="Arial" w:cs="Arial" w:eastAsia="Arial" w:hAnsi="Arial"/>
          <w:sz w:val="14"/>
          <w:szCs w:val="14"/>
          <w:color w:val="auto"/>
        </w:rPr>
        <w:t>®</w:t>
      </w:r>
      <w:r>
        <w:rPr>
          <w:rFonts w:ascii="Arial" w:cs="Arial" w:eastAsia="Arial" w:hAnsi="Arial"/>
          <w:sz w:val="17"/>
          <w:szCs w:val="17"/>
          <w:color w:val="auto"/>
        </w:rPr>
        <w:t>” and “TM” symbols, but such references are not intended to indicate, in any way, that we will not assert, to the fullest extent under applicable law, our rights or the rights of the applicable licensors to these trademarks, service marks and tradenames.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obtained the industry, market and competitive position data and information used throughout this prospectus from our own internal company surveys and management estimates as well as from industry and general publications and research, surveys or studies conducted by third parties. Industry and general publications and research, studies and surveys generally state that they have obtained information from sources believed to be reliable, but do not guarantee the accuracy and completeness of such data and information. While we believe that these publications and research, studies and surveys are reliable, neither we nor the initial purchasers have independently verified such data and information and neither we nor the initial purchasers make any representation or warranty as to the accuracy of such data and information.</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is only a limited amount of independent data available about our industry, market and competitive position, particularly outside of the United States. As a result, certain data and information are based on our good faith estimates, which are derived from our review of internal data and information, information that we obtain from customers, and other third-party sources. We believe these internal surveys and management estimates are reliable; however, no independent sources have verified such surveys and estimates.</w:t>
      </w:r>
    </w:p>
    <w:p>
      <w:pPr>
        <w:spacing w:after="0" w:line="18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industry data that we present in this prospectus include estimates that involve risks and uncertainties and are subject to change based on various factors, including those discussed under “Risk Factors” and those discussed under “Cautionary Statement Regarding Forward-Looking Statements.”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00" w:firstLine="443"/>
        <w:spacing w:after="0" w:line="312" w:lineRule="auto"/>
        <w:rPr>
          <w:sz w:val="20"/>
          <w:szCs w:val="20"/>
          <w:color w:val="auto"/>
        </w:rPr>
      </w:pPr>
      <w:r>
        <w:rPr>
          <w:rFonts w:ascii="Arial" w:cs="Arial" w:eastAsia="Arial" w:hAnsi="Arial"/>
          <w:sz w:val="16"/>
          <w:szCs w:val="16"/>
          <w:i w:val="1"/>
          <w:iCs w:val="1"/>
          <w:color w:val="auto"/>
        </w:rPr>
        <w:t>The following summary highlights basic information about us and the notes. It may not contain all of the information that is important to you. For a more comprehensive understanding of our business and the offering, you should read this entire prospectus, including the section entitled “Risk Factors.” Certain statements in this summary are forward-looking statements. See “Cautionary Statement Regarding Forward-Looking Statements.”</w:t>
      </w:r>
    </w:p>
    <w:p>
      <w:pPr>
        <w:spacing w:after="0" w:line="147"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i w:val="1"/>
          <w:iCs w:val="1"/>
          <w:color w:val="auto"/>
        </w:rPr>
        <w:t>Unless otherwise indicated in this prospectus or the context requires otherwise, “Spectrum Brands” refers only to Spectrum Brands, Inc. and not to any of its subsidiaries; “Spectrum” refers to Spectrum Brands, Inc. and, where applicable, its consolidated subsidiaries; “SB/RH Holdings,” the “Company,” “we,” or “our” refers to the Spectrum Brands’ parent SB/RH Holdings, LLC and, where applicable, its consolidated subsidiaries, including Spectrum Brands. “SB Holdings” refers to SB/RH Holdings’ parent, Spectrum Brands Holdings, Inc. and, where applicable, its consolidated subsidiaries, including SB/RH Holdings.</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0" w:right="20" w:firstLine="443"/>
        <w:spacing w:after="0" w:line="342" w:lineRule="auto"/>
        <w:rPr>
          <w:sz w:val="20"/>
          <w:szCs w:val="20"/>
          <w:color w:val="auto"/>
        </w:rPr>
      </w:pPr>
      <w:r>
        <w:rPr>
          <w:rFonts w:ascii="Arial" w:cs="Arial" w:eastAsia="Arial" w:hAnsi="Arial"/>
          <w:sz w:val="16"/>
          <w:szCs w:val="16"/>
          <w:color w:val="auto"/>
        </w:rPr>
        <w:t>We are a diversified global branded consumer products company. Spectrum Brands is a wholly owned direct subsidiary of SB/RH Holdings, which is a direct subsidiary of SB Holdings. SB Holdings’ common stock trades on the New York Stock Exchange (the “NYSE”) under the symbol “SPB.”</w:t>
      </w:r>
    </w:p>
    <w:p>
      <w:pPr>
        <w:spacing w:after="0" w:line="124"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manufacture and market alkaline, zinc carbon and hearing aid batteries, herbicides, insecticides and repellants and specialty pet supplies. We design and market rechargeable batteries, battery-powered lighting products, electric shavers and accessories, grooming products and hair care appliances. Our operations also include the manufacturing and marketing of specialty pet supplies, and of herbicides, insecticides and insect repellents in North America. We also design, market and distribute a broad range of branded small appliances and personal care products. We also design, manufacture, market, distribute and sell certain hardware, home improvement and plumbing products, and are a leading United States (“U.S.”) provider of residential locksets and builders’ hardware and a leading provider of faucets. Our manufacturing and product development facilities are located in the U.S., Europe, Latin America and Asia. Substantially all of our rechargeable batteries, chargers and portable lighting products, shaving and grooming products, small household appliances and personal care products are manufactured by third-party suppliers, primarily located in Asia.</w:t>
      </w:r>
    </w:p>
    <w:p>
      <w:pPr>
        <w:spacing w:after="0" w:line="166" w:lineRule="exact"/>
        <w:rPr>
          <w:sz w:val="20"/>
          <w:szCs w:val="20"/>
          <w:color w:val="auto"/>
        </w:rPr>
      </w:pPr>
    </w:p>
    <w:p>
      <w:pPr>
        <w:ind w:left="200" w:right="140" w:firstLine="443"/>
        <w:spacing w:after="0" w:line="257" w:lineRule="auto"/>
        <w:rPr>
          <w:sz w:val="20"/>
          <w:szCs w:val="20"/>
          <w:color w:val="auto"/>
        </w:rPr>
      </w:pPr>
      <w:r>
        <w:rPr>
          <w:rFonts w:ascii="Arial" w:cs="Arial" w:eastAsia="Arial" w:hAnsi="Arial"/>
          <w:sz w:val="18"/>
          <w:szCs w:val="18"/>
          <w:color w:val="auto"/>
        </w:rPr>
        <w:t>On May 21, 2015, we acquired Armored AutoGroup Parent Inc. (together, as the context requires, with its successor by merger, Armored AutoGroup Inc., “AAG”). AAG is a consumer products company consisting primarily of Armor All and STP products, two of the most recognizable brands in the automotive aftermarket appearance products and performance chemicals categories, respectively, and the AC/PRO brand of do-it-yourself automotive air conditioner recharge products. For information pertaining to the AAG Acquisition, see Note 3, “Acquisitions” to our Consolidated Financial Statements, included elsewhere in this prospectus.</w:t>
      </w:r>
    </w:p>
    <w:p>
      <w:pPr>
        <w:spacing w:after="0" w:line="188"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The Company sells its products in approximately 160 countries through a variety of trade channels, including retailers, wholesalers and distributors, hearing aid professionals, industrial distributors and original equipment manufacturers (“OEMs”) and enjoy strong name recognition in our markets under the Rayovac, VARTA and Remington brands, each of which has been in existence for more than 80 years, and under the Tetra, 8-in-1, Dingo, Nature’s Miracle, IAMS, Eukanuba, Healthy-Hide, Digest-eeze, Spectracide, Cutter, Hot Shot, Black &amp; Decker, George Foreman, Russell Hobbs, Farberware, Black Flag, FURminator, Kwikset, Weiser, Baldwin, National Hardware, Stanley, Pfister and the previously mentioned AAG brands. We also have patented technologies such as Smartkey, a rekeyable lockset technology, and Smart Code Home Connect.</w:t>
      </w:r>
    </w:p>
    <w:p>
      <w:pPr>
        <w:spacing w:after="0" w:line="178"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Our diversified global branded consumer products have positions in seven major product categories: consumer batteries, small appliances, personal care, hardware and home improvement, pet supplies, auto care and home and garden controls.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Our chief operating decision-maker manages the businesses in five vertically integrated, product-focused reporting segments: (i) Global Batteries &amp; Appliances, which consists of the Company’s worldwide battery, personal care and small appliances primarily in the kitchen and home product categories (“Global Batteries &amp; Appliances”); (ii) Hardware &amp; Home Improvement, which consists of the Company’s worldwide hardware, home improvement and plumbing business (“Hardware &amp; Home Improvement”); (iii) Global Pet Supplies, which consists of the Company’s worldwide pet supplies business (“Global Pet Supplies”); (iv) Home and Garden, which consists of the Company’s home and garden and insect control business (“Home and Garden”); and (v) Global Auto Care, which consists of the Company’s automotive aftermarket appearance products, performance chemicals/additives and do-it-yourself automotive air conditioner recharge (“Global Auto Care”). Management reviews our performance based on these segments. For information pertaining to our business segments, see Note 18, “Segment Information,” to our audited Consolidated Financial Statements in this prospectus.</w:t>
      </w:r>
    </w:p>
    <w:p>
      <w:pPr>
        <w:spacing w:after="0" w:line="19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Global and geographic strategic initiatives and financial objectives are determined at the corporate level. Each business segment is responsible for implementing defined strategic initiatives and achieving certain financial objectives and has a general manager responsible for sales and marketing initiatives and the financial results for all product lines within that business segment.</w:t>
      </w:r>
    </w:p>
    <w:p>
      <w:pPr>
        <w:spacing w:after="0" w:line="181"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Our operating performance is influenced by a number of factors including: general economic conditions; foreign exchange fluctuations; trends in consumer markets; consumer confidence and preferences; our overall product line mix, including pricing and gross margin, which vary by product line and geographic market; pricing of certain raw materials and commodities; energy and fuel prices; and our general competitive position, especially as impacted by our competitors’ advertising and promotional activities and pricing strategies.</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AAG Acquisition</w:t>
      </w:r>
    </w:p>
    <w:p>
      <w:pPr>
        <w:spacing w:after="0" w:line="117" w:lineRule="exact"/>
        <w:rPr>
          <w:sz w:val="20"/>
          <w:szCs w:val="20"/>
          <w:color w:val="auto"/>
        </w:rPr>
      </w:pPr>
    </w:p>
    <w:p>
      <w:pPr>
        <w:jc w:val="both"/>
        <w:ind w:left="200" w:right="160" w:firstLine="443"/>
        <w:spacing w:after="0" w:line="264" w:lineRule="auto"/>
        <w:rPr>
          <w:sz w:val="20"/>
          <w:szCs w:val="20"/>
          <w:color w:val="auto"/>
        </w:rPr>
      </w:pPr>
      <w:r>
        <w:rPr>
          <w:rFonts w:ascii="Arial" w:cs="Arial" w:eastAsia="Arial" w:hAnsi="Arial"/>
          <w:sz w:val="18"/>
          <w:szCs w:val="18"/>
          <w:color w:val="auto"/>
        </w:rPr>
        <w:t>On May 21, 2015, we completed our acquisition (the “AAG Acquisition”) of AAG pursuant to the Agreement and Plan of Merger by and among AAG, SB Holdings, Ignite Merger Sub, Inc. and, solely in its capacity as representative, Avista Capital Partners II GP, LLC, dated as of April 28, 2015, for a purchase price of $1.4 billion in cash and an assumption of debt of $540 million.</w:t>
      </w:r>
    </w:p>
    <w:p>
      <w:pPr>
        <w:spacing w:after="0" w:line="181" w:lineRule="exact"/>
        <w:rPr>
          <w:sz w:val="20"/>
          <w:szCs w:val="20"/>
          <w:color w:val="auto"/>
        </w:rPr>
      </w:pPr>
    </w:p>
    <w:p>
      <w:pPr>
        <w:jc w:val="both"/>
        <w:ind w:left="200" w:right="80" w:firstLine="443"/>
        <w:spacing w:after="0" w:line="312" w:lineRule="auto"/>
        <w:rPr>
          <w:sz w:val="20"/>
          <w:szCs w:val="20"/>
          <w:color w:val="auto"/>
        </w:rPr>
      </w:pPr>
      <w:r>
        <w:rPr>
          <w:rFonts w:ascii="Arial" w:cs="Arial" w:eastAsia="Arial" w:hAnsi="Arial"/>
          <w:sz w:val="16"/>
          <w:szCs w:val="16"/>
          <w:color w:val="auto"/>
        </w:rPr>
        <w:t>We funded the AAG Acquisition with the proceeds of our offering of the 2025 notes and gross proceeds from SB Holdings’ registered offering of its common stock. SB Holdings also contributed to us the additional proceeds received by it in connection with the underwriters’ exercise of their option to purchase additional shares in the registered offering of its common stock. We expect to use such additional proceeds for general corporate purposes.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Refinancing Transactions</w:t>
      </w:r>
    </w:p>
    <w:p>
      <w:pPr>
        <w:spacing w:after="0" w:line="117" w:lineRule="exact"/>
        <w:rPr>
          <w:sz w:val="20"/>
          <w:szCs w:val="20"/>
          <w:color w:val="auto"/>
        </w:rPr>
      </w:pPr>
    </w:p>
    <w:p>
      <w:pPr>
        <w:jc w:val="both"/>
        <w:ind w:left="200" w:right="260" w:firstLine="443"/>
        <w:spacing w:after="0" w:line="264" w:lineRule="auto"/>
        <w:rPr>
          <w:sz w:val="20"/>
          <w:szCs w:val="20"/>
          <w:color w:val="auto"/>
        </w:rPr>
      </w:pPr>
      <w:r>
        <w:rPr>
          <w:rFonts w:ascii="Arial" w:cs="Arial" w:eastAsia="Arial" w:hAnsi="Arial"/>
          <w:sz w:val="18"/>
          <w:szCs w:val="18"/>
          <w:color w:val="auto"/>
        </w:rPr>
        <w:t>On June 23, 2015, we entered into a Credit Agreement (the “Credit Agreement”), by and among Spectrum Brands, SB/RH Holdings, Deutsche Bank AG New York Branch, as administrative agent, and the lenders party thereto from time to time. See “Description of Other Indebtedness—Credit Agreement.”</w:t>
      </w:r>
    </w:p>
    <w:p>
      <w:pPr>
        <w:spacing w:after="0" w:line="181" w:lineRule="exact"/>
        <w:rPr>
          <w:sz w:val="20"/>
          <w:szCs w:val="20"/>
          <w:color w:val="auto"/>
        </w:rPr>
      </w:pPr>
    </w:p>
    <w:p>
      <w:pPr>
        <w:ind w:left="200" w:right="160" w:firstLine="443"/>
        <w:spacing w:after="0" w:line="257" w:lineRule="auto"/>
        <w:rPr>
          <w:sz w:val="20"/>
          <w:szCs w:val="20"/>
          <w:color w:val="auto"/>
        </w:rPr>
      </w:pPr>
      <w:r>
        <w:rPr>
          <w:rFonts w:ascii="Arial" w:cs="Arial" w:eastAsia="Arial" w:hAnsi="Arial"/>
          <w:sz w:val="18"/>
          <w:szCs w:val="18"/>
          <w:color w:val="auto"/>
        </w:rPr>
        <w:t>Pursuant to the Credit Agreement, on June 23, 2015, we closed senior secured credit facilities consisting of (a) a $1,450 million U.S. Dollar-denominated term loan facility (the “USD Term Loan Facility”), (b) a €300 million Euro-denominated term loan facility (the “Euro Term Loan Facility”), (c) a CAD$75 million Canadian Dollar-denominated term loan facility (the “CAD Term Loan Facility” and, collectively with the USD Term Loan Facility and the Euro Term Loan Facility, the “Term Credit Facilities”) and (d) a $500 million cash flow revolving credit facility (the “Revolving Credit Facility” and, together with the Term Credit Facilities, the “Secured Credit Facilities”).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24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624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firstLine="443"/>
        <w:spacing w:after="0" w:line="286" w:lineRule="auto"/>
        <w:rPr>
          <w:sz w:val="20"/>
          <w:szCs w:val="20"/>
          <w:color w:val="auto"/>
        </w:rPr>
      </w:pPr>
      <w:r>
        <w:rPr>
          <w:rFonts w:ascii="Arial" w:cs="Arial" w:eastAsia="Arial" w:hAnsi="Arial"/>
          <w:sz w:val="16"/>
          <w:szCs w:val="16"/>
          <w:color w:val="auto"/>
        </w:rPr>
        <w:t>The net proceeds of the Term Credit Facilities were used, among other things, to (i) refinance our Credit Agreement dated as of December 17, 2012 (as amended, modified, supplemented or restated from time to time, the “Prior Term Loan Credit Agreement”) and repay in full all obligations in respect of the Prior Term Loan Credit Agreement and related loan documents, (ii) repay in full all obligations in respect of our Loan and Security Agreement, dated as of June 16, 2010 (as amended, modified, supplemented or restated from time to time, the “Prior ABL Facility Agreement”) and</w:t>
      </w:r>
    </w:p>
    <w:p>
      <w:pPr>
        <w:spacing w:after="0" w:line="2" w:lineRule="exact"/>
        <w:rPr>
          <w:sz w:val="20"/>
          <w:szCs w:val="20"/>
          <w:color w:val="auto"/>
        </w:rPr>
      </w:pPr>
    </w:p>
    <w:p>
      <w:pPr>
        <w:ind w:left="200" w:right="140" w:hanging="3"/>
        <w:spacing w:after="0" w:line="255" w:lineRule="auto"/>
        <w:tabs>
          <w:tab w:leader="none" w:pos="5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pay fees and expenses in connection with the transactions referenced in clause (i) and for general corporate purposes. A portion of the net proceeds, together with borrowings under the Revolving Credit Facility, was also used to fund the satisfaction and discharge of the indenture governing Spectrum Brands’ 6.750% Senior Notes due 2020 (the “6.75% Notes”).</w:t>
      </w:r>
    </w:p>
    <w:p>
      <w:pPr>
        <w:spacing w:after="0" w:line="190" w:lineRule="exact"/>
        <w:rPr>
          <w:sz w:val="20"/>
          <w:szCs w:val="20"/>
          <w:color w:val="auto"/>
        </w:rPr>
      </w:pPr>
    </w:p>
    <w:p>
      <w:pPr>
        <w:ind w:left="200" w:right="60" w:firstLine="443"/>
        <w:spacing w:after="0" w:line="297" w:lineRule="auto"/>
        <w:rPr>
          <w:sz w:val="20"/>
          <w:szCs w:val="20"/>
          <w:color w:val="auto"/>
        </w:rPr>
      </w:pPr>
      <w:r>
        <w:rPr>
          <w:rFonts w:ascii="Arial" w:cs="Arial" w:eastAsia="Arial" w:hAnsi="Arial"/>
          <w:sz w:val="16"/>
          <w:szCs w:val="16"/>
          <w:color w:val="auto"/>
        </w:rPr>
        <w:t>The Revolving Credit Facility includes a letter of credit subfacility. Letters of credit issued thereunder were used by Spectrum to replace then-existing letters of credit under the Prior ABL Facility Agreement on the closing date of the Credit Agreement. Letters of credit and proceeds of the loans under the Revolving Credit Facility may be used by Spectrum, the other borrowers and their respective subsidiaries for, among other things, working capital and other general corporate purposes, including the financing of permitted acquisitions and other permitted investments and dividends and other distributions on account of the capital stock of the borrowers, restricted payments and any other use not prohibited by the terms of the loan documents.</w:t>
      </w: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chart below is a summary of the organizational structure of the Issuer and its parents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hanging="423"/>
        <w:spacing w:after="0" w:line="277" w:lineRule="auto"/>
        <w:tabs>
          <w:tab w:leader="none" w:pos="620" w:val="left"/>
        </w:tabs>
        <w:numPr>
          <w:ilvl w:val="0"/>
          <w:numId w:val="5"/>
        </w:numPr>
        <w:rPr>
          <w:rFonts w:ascii="Arial" w:cs="Arial" w:eastAsia="Arial" w:hAnsi="Arial"/>
          <w:sz w:val="15"/>
          <w:szCs w:val="15"/>
          <w:color w:val="auto"/>
        </w:rPr>
      </w:pPr>
      <w:r>
        <w:rPr>
          <w:rFonts w:ascii="Arial" w:cs="Arial" w:eastAsia="Arial" w:hAnsi="Arial"/>
          <w:sz w:val="18"/>
          <w:szCs w:val="18"/>
          <w:color w:val="auto"/>
        </w:rPr>
        <w:t>SB/RH Holdings (i) is a guarantor of our obligations under the Secured Credit Facilities and pledged only the capital stock issued to it by Spectrum as collateral and (ii) is a guarantor of the notes.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30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1830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hanging="423"/>
        <w:spacing w:after="0"/>
        <w:tabs>
          <w:tab w:leader="none" w:pos="620" w:val="left"/>
        </w:tabs>
        <w:numPr>
          <w:ilvl w:val="0"/>
          <w:numId w:val="6"/>
        </w:numPr>
        <w:rPr>
          <w:rFonts w:ascii="Arial" w:cs="Arial" w:eastAsia="Arial" w:hAnsi="Arial"/>
          <w:sz w:val="14"/>
          <w:szCs w:val="14"/>
          <w:color w:val="auto"/>
        </w:rPr>
      </w:pPr>
      <w:r>
        <w:rPr>
          <w:rFonts w:ascii="Arial" w:cs="Arial" w:eastAsia="Arial" w:hAnsi="Arial"/>
          <w:sz w:val="16"/>
          <w:szCs w:val="16"/>
          <w:color w:val="auto"/>
        </w:rPr>
        <w:t>None of our foreign subsidiaries are, or will be, guarantors of the notes offered hereby. None of our foreign subsidiaries are guarantors under the</w:t>
      </w:r>
    </w:p>
    <w:p>
      <w:pPr>
        <w:spacing w:after="0" w:line="248" w:lineRule="exact"/>
        <w:rPr>
          <w:sz w:val="20"/>
          <w:szCs w:val="20"/>
          <w:color w:val="auto"/>
        </w:rPr>
      </w:pPr>
    </w:p>
    <w:p>
      <w:pPr>
        <w:ind w:left="620" w:right="520" w:hanging="423"/>
        <w:spacing w:after="0" w:line="277"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8"/>
          <w:szCs w:val="18"/>
          <w:color w:val="auto"/>
        </w:rPr>
        <w:t>Our domestic subsidiaries, subject to certain exceptions, are guarantors of the notes offered hereby. Certain of our domestic subsidiaries are guarantors under the Secured Credit Facilities.</w:t>
      </w: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Spectrum Brands is a Delaware corporation and the address of our principal executive office is 3001 Deming Way, Middleton, Wisconsin 53562. Our telephone number is (608) 275-3340. Our website address is www.spectrumbrands.com. Information contained on or accessible through our website is not part of,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Terms of the 2020 Notes</w:t>
      </w:r>
    </w:p>
    <w:p>
      <w:pPr>
        <w:spacing w:after="0" w:line="229"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The following is a summary of the terms of the 2020 notes. For a more complete description of the 2020 notes as well as the definitions of certain capitalized terms used below, see “Description of 2020/2022 Notes” in this prospectus.</w:t>
      </w:r>
    </w:p>
    <w:p>
      <w:pPr>
        <w:sectPr>
          <w:pgSz w:w="11900" w:h="16838" w:orient="portrait"/>
          <w:cols w:equalWidth="0" w:num="1">
            <w:col w:w="11260"/>
          </w:cols>
          <w:pgMar w:left="240" w:top="459" w:right="39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Spectrum Brands, Inc.</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2020 Notes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6.375% Senior Notes due 2020.</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November 15, 2020.</w:t>
      </w:r>
    </w:p>
    <w:p>
      <w:pPr>
        <w:spacing w:after="0" w:line="21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2020 notes will bear interest at a rate of 6.375% per annum. Interest on the 2020 notes will be payable in cash on May 15 and November 15 of each year.</w:t>
      </w:r>
    </w:p>
    <w:p>
      <w:pPr>
        <w:spacing w:after="0" w:line="19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80"/>
        <w:spacing w:after="0" w:line="279" w:lineRule="auto"/>
        <w:rPr>
          <w:sz w:val="20"/>
          <w:szCs w:val="20"/>
          <w:color w:val="auto"/>
        </w:rPr>
      </w:pPr>
      <w:r>
        <w:rPr>
          <w:rFonts w:ascii="Arial" w:cs="Arial" w:eastAsia="Arial" w:hAnsi="Arial"/>
          <w:sz w:val="17"/>
          <w:szCs w:val="17"/>
          <w:color w:val="auto"/>
        </w:rPr>
        <w:t>On or after November 15, 2016, we may redeem some or all of the 2020 notes at any time at the redemption prices set forth in “Description of 2020/2022 Notes—Optional Redemption.” In addition, prior to November 15, 2016, we may redeem the 2020 notes at a redemption price equal to 100% of the principal amount plus a “make-whole” premium.</w:t>
      </w:r>
    </w:p>
    <w:p>
      <w:pPr>
        <w:spacing w:after="0" w:line="19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Upon a Change of Control (as defined under “Description of 2020/2022 Notes”), we will be required to make an offer to purchase the 2020 notes. The purchase price will equal 101% of the principal amount of the 2020 notes on the date of purchase plus accrued and unpaid interest. We may not have sufficient funds available at the time of any Change of Control to make any required debt repayment (including repurchases of the 2020 notes). See “Risk Factors—Risks Related to the Notes—We may not be able to make the change of control offer required by the indentures.”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1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Guarantees</w:t>
      </w:r>
    </w:p>
    <w:p>
      <w:pPr>
        <w:spacing w:after="0" w:line="20" w:lineRule="exact"/>
        <w:rPr>
          <w:sz w:val="20"/>
          <w:szCs w:val="20"/>
          <w:color w:val="auto"/>
        </w:rPr>
      </w:pPr>
      <w:r>
        <w:rPr>
          <w:sz w:val="20"/>
          <w:szCs w:val="20"/>
          <w:color w:val="auto"/>
        </w:rPr>
        <w:br w:type="column"/>
      </w:r>
    </w:p>
    <w:p>
      <w:pPr>
        <w:ind w:right="780"/>
        <w:spacing w:after="0" w:line="308" w:lineRule="auto"/>
        <w:rPr>
          <w:sz w:val="20"/>
          <w:szCs w:val="20"/>
          <w:color w:val="auto"/>
        </w:rPr>
      </w:pPr>
      <w:r>
        <w:rPr>
          <w:rFonts w:ascii="Arial" w:cs="Arial" w:eastAsia="Arial" w:hAnsi="Arial"/>
          <w:sz w:val="17"/>
          <w:szCs w:val="17"/>
          <w:color w:val="auto"/>
        </w:rPr>
        <w:t>The 2020 notes will be unconditionally, jointly and severally guaranteed, on a senior unsecured basis, by SB/RH Holdings and all of our domestic subsidiaries.</w:t>
      </w:r>
    </w:p>
    <w:p>
      <w:pPr>
        <w:spacing w:after="0" w:line="174"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The 2020 notes and the related guarantees will be the senior unsecured obligations of us and the guarantors and will:</w:t>
      </w:r>
    </w:p>
    <w:p>
      <w:pPr>
        <w:spacing w:after="0" w:line="76"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820" w:right="200" w:hanging="159"/>
        <w:spacing w:after="0" w:line="277" w:lineRule="auto"/>
        <w:tabs>
          <w:tab w:leader="none" w:pos="4800" w:val="left"/>
        </w:tabs>
        <w:rPr>
          <w:sz w:val="20"/>
          <w:szCs w:val="20"/>
          <w:color w:val="auto"/>
        </w:rPr>
      </w:pPr>
      <w:r>
        <w:rPr>
          <w:rFonts w:ascii="Arial" w:cs="Arial" w:eastAsia="Arial" w:hAnsi="Arial"/>
          <w:sz w:val="18"/>
          <w:szCs w:val="18"/>
          <w:color w:val="auto"/>
        </w:rPr>
        <w:t>•</w:t>
        <w:tab/>
        <w:t>rank equally in right of payment with all of our and the guarantors’ existing and future senior indebtedness, including the other notes; and</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79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779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rank senior in right of payment to all of our and the guarantors’ future indebtedness that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expressly provide for its subordination to the 2020 notes and the related guarantees.</w:t>
      </w:r>
    </w:p>
    <w:p>
      <w:pPr>
        <w:spacing w:after="0" w:line="261" w:lineRule="exact"/>
        <w:rPr>
          <w:sz w:val="20"/>
          <w:szCs w:val="20"/>
          <w:color w:val="auto"/>
        </w:rPr>
      </w:pPr>
    </w:p>
    <w:p>
      <w:pPr>
        <w:ind w:left="4400" w:right="60"/>
        <w:spacing w:after="0" w:line="257" w:lineRule="auto"/>
        <w:rPr>
          <w:sz w:val="20"/>
          <w:szCs w:val="20"/>
          <w:color w:val="auto"/>
        </w:rPr>
      </w:pPr>
      <w:r>
        <w:rPr>
          <w:rFonts w:ascii="Arial" w:cs="Arial" w:eastAsia="Arial" w:hAnsi="Arial"/>
          <w:sz w:val="18"/>
          <w:szCs w:val="18"/>
          <w:color w:val="auto"/>
        </w:rPr>
        <w:t>However, the 2020 notes will be effectively subordinated to any of our secured indebtedness, including under our Secured Credit Facilities, to the extent of the value of the assets securing such indebtedness. In addition, the 2020 notes will be structurally subordinated to all indebtedness and other liabilities of Spectrum Brands’ subsidiaries that do not guarantee the 2020 notes.</w:t>
      </w:r>
    </w:p>
    <w:p>
      <w:pPr>
        <w:sectPr>
          <w:pgSz w:w="11900" w:h="16838" w:orient="portrait"/>
          <w:cols w:equalWidth="0" w:num="1">
            <w:col w:w="11160"/>
          </w:cols>
          <w:pgMar w:left="240" w:top="459" w:right="499" w:bottom="1440" w:gutter="0" w:footer="0" w:header="0"/>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terms of the 2020/2022 indenture restrict our ability and the ability of certain of our subsidiaries (as described in “Description of 2020/2022 Notes”) to:</w:t>
      </w:r>
    </w:p>
    <w:p>
      <w:pPr>
        <w:spacing w:after="0" w:line="52"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4660"/>
        <w:spacing w:after="0"/>
        <w:rPr>
          <w:sz w:val="20"/>
          <w:szCs w:val="20"/>
          <w:color w:val="auto"/>
        </w:rPr>
      </w:pPr>
      <w:r>
        <w:rPr>
          <w:rFonts w:ascii="Arial" w:cs="Arial" w:eastAsia="Arial" w:hAnsi="Arial"/>
          <w:sz w:val="18"/>
          <w:szCs w:val="18"/>
          <w:color w:val="auto"/>
        </w:rPr>
        <w:t>• incur additional indebtedness;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create liens;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engage in sale-leaseback transactions;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pay dividends or make distributions in respect of capital stock;</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purchase or redeem capital stock;</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make investments or certain other restricted payments;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sell assets;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issue or sell stock of restricted subsidiaries;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enter into transactions with affiliates; or</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effect a consolidation or merger.</w:t>
      </w:r>
    </w:p>
    <w:p>
      <w:pPr>
        <w:spacing w:after="0" w:line="252" w:lineRule="exact"/>
        <w:rPr>
          <w:sz w:val="20"/>
          <w:szCs w:val="20"/>
          <w:color w:val="auto"/>
        </w:rPr>
      </w:pPr>
    </w:p>
    <w:p>
      <w:pPr>
        <w:ind w:left="4400" w:right="140"/>
        <w:spacing w:after="0" w:line="257" w:lineRule="auto"/>
        <w:rPr>
          <w:sz w:val="20"/>
          <w:szCs w:val="20"/>
          <w:color w:val="auto"/>
        </w:rPr>
      </w:pPr>
      <w:r>
        <w:rPr>
          <w:rFonts w:ascii="Arial" w:cs="Arial" w:eastAsia="Arial" w:hAnsi="Arial"/>
          <w:sz w:val="18"/>
          <w:szCs w:val="18"/>
          <w:color w:val="auto"/>
        </w:rPr>
        <w:t>However, these limitations will be subject to a number of important qualifications and exceptions. In addition, if the 2020 notes are rated investment grade at any time by both Moody’s Investors Service and Standard &amp; Poor’s Ratings Services, most of the restrictive covenants and corresponding events of default contained in the 2020/2022 indenture will be suspended.</w:t>
      </w:r>
    </w:p>
    <w:p>
      <w:pPr>
        <w:sectPr>
          <w:pgSz w:w="11900" w:h="16838" w:orient="portrait"/>
          <w:cols w:equalWidth="0" w:num="1">
            <w:col w:w="11160"/>
          </w:cols>
          <w:pgMar w:left="240" w:top="459" w:right="499" w:bottom="1440" w:gutter="0" w:footer="0" w:header="0"/>
          <w:type w:val="continuous"/>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Absence of a Public Market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2020 notes are freely transferable, but there may not be an active trading market for the 2020 notes. We cannot assure you as to the future liquidity of any market.</w:t>
      </w:r>
    </w:p>
    <w:p>
      <w:pPr>
        <w:spacing w:after="0" w:line="174"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 is serving as trustee under the 2020/2022 indenture.</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prospectus is delivered in connection with the sale of the 2020 notes by Jefferies in market-marking transactions effected from time to time. We will not receive any proceeds from such transactions.</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340"/>
        <w:spacing w:after="0" w:line="264" w:lineRule="auto"/>
        <w:rPr>
          <w:sz w:val="20"/>
          <w:szCs w:val="20"/>
          <w:color w:val="auto"/>
        </w:rPr>
      </w:pPr>
      <w:r>
        <w:rPr>
          <w:rFonts w:ascii="Arial" w:cs="Arial" w:eastAsia="Arial" w:hAnsi="Arial"/>
          <w:sz w:val="18"/>
          <w:szCs w:val="18"/>
          <w:color w:val="auto"/>
        </w:rPr>
        <w:t>You should consider all of the information contained in this prospectus before making an investment in the 2020 notes. In particular, you should consider the risks described under “Risk Factors.”</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60"/>
          </w:cols>
          <w:pgMar w:left="240" w:top="459" w:right="4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Terms of the 2022 Notes</w:t>
      </w:r>
    </w:p>
    <w:p>
      <w:pPr>
        <w:spacing w:after="0" w:line="229"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The following is a summary of the terms of the 2022 notes. For a more complete description of the 2022 notes as well as the definitions of certain capitalized terms used below, see “Description of 2020/2022 Notes” in this prospectus.</w:t>
      </w:r>
    </w:p>
    <w:p>
      <w:pPr>
        <w:sectPr>
          <w:pgSz w:w="11900" w:h="16838" w:orient="portrait"/>
          <w:cols w:equalWidth="0" w:num="1">
            <w:col w:w="11260"/>
          </w:cols>
          <w:pgMar w:left="240" w:top="459" w:right="39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Spectrum Brands, Inc.</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2022 Notes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6.625% Senior Notes due 2022.</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November 15, 2022.</w:t>
      </w:r>
    </w:p>
    <w:p>
      <w:pPr>
        <w:spacing w:after="0" w:line="21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2022 notes will bear interest at a rate of 6.625% per annum. Interest on the 2022 notes will be payable in cash on May 15 and November 15 of each year.</w:t>
      </w:r>
    </w:p>
    <w:p>
      <w:pPr>
        <w:spacing w:after="0" w:line="19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80"/>
        <w:spacing w:after="0" w:line="279" w:lineRule="auto"/>
        <w:rPr>
          <w:sz w:val="20"/>
          <w:szCs w:val="20"/>
          <w:color w:val="auto"/>
        </w:rPr>
      </w:pPr>
      <w:r>
        <w:rPr>
          <w:rFonts w:ascii="Arial" w:cs="Arial" w:eastAsia="Arial" w:hAnsi="Arial"/>
          <w:sz w:val="17"/>
          <w:szCs w:val="17"/>
          <w:color w:val="auto"/>
        </w:rPr>
        <w:t>On or after November 15, 2017, we may redeem some or all of the 2022 notes at any time at the redemption prices set forth in “Description of 2020/2022 Notes—Optional Redemption.” In addition, prior to November 15, 2017, we may redeem the 2022 notes at a redemption price equal to 100% of the principal amount plus a “make-whole” premium.</w:t>
      </w:r>
    </w:p>
    <w:p>
      <w:pPr>
        <w:spacing w:after="0" w:line="19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Upon a Change of Control (as defined under “Description of 2020/2022 Notes”), we will be required to make an offer to purchase the 2022 notes. The purchase price will equal 101% of the principal amount of the 2022 notes on the date of purchase plus accrued and unpaid interest. We may not have sufficient funds available at the time of any Change of Control to make any required debt repayment (including repurchases of the 2022 notes). See “Risk Factors—Risks Related to the Notes—We may not be able to make the change of control offer required by the indentures.”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1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Guarantees</w:t>
      </w:r>
    </w:p>
    <w:p>
      <w:pPr>
        <w:spacing w:after="0" w:line="20" w:lineRule="exact"/>
        <w:rPr>
          <w:sz w:val="20"/>
          <w:szCs w:val="20"/>
          <w:color w:val="auto"/>
        </w:rPr>
      </w:pPr>
      <w:r>
        <w:rPr>
          <w:sz w:val="20"/>
          <w:szCs w:val="20"/>
          <w:color w:val="auto"/>
        </w:rPr>
        <w:br w:type="column"/>
      </w:r>
    </w:p>
    <w:p>
      <w:pPr>
        <w:ind w:right="780"/>
        <w:spacing w:after="0" w:line="308" w:lineRule="auto"/>
        <w:rPr>
          <w:sz w:val="20"/>
          <w:szCs w:val="20"/>
          <w:color w:val="auto"/>
        </w:rPr>
      </w:pPr>
      <w:r>
        <w:rPr>
          <w:rFonts w:ascii="Arial" w:cs="Arial" w:eastAsia="Arial" w:hAnsi="Arial"/>
          <w:sz w:val="17"/>
          <w:szCs w:val="17"/>
          <w:color w:val="auto"/>
        </w:rPr>
        <w:t>The 2022 notes will be unconditionally, jointly and severally guaranteed, on a senior unsecured basis, by SB/RH Holdings and all of our domestic subsidiaries.</w:t>
      </w:r>
    </w:p>
    <w:p>
      <w:pPr>
        <w:spacing w:after="0" w:line="174"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The 2022 notes and the related guarantees will be the senior unsecured obligations of us and the guarantors and will:</w:t>
      </w:r>
    </w:p>
    <w:p>
      <w:pPr>
        <w:spacing w:after="0" w:line="76"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820" w:right="200" w:hanging="159"/>
        <w:spacing w:after="0" w:line="277" w:lineRule="auto"/>
        <w:tabs>
          <w:tab w:leader="none" w:pos="4800" w:val="left"/>
        </w:tabs>
        <w:rPr>
          <w:sz w:val="20"/>
          <w:szCs w:val="20"/>
          <w:color w:val="auto"/>
        </w:rPr>
      </w:pPr>
      <w:r>
        <w:rPr>
          <w:rFonts w:ascii="Arial" w:cs="Arial" w:eastAsia="Arial" w:hAnsi="Arial"/>
          <w:sz w:val="18"/>
          <w:szCs w:val="18"/>
          <w:color w:val="auto"/>
        </w:rPr>
        <w:t>•</w:t>
        <w:tab/>
        <w:t>rank equally in right of payment with all of our and the guarantors’ existing and future senior indebtedness, including the other notes; and</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79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779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rank senior in right of payment to all of our and the guarantors’ future indebtedness that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expressly provide for its subordination to the 2022 notes and the related guarantees.</w:t>
      </w:r>
    </w:p>
    <w:p>
      <w:pPr>
        <w:spacing w:after="0" w:line="261" w:lineRule="exact"/>
        <w:rPr>
          <w:sz w:val="20"/>
          <w:szCs w:val="20"/>
          <w:color w:val="auto"/>
        </w:rPr>
      </w:pPr>
    </w:p>
    <w:p>
      <w:pPr>
        <w:ind w:left="4400" w:right="60"/>
        <w:spacing w:after="0" w:line="257" w:lineRule="auto"/>
        <w:rPr>
          <w:sz w:val="20"/>
          <w:szCs w:val="20"/>
          <w:color w:val="auto"/>
        </w:rPr>
      </w:pPr>
      <w:r>
        <w:rPr>
          <w:rFonts w:ascii="Arial" w:cs="Arial" w:eastAsia="Arial" w:hAnsi="Arial"/>
          <w:sz w:val="18"/>
          <w:szCs w:val="18"/>
          <w:color w:val="auto"/>
        </w:rPr>
        <w:t>However, the 2022 notes will be effectively subordinated to any of our secured indebtedness, including under our Secured Credit Facilities, to the extent of the value of the assets securing such indebtedness. In addition, the 2022 notes will be structurally subordinated to all indebtedness and other liabilities of Spectrum Brands’ subsidiaries that do not guarantee the 2022 notes.</w:t>
      </w:r>
    </w:p>
    <w:p>
      <w:pPr>
        <w:sectPr>
          <w:pgSz w:w="11900" w:h="16838" w:orient="portrait"/>
          <w:cols w:equalWidth="0" w:num="1">
            <w:col w:w="11160"/>
          </w:cols>
          <w:pgMar w:left="240" w:top="459" w:right="499" w:bottom="1440" w:gutter="0" w:footer="0" w:header="0"/>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terms of the 2020/2022 indenture restrict our ability and the ability of certain of our subsidiaries (as described in “Description of 2020/2022 Notes”) to:</w:t>
      </w:r>
    </w:p>
    <w:p>
      <w:pPr>
        <w:spacing w:after="0" w:line="52"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4660"/>
        <w:spacing w:after="0"/>
        <w:rPr>
          <w:sz w:val="20"/>
          <w:szCs w:val="20"/>
          <w:color w:val="auto"/>
        </w:rPr>
      </w:pPr>
      <w:r>
        <w:rPr>
          <w:rFonts w:ascii="Arial" w:cs="Arial" w:eastAsia="Arial" w:hAnsi="Arial"/>
          <w:sz w:val="18"/>
          <w:szCs w:val="18"/>
          <w:color w:val="auto"/>
        </w:rPr>
        <w:t>• incur additional indebtedness;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create liens;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engage in sale-leaseback transactions;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pay dividends or make distributions in respect of capital stock;</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purchase or redeem capital stock;</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make investments or certain other restricted payments;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sell assets;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issue or sell stock of restricted subsidiaries;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enter into transactions with affiliates; or</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effect a consolidation or merger.</w:t>
      </w:r>
    </w:p>
    <w:p>
      <w:pPr>
        <w:spacing w:after="0" w:line="252" w:lineRule="exact"/>
        <w:rPr>
          <w:sz w:val="20"/>
          <w:szCs w:val="20"/>
          <w:color w:val="auto"/>
        </w:rPr>
      </w:pPr>
    </w:p>
    <w:p>
      <w:pPr>
        <w:ind w:left="4400" w:right="140"/>
        <w:spacing w:after="0" w:line="257" w:lineRule="auto"/>
        <w:rPr>
          <w:sz w:val="20"/>
          <w:szCs w:val="20"/>
          <w:color w:val="auto"/>
        </w:rPr>
      </w:pPr>
      <w:r>
        <w:rPr>
          <w:rFonts w:ascii="Arial" w:cs="Arial" w:eastAsia="Arial" w:hAnsi="Arial"/>
          <w:sz w:val="18"/>
          <w:szCs w:val="18"/>
          <w:color w:val="auto"/>
        </w:rPr>
        <w:t>However, these limitations will be subject to a number of important qualifications and exceptions. In addition, if the 2022 notes are rated investment grade at any time by both Moody’s Investors Service and Standard &amp; Poor’s Ratings Services, most of the restrictive covenants and corresponding events of default contained in the 2020/2022 indenture will be suspended.</w:t>
      </w:r>
    </w:p>
    <w:p>
      <w:pPr>
        <w:sectPr>
          <w:pgSz w:w="11900" w:h="16838" w:orient="portrait"/>
          <w:cols w:equalWidth="0" w:num="1">
            <w:col w:w="11160"/>
          </w:cols>
          <w:pgMar w:left="240" w:top="459" w:right="499" w:bottom="1440" w:gutter="0" w:footer="0" w:header="0"/>
          <w:type w:val="continuous"/>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Absence of a Public Market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2022 notes are freely transferable, but there may not be an active trading market for the 2022 notes. We cannot assure you as to the future liquidity of any market.</w:t>
      </w:r>
    </w:p>
    <w:p>
      <w:pPr>
        <w:spacing w:after="0" w:line="174"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 is serving as trustee under the 2020/2022 indenture.</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prospectus is delivered in connection with the sale of the 2022 notes by Jefferies in market-marking transactions effected from time to time. We will not receive any proceeds from such transactions.</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340"/>
        <w:spacing w:after="0" w:line="264" w:lineRule="auto"/>
        <w:rPr>
          <w:sz w:val="20"/>
          <w:szCs w:val="20"/>
          <w:color w:val="auto"/>
        </w:rPr>
      </w:pPr>
      <w:r>
        <w:rPr>
          <w:rFonts w:ascii="Arial" w:cs="Arial" w:eastAsia="Arial" w:hAnsi="Arial"/>
          <w:sz w:val="18"/>
          <w:szCs w:val="18"/>
          <w:color w:val="auto"/>
        </w:rPr>
        <w:t>You should consider all of the information contained in this prospectus before making an investment in the 2022 notes. In particular, you should consider the risks described under “Risk Factors.”</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60"/>
          </w:cols>
          <w:pgMar w:left="240" w:top="459"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Terms of the 2024 Notes</w:t>
      </w:r>
    </w:p>
    <w:p>
      <w:pPr>
        <w:spacing w:after="0" w:line="229"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The following is a summary of the terms of the 2024 notes. For a more complete description of the 2024 notes as well as the definitions of certain capitalized terms used below, see “Description of 2024 Notes” in this prospectus.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Issuer</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Spectrum Brands, Inc.</w:t>
            </w:r>
          </w:p>
        </w:tc>
      </w:tr>
      <w:tr>
        <w:trPr>
          <w:trHeight w:val="473"/>
        </w:trPr>
        <w:tc>
          <w:tcPr>
            <w:tcW w:w="2880" w:type="dxa"/>
            <w:vAlign w:val="bottom"/>
          </w:tcPr>
          <w:p>
            <w:pPr>
              <w:spacing w:after="0"/>
              <w:rPr>
                <w:sz w:val="20"/>
                <w:szCs w:val="20"/>
                <w:color w:val="auto"/>
              </w:rPr>
            </w:pPr>
            <w:r>
              <w:rPr>
                <w:rFonts w:ascii="Arial" w:cs="Arial" w:eastAsia="Arial" w:hAnsi="Arial"/>
                <w:sz w:val="18"/>
                <w:szCs w:val="18"/>
                <w:color w:val="auto"/>
              </w:rPr>
              <w:t>2024 Notes</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6.125% Senior Notes due 2024.</w:t>
            </w:r>
          </w:p>
        </w:tc>
      </w:tr>
      <w:tr>
        <w:trPr>
          <w:trHeight w:val="473"/>
        </w:trPr>
        <w:tc>
          <w:tcPr>
            <w:tcW w:w="2880" w:type="dxa"/>
            <w:vAlign w:val="bottom"/>
          </w:tcPr>
          <w:p>
            <w:pPr>
              <w:spacing w:after="0"/>
              <w:rPr>
                <w:sz w:val="20"/>
                <w:szCs w:val="20"/>
                <w:color w:val="auto"/>
              </w:rPr>
            </w:pPr>
            <w:r>
              <w:rPr>
                <w:rFonts w:ascii="Arial" w:cs="Arial" w:eastAsia="Arial" w:hAnsi="Arial"/>
                <w:sz w:val="18"/>
                <w:szCs w:val="18"/>
                <w:color w:val="auto"/>
              </w:rPr>
              <w:t>Maturity Date</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December 15, 2024.</w:t>
            </w:r>
          </w:p>
        </w:tc>
      </w:tr>
      <w:tr>
        <w:trPr>
          <w:trHeight w:val="458"/>
        </w:trPr>
        <w:tc>
          <w:tcPr>
            <w:tcW w:w="2880" w:type="dxa"/>
            <w:vAlign w:val="bottom"/>
          </w:tcPr>
          <w:p>
            <w:pPr>
              <w:spacing w:after="0"/>
              <w:rPr>
                <w:sz w:val="20"/>
                <w:szCs w:val="20"/>
                <w:color w:val="auto"/>
              </w:rPr>
            </w:pPr>
            <w:r>
              <w:rPr>
                <w:rFonts w:ascii="Arial" w:cs="Arial" w:eastAsia="Arial" w:hAnsi="Arial"/>
                <w:sz w:val="18"/>
                <w:szCs w:val="18"/>
                <w:color w:val="auto"/>
              </w:rPr>
              <w:t>Interest</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0"/>
              </w:rPr>
              <w:t>The 2024 notes will bear interest at a rate of 6.125% per annum. Interest on the 2024 notes will</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be payable in cash on June 15 and December 15 of each year.</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Optional Redemption</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2"/>
              </w:rPr>
              <w:t>On or after December 15, 2019, we may redeem some or all of the 2024 notes at any time at</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7"/>
              </w:rPr>
              <w:t>the redemption prices set forth in “Description of 2024 Notes—Optional Redemption.” In</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3"/>
              </w:rPr>
              <w:t>addition, prior to December 15, 2019, we may redeem the 2024 notes at a redemption price</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equal to 100% of the principal amount plus a “make-whole” premium.</w:t>
            </w:r>
          </w:p>
        </w:tc>
      </w:tr>
      <w:tr>
        <w:trPr>
          <w:trHeight w:val="445"/>
        </w:trPr>
        <w:tc>
          <w:tcPr>
            <w:tcW w:w="2880" w:type="dxa"/>
            <w:vAlign w:val="bottom"/>
          </w:tcPr>
          <w:p>
            <w:pPr>
              <w:spacing w:after="0"/>
              <w:rPr>
                <w:sz w:val="24"/>
                <w:szCs w:val="24"/>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1"/>
              </w:rPr>
              <w:t>Before December 15, 2017, we may redeem up to 35% of the 2024 notes, including additional</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8"/>
              </w:rPr>
              <w:t>notes, with an amount of cash equal to the net proceeds of equity offerings at a price of</w:t>
            </w:r>
          </w:p>
        </w:tc>
      </w:tr>
      <w:tr>
        <w:trPr>
          <w:trHeight w:val="190"/>
        </w:trPr>
        <w:tc>
          <w:tcPr>
            <w:tcW w:w="2880" w:type="dxa"/>
            <w:vAlign w:val="bottom"/>
          </w:tcPr>
          <w:p>
            <w:pPr>
              <w:spacing w:after="0"/>
              <w:rPr>
                <w:sz w:val="16"/>
                <w:szCs w:val="16"/>
                <w:color w:val="auto"/>
              </w:rPr>
            </w:pPr>
          </w:p>
        </w:tc>
        <w:tc>
          <w:tcPr>
            <w:tcW w:w="8180" w:type="dxa"/>
            <w:vAlign w:val="bottom"/>
            <w:gridSpan w:val="3"/>
          </w:tcPr>
          <w:p>
            <w:pPr>
              <w:ind w:left="1320"/>
              <w:spacing w:after="0" w:line="190" w:lineRule="exact"/>
              <w:rPr>
                <w:sz w:val="20"/>
                <w:szCs w:val="20"/>
                <w:color w:val="auto"/>
              </w:rPr>
            </w:pPr>
            <w:r>
              <w:rPr>
                <w:rFonts w:ascii="Arial" w:cs="Arial" w:eastAsia="Arial" w:hAnsi="Arial"/>
                <w:sz w:val="18"/>
                <w:szCs w:val="18"/>
                <w:color w:val="auto"/>
                <w:w w:val="96"/>
              </w:rPr>
              <w:t>106.125% of principal plus accrued and unpaid interest, provided that at least 65% of the</w:t>
            </w:r>
          </w:p>
        </w:tc>
      </w:tr>
      <w:tr>
        <w:trPr>
          <w:trHeight w:val="20"/>
        </w:trPr>
        <w:tc>
          <w:tcPr>
            <w:tcW w:w="28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4"/>
              </w:rPr>
              <w:t>aggregate principal amount of the 2024 notes remains outstanding after the redemption, as</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further described in “Description of 2024 Notes—Optional Redemption.”</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Change of Control</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2"/>
              </w:rPr>
              <w:t>Upon a Change of Control (as defined under “Description of 2024 Notes”) we will be required</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8"/>
              </w:rPr>
              <w:t>to make an offer to purchase the 2024 notes. The purchase price will equal 101% of the</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2"/>
              </w:rPr>
              <w:t>principal amount of the 2024 notes on the date of purchase plus accrued and unpaid interest.</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2"/>
              </w:rPr>
              <w:t>We may not have sufficient funds available at the time of any Change of Control to make any</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1"/>
              </w:rPr>
              <w:t>required debt repayment (including repurchases of the 2024 notes). See “Risk Factors—Risks</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1"/>
              </w:rPr>
              <w:t>Related to the Notes—We may not be able to make the change of control offer required by the</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indentures.”</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Guarantees</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The 2024 notes will be unconditionally, jointly and severally guaranteed, on a senior</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unsecured basis, by SB/RH Holdings and all of our domestic subsidiaries.</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Ranking</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2"/>
              </w:rPr>
              <w:t>The 2024 notes and the related guarantees will be the senior unsecured obligations of us and</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the guarantors and will:</w:t>
            </w:r>
          </w:p>
        </w:tc>
      </w:tr>
      <w:tr>
        <w:trPr>
          <w:trHeight w:val="323"/>
        </w:trPr>
        <w:tc>
          <w:tcPr>
            <w:tcW w:w="2880" w:type="dxa"/>
            <w:vAlign w:val="bottom"/>
          </w:tcPr>
          <w:p>
            <w:pPr>
              <w:spacing w:after="0"/>
              <w:rPr>
                <w:sz w:val="24"/>
                <w:szCs w:val="24"/>
                <w:color w:val="auto"/>
              </w:rPr>
            </w:pPr>
          </w:p>
        </w:tc>
        <w:tc>
          <w:tcPr>
            <w:tcW w:w="8180" w:type="dxa"/>
            <w:vAlign w:val="bottom"/>
            <w:gridSpan w:val="3"/>
          </w:tcPr>
          <w:p>
            <w:pPr>
              <w:ind w:left="1580"/>
              <w:spacing w:after="0"/>
              <w:rPr>
                <w:sz w:val="20"/>
                <w:szCs w:val="20"/>
                <w:color w:val="auto"/>
              </w:rPr>
            </w:pPr>
            <w:r>
              <w:rPr>
                <w:rFonts w:ascii="Arial" w:cs="Arial" w:eastAsia="Arial" w:hAnsi="Arial"/>
                <w:sz w:val="18"/>
                <w:szCs w:val="18"/>
                <w:color w:val="auto"/>
                <w:w w:val="96"/>
              </w:rPr>
              <w:t>• rank equally in right of payment with all of our and the guarantors’ existing and future</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740"/>
              <w:spacing w:after="0"/>
              <w:rPr>
                <w:sz w:val="20"/>
                <w:szCs w:val="20"/>
                <w:color w:val="auto"/>
              </w:rPr>
            </w:pPr>
            <w:r>
              <w:rPr>
                <w:rFonts w:ascii="Arial" w:cs="Arial" w:eastAsia="Arial" w:hAnsi="Arial"/>
                <w:sz w:val="18"/>
                <w:szCs w:val="18"/>
                <w:color w:val="auto"/>
              </w:rPr>
              <w:t>senior indebtedness, including the other notes; and</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79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779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rank senior in right of payment to all of our and the guarantors’ future indebtedness that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expressly provide for its subordination to the 2024 notes and the related guarantees.</w:t>
      </w:r>
    </w:p>
    <w:p>
      <w:pPr>
        <w:spacing w:after="0" w:line="261" w:lineRule="exact"/>
        <w:rPr>
          <w:sz w:val="20"/>
          <w:szCs w:val="20"/>
          <w:color w:val="auto"/>
        </w:rPr>
      </w:pPr>
    </w:p>
    <w:p>
      <w:pPr>
        <w:ind w:left="4400" w:right="60"/>
        <w:spacing w:after="0" w:line="257" w:lineRule="auto"/>
        <w:rPr>
          <w:sz w:val="20"/>
          <w:szCs w:val="20"/>
          <w:color w:val="auto"/>
        </w:rPr>
      </w:pPr>
      <w:r>
        <w:rPr>
          <w:rFonts w:ascii="Arial" w:cs="Arial" w:eastAsia="Arial" w:hAnsi="Arial"/>
          <w:sz w:val="18"/>
          <w:szCs w:val="18"/>
          <w:color w:val="auto"/>
        </w:rPr>
        <w:t>However, the 2024 notes will be effectively subordinated to any of our secured indebtedness, including under our Secured Credit Facilities, to the extent of the value of the assets securing such indebtedness. In addition, the 2024 notes will be structurally subordinated to all indebtedness and other liabilities of Spectrum Brands’ subsidiaries that do not guarantee the 2024 notes.</w:t>
      </w:r>
    </w:p>
    <w:p>
      <w:pPr>
        <w:sectPr>
          <w:pgSz w:w="11900" w:h="16838" w:orient="portrait"/>
          <w:cols w:equalWidth="0" w:num="1">
            <w:col w:w="11160"/>
          </w:cols>
          <w:pgMar w:left="240" w:top="459" w:right="499" w:bottom="1440" w:gutter="0" w:footer="0" w:header="0"/>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terms of the 2024 notes indenture restrict our ability and the ability of certain of our subsidiaries (as described in “Description of 2024 Notes”) to:</w:t>
      </w:r>
    </w:p>
    <w:p>
      <w:pPr>
        <w:spacing w:after="0" w:line="76"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4660"/>
        <w:spacing w:after="0"/>
        <w:rPr>
          <w:sz w:val="20"/>
          <w:szCs w:val="20"/>
          <w:color w:val="auto"/>
        </w:rPr>
      </w:pPr>
      <w:r>
        <w:rPr>
          <w:rFonts w:ascii="Arial" w:cs="Arial" w:eastAsia="Arial" w:hAnsi="Arial"/>
          <w:sz w:val="18"/>
          <w:szCs w:val="18"/>
          <w:color w:val="auto"/>
        </w:rPr>
        <w:t>• incur additional indebtedness;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create liens;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engage in sale-leaseback transactions;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pay dividends or make distributions in respect of capital stock;</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purchase or redeem capital stock;</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make investments or certain other restricted payments;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sell assets;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issue or sell stock of restricted subsidiaries;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enter into transactions with affiliates; or</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effect a consolidation or merger.</w:t>
      </w:r>
    </w:p>
    <w:p>
      <w:pPr>
        <w:spacing w:after="0" w:line="252" w:lineRule="exact"/>
        <w:rPr>
          <w:sz w:val="20"/>
          <w:szCs w:val="20"/>
          <w:color w:val="auto"/>
        </w:rPr>
      </w:pPr>
    </w:p>
    <w:p>
      <w:pPr>
        <w:ind w:left="4400" w:right="120"/>
        <w:spacing w:after="0" w:line="257" w:lineRule="auto"/>
        <w:rPr>
          <w:sz w:val="20"/>
          <w:szCs w:val="20"/>
          <w:color w:val="auto"/>
        </w:rPr>
      </w:pPr>
      <w:r>
        <w:rPr>
          <w:rFonts w:ascii="Arial" w:cs="Arial" w:eastAsia="Arial" w:hAnsi="Arial"/>
          <w:sz w:val="18"/>
          <w:szCs w:val="18"/>
          <w:color w:val="auto"/>
        </w:rPr>
        <w:t>However, these limitations will be subject to a number of important qualifications and exceptions. In addition, if the 2024 notes are rated investment grade at any time by both Moody’s Investors Service and Standard &amp; Poor’s Ratings Services, most of the restrictive covenants and corresponding events of default contained in the 2024 notes indenture will be suspended.</w:t>
      </w:r>
    </w:p>
    <w:p>
      <w:pPr>
        <w:sectPr>
          <w:pgSz w:w="11900" w:h="16838" w:orient="portrait"/>
          <w:cols w:equalWidth="0" w:num="1">
            <w:col w:w="11160"/>
          </w:cols>
          <w:pgMar w:left="240" w:top="459" w:right="499" w:bottom="1440" w:gutter="0" w:footer="0" w:header="0"/>
          <w:type w:val="continuous"/>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Absence of a Public Market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2024 notes are freely transferable, but there may not be an active trading market for the 2024 notes. We cannot assure you as to the future liquidity of any market.</w:t>
      </w:r>
    </w:p>
    <w:p>
      <w:pPr>
        <w:spacing w:after="0" w:line="174"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 is serving as trustee under the 2024 notes indenture.</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prospectus is delivered in connection with the sale of the 2024 notes by Jefferies in market-marking transactions effected from time to time. We will not receive any proceeds from such transactions.</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Arial" w:cs="Arial" w:eastAsia="Arial" w:hAnsi="Arial"/>
          <w:sz w:val="18"/>
          <w:szCs w:val="18"/>
          <w:color w:val="auto"/>
        </w:rPr>
        <w:t>You should consider all of the information contained in this prospectus before making an investment in the 2024 notes, including the 2024 notes. In particular, you should consider the risks described under “Risk Factors.”</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60"/>
          </w:cols>
          <w:pgMar w:left="240" w:top="459"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Terms of the 2025 Notes</w:t>
      </w:r>
    </w:p>
    <w:p>
      <w:pPr>
        <w:spacing w:after="0" w:line="229"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The following is a summary of the terms of the 2025 notes. For a more complete description of the 2025 notes as well as the definitions of certain capitalized terms used below, see “Description of 2025 Notes” in this prospectus.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Issuer</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Spectrum Brands, Inc.</w:t>
            </w:r>
          </w:p>
        </w:tc>
      </w:tr>
      <w:tr>
        <w:trPr>
          <w:trHeight w:val="473"/>
        </w:trPr>
        <w:tc>
          <w:tcPr>
            <w:tcW w:w="2880" w:type="dxa"/>
            <w:vAlign w:val="bottom"/>
          </w:tcPr>
          <w:p>
            <w:pPr>
              <w:spacing w:after="0"/>
              <w:rPr>
                <w:sz w:val="20"/>
                <w:szCs w:val="20"/>
                <w:color w:val="auto"/>
              </w:rPr>
            </w:pPr>
            <w:r>
              <w:rPr>
                <w:rFonts w:ascii="Arial" w:cs="Arial" w:eastAsia="Arial" w:hAnsi="Arial"/>
                <w:sz w:val="18"/>
                <w:szCs w:val="18"/>
                <w:color w:val="auto"/>
              </w:rPr>
              <w:t>2025 Notes</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5.750% Senior Notes due 2025.</w:t>
            </w:r>
          </w:p>
        </w:tc>
      </w:tr>
      <w:tr>
        <w:trPr>
          <w:trHeight w:val="473"/>
        </w:trPr>
        <w:tc>
          <w:tcPr>
            <w:tcW w:w="2880" w:type="dxa"/>
            <w:vAlign w:val="bottom"/>
          </w:tcPr>
          <w:p>
            <w:pPr>
              <w:spacing w:after="0"/>
              <w:rPr>
                <w:sz w:val="20"/>
                <w:szCs w:val="20"/>
                <w:color w:val="auto"/>
              </w:rPr>
            </w:pPr>
            <w:r>
              <w:rPr>
                <w:rFonts w:ascii="Arial" w:cs="Arial" w:eastAsia="Arial" w:hAnsi="Arial"/>
                <w:sz w:val="18"/>
                <w:szCs w:val="18"/>
                <w:color w:val="auto"/>
              </w:rPr>
              <w:t>Maturity Date</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July 15, 2025.</w:t>
            </w:r>
          </w:p>
        </w:tc>
      </w:tr>
      <w:tr>
        <w:trPr>
          <w:trHeight w:val="458"/>
        </w:trPr>
        <w:tc>
          <w:tcPr>
            <w:tcW w:w="2880" w:type="dxa"/>
            <w:vAlign w:val="bottom"/>
          </w:tcPr>
          <w:p>
            <w:pPr>
              <w:spacing w:after="0"/>
              <w:rPr>
                <w:sz w:val="20"/>
                <w:szCs w:val="20"/>
                <w:color w:val="auto"/>
              </w:rPr>
            </w:pPr>
            <w:r>
              <w:rPr>
                <w:rFonts w:ascii="Arial" w:cs="Arial" w:eastAsia="Arial" w:hAnsi="Arial"/>
                <w:sz w:val="18"/>
                <w:szCs w:val="18"/>
                <w:color w:val="auto"/>
              </w:rPr>
              <w:t>Interest</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0"/>
              </w:rPr>
              <w:t>The 2025 notes will bear interest at a rate of 5.750% per annum. Interest on the 2025 notes will</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be payable in cash on July 15 and January 15 of each year.</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Optional Redemption</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5"/>
              </w:rPr>
              <w:t>On or after July 15, 2020, we may redeem some or all of the 2025 notes at any time at the</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redemption prices set forth in “Description of 2025 Notes—Optional Redemption.” In</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1"/>
              </w:rPr>
              <w:t>addition, prior to July 15, 2020, we may redeem the 2025 notes at a redemption price equal to</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100% of the principal amount plus a “make-whole” premium.</w:t>
            </w:r>
          </w:p>
        </w:tc>
      </w:tr>
      <w:tr>
        <w:trPr>
          <w:trHeight w:val="445"/>
        </w:trPr>
        <w:tc>
          <w:tcPr>
            <w:tcW w:w="2880" w:type="dxa"/>
            <w:vAlign w:val="bottom"/>
          </w:tcPr>
          <w:p>
            <w:pPr>
              <w:spacing w:after="0"/>
              <w:rPr>
                <w:sz w:val="24"/>
                <w:szCs w:val="24"/>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1"/>
              </w:rPr>
              <w:t>Before July 15, 2018, we may redeem up to 35% of the 2025 notes, including additional notes,</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1"/>
              </w:rPr>
              <w:t>with an amount of cash equal to the net proceeds of equity offerings at a price of 105.750% of</w:t>
            </w:r>
          </w:p>
        </w:tc>
      </w:tr>
      <w:tr>
        <w:trPr>
          <w:trHeight w:val="190"/>
        </w:trPr>
        <w:tc>
          <w:tcPr>
            <w:tcW w:w="2880" w:type="dxa"/>
            <w:vAlign w:val="bottom"/>
          </w:tcPr>
          <w:p>
            <w:pPr>
              <w:spacing w:after="0"/>
              <w:rPr>
                <w:sz w:val="16"/>
                <w:szCs w:val="16"/>
                <w:color w:val="auto"/>
              </w:rPr>
            </w:pPr>
          </w:p>
        </w:tc>
        <w:tc>
          <w:tcPr>
            <w:tcW w:w="8180" w:type="dxa"/>
            <w:vAlign w:val="bottom"/>
            <w:gridSpan w:val="3"/>
          </w:tcPr>
          <w:p>
            <w:pPr>
              <w:ind w:left="1320"/>
              <w:spacing w:after="0" w:line="190" w:lineRule="exact"/>
              <w:rPr>
                <w:sz w:val="20"/>
                <w:szCs w:val="20"/>
                <w:color w:val="auto"/>
              </w:rPr>
            </w:pPr>
            <w:r>
              <w:rPr>
                <w:rFonts w:ascii="Arial" w:cs="Arial" w:eastAsia="Arial" w:hAnsi="Arial"/>
                <w:sz w:val="18"/>
                <w:szCs w:val="18"/>
                <w:color w:val="auto"/>
                <w:w w:val="99"/>
              </w:rPr>
              <w:t>principal plus accrued and unpaid interest, provided that at least 65% of the aggregate</w:t>
            </w:r>
          </w:p>
        </w:tc>
      </w:tr>
      <w:tr>
        <w:trPr>
          <w:trHeight w:val="20"/>
        </w:trPr>
        <w:tc>
          <w:tcPr>
            <w:tcW w:w="28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8"/>
              </w:rPr>
              <w:t>principal amount of the 2025 notes remains outstanding after the redemption, as further</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described in “Description of 2025 Notes—Optional Redemption.”</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Change of Control</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2"/>
              </w:rPr>
              <w:t>Upon a Change of Control (as defined under “Description of 2025 Notes”) we will be required</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8"/>
              </w:rPr>
              <w:t>to make an offer to purchase the 2025 notes. The purchase price will equal 101% of the</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2"/>
              </w:rPr>
              <w:t>principal amount of the 2025 notes on the date of purchase plus accrued and unpaid interest.</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2"/>
              </w:rPr>
              <w:t>We may not have sufficient funds available at the time of any Change of Control to make any</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1"/>
              </w:rPr>
              <w:t>required debt repayment (including repurchases of the 2025 notes). See “Risk Factors—Risks</w:t>
            </w:r>
          </w:p>
        </w:tc>
      </w:tr>
      <w:tr>
        <w:trPr>
          <w:trHeight w:val="216"/>
        </w:trPr>
        <w:tc>
          <w:tcPr>
            <w:tcW w:w="2880" w:type="dxa"/>
            <w:vAlign w:val="bottom"/>
          </w:tcPr>
          <w:p>
            <w:pPr>
              <w:spacing w:after="0"/>
              <w:rPr>
                <w:sz w:val="18"/>
                <w:szCs w:val="18"/>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1"/>
              </w:rPr>
              <w:t>Related to the Notes—We may not be able to make the change of control offer required by the</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indentures.”</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Guarantees</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The 2025 notes will be unconditionally, jointly and severally guaranteed, on a senior</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unsecured basis, by SB/RH Holdings and all of our domestic subsidiaries.</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Ranking</w:t>
            </w: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w w:val="92"/>
              </w:rPr>
              <w:t>The 2025 notes and the related guarantees will be the senior unsecured obligations of us and</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320"/>
              <w:spacing w:after="0"/>
              <w:rPr>
                <w:sz w:val="20"/>
                <w:szCs w:val="20"/>
                <w:color w:val="auto"/>
              </w:rPr>
            </w:pPr>
            <w:r>
              <w:rPr>
                <w:rFonts w:ascii="Arial" w:cs="Arial" w:eastAsia="Arial" w:hAnsi="Arial"/>
                <w:sz w:val="18"/>
                <w:szCs w:val="18"/>
                <w:color w:val="auto"/>
              </w:rPr>
              <w:t>the guarantors and will:</w:t>
            </w:r>
          </w:p>
        </w:tc>
      </w:tr>
      <w:tr>
        <w:trPr>
          <w:trHeight w:val="323"/>
        </w:trPr>
        <w:tc>
          <w:tcPr>
            <w:tcW w:w="2880" w:type="dxa"/>
            <w:vAlign w:val="bottom"/>
          </w:tcPr>
          <w:p>
            <w:pPr>
              <w:spacing w:after="0"/>
              <w:rPr>
                <w:sz w:val="24"/>
                <w:szCs w:val="24"/>
                <w:color w:val="auto"/>
              </w:rPr>
            </w:pPr>
          </w:p>
        </w:tc>
        <w:tc>
          <w:tcPr>
            <w:tcW w:w="8180" w:type="dxa"/>
            <w:vAlign w:val="bottom"/>
            <w:gridSpan w:val="3"/>
          </w:tcPr>
          <w:p>
            <w:pPr>
              <w:ind w:left="1580"/>
              <w:spacing w:after="0"/>
              <w:rPr>
                <w:sz w:val="20"/>
                <w:szCs w:val="20"/>
                <w:color w:val="auto"/>
              </w:rPr>
            </w:pPr>
            <w:r>
              <w:rPr>
                <w:rFonts w:ascii="Arial" w:cs="Arial" w:eastAsia="Arial" w:hAnsi="Arial"/>
                <w:sz w:val="18"/>
                <w:szCs w:val="18"/>
                <w:color w:val="auto"/>
                <w:w w:val="96"/>
              </w:rPr>
              <w:t>• rank equally in right of payment with all of our and the guarantors’ existing and future</w:t>
            </w:r>
          </w:p>
        </w:tc>
      </w:tr>
      <w:tr>
        <w:trPr>
          <w:trHeight w:val="230"/>
        </w:trPr>
        <w:tc>
          <w:tcPr>
            <w:tcW w:w="2880" w:type="dxa"/>
            <w:vAlign w:val="bottom"/>
          </w:tcPr>
          <w:p>
            <w:pPr>
              <w:spacing w:after="0"/>
              <w:rPr>
                <w:sz w:val="20"/>
                <w:szCs w:val="20"/>
                <w:color w:val="auto"/>
              </w:rPr>
            </w:pPr>
          </w:p>
        </w:tc>
        <w:tc>
          <w:tcPr>
            <w:tcW w:w="8180" w:type="dxa"/>
            <w:vAlign w:val="bottom"/>
            <w:gridSpan w:val="3"/>
          </w:tcPr>
          <w:p>
            <w:pPr>
              <w:ind w:left="1740"/>
              <w:spacing w:after="0"/>
              <w:rPr>
                <w:sz w:val="20"/>
                <w:szCs w:val="20"/>
                <w:color w:val="auto"/>
              </w:rPr>
            </w:pPr>
            <w:r>
              <w:rPr>
                <w:rFonts w:ascii="Arial" w:cs="Arial" w:eastAsia="Arial" w:hAnsi="Arial"/>
                <w:sz w:val="18"/>
                <w:szCs w:val="18"/>
                <w:color w:val="auto"/>
              </w:rPr>
              <w:t>senior indebtedness, including the other notes; and</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79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779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rank senior in right of payment to all of our and the guarantors’ future indebtedness that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expressly provide for its subordination to the 2025 notes and the related guarantees.</w:t>
      </w:r>
    </w:p>
    <w:p>
      <w:pPr>
        <w:spacing w:after="0" w:line="261" w:lineRule="exact"/>
        <w:rPr>
          <w:sz w:val="20"/>
          <w:szCs w:val="20"/>
          <w:color w:val="auto"/>
        </w:rPr>
      </w:pPr>
    </w:p>
    <w:p>
      <w:pPr>
        <w:ind w:left="4400" w:right="60"/>
        <w:spacing w:after="0" w:line="257" w:lineRule="auto"/>
        <w:rPr>
          <w:sz w:val="20"/>
          <w:szCs w:val="20"/>
          <w:color w:val="auto"/>
        </w:rPr>
      </w:pPr>
      <w:r>
        <w:rPr>
          <w:rFonts w:ascii="Arial" w:cs="Arial" w:eastAsia="Arial" w:hAnsi="Arial"/>
          <w:sz w:val="18"/>
          <w:szCs w:val="18"/>
          <w:color w:val="auto"/>
        </w:rPr>
        <w:t>However, the 2025 notes will be effectively subordinated to any of our secured indebtedness, including under our Secured Credit Facilities, to the extent of the value of the assets securing such indebtedness. In addition, the 2025 notes will be structurally subordinated to all indebtedness and other liabilities of Spectrum Brands’ subsidiaries that do not guarantee the 2025 notes.</w:t>
      </w:r>
    </w:p>
    <w:p>
      <w:pPr>
        <w:sectPr>
          <w:pgSz w:w="11900" w:h="16838" w:orient="portrait"/>
          <w:cols w:equalWidth="0" w:num="1">
            <w:col w:w="11160"/>
          </w:cols>
          <w:pgMar w:left="240" w:top="459" w:right="499" w:bottom="1440" w:gutter="0" w:footer="0" w:header="0"/>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terms of the 2025 notes indenture restrict our ability and the ability of certain of our subsidiaries (as described in “Description of 2025 Notes”) to:</w:t>
      </w:r>
    </w:p>
    <w:p>
      <w:pPr>
        <w:spacing w:after="0" w:line="76"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4660"/>
        <w:spacing w:after="0"/>
        <w:rPr>
          <w:sz w:val="20"/>
          <w:szCs w:val="20"/>
          <w:color w:val="auto"/>
        </w:rPr>
      </w:pPr>
      <w:r>
        <w:rPr>
          <w:rFonts w:ascii="Arial" w:cs="Arial" w:eastAsia="Arial" w:hAnsi="Arial"/>
          <w:sz w:val="18"/>
          <w:szCs w:val="18"/>
          <w:color w:val="auto"/>
        </w:rPr>
        <w:t>• incur additional indebtedness;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create liens;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engage in sale-leaseback transactions;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pay dividends or make distributions in respect of capital stock;</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purchase or redeem capital stock;</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make investments or certain other restricted payments;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sell assets;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issue or sell stock of restricted subsidiaries;</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enter into transactions with affiliates; or</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effect a consolidation or merger.</w:t>
      </w:r>
    </w:p>
    <w:p>
      <w:pPr>
        <w:spacing w:after="0" w:line="252" w:lineRule="exact"/>
        <w:rPr>
          <w:sz w:val="20"/>
          <w:szCs w:val="20"/>
          <w:color w:val="auto"/>
        </w:rPr>
      </w:pPr>
    </w:p>
    <w:p>
      <w:pPr>
        <w:ind w:left="4400" w:right="120"/>
        <w:spacing w:after="0" w:line="257" w:lineRule="auto"/>
        <w:rPr>
          <w:sz w:val="20"/>
          <w:szCs w:val="20"/>
          <w:color w:val="auto"/>
        </w:rPr>
      </w:pPr>
      <w:r>
        <w:rPr>
          <w:rFonts w:ascii="Arial" w:cs="Arial" w:eastAsia="Arial" w:hAnsi="Arial"/>
          <w:sz w:val="18"/>
          <w:szCs w:val="18"/>
          <w:color w:val="auto"/>
        </w:rPr>
        <w:t>However, these limitations will be subject to a number of important qualifications and exceptions. In addition, if the 2025 notes are rated investment grade at any time by both Moody’s Investors Service and Standard &amp; Poor’s Ratings Services, most of the restrictive covenants and corresponding events of default contained in the 2025 notes indenture will be suspended.</w:t>
      </w:r>
    </w:p>
    <w:p>
      <w:pPr>
        <w:sectPr>
          <w:pgSz w:w="11900" w:h="16838" w:orient="portrait"/>
          <w:cols w:equalWidth="0" w:num="1">
            <w:col w:w="11160"/>
          </w:cols>
          <w:pgMar w:left="240" w:top="459" w:right="499" w:bottom="1440" w:gutter="0" w:footer="0" w:header="0"/>
          <w:type w:val="continuous"/>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Absence of a Public Market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2025 notes are freely transferable, but there may not be an active trading market for the 2025 notes. We cannot assure you as to the future liquidity of any market.</w:t>
      </w:r>
    </w:p>
    <w:p>
      <w:pPr>
        <w:spacing w:after="0" w:line="174"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 is serving as trustee under the 2025 notes indenture.</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prospectus is delivered in connection with the sale of the 2025 notes by Jefferies in market-marking transactions effected from time to time. We will not receive any proceeds from such transactions.</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Arial" w:cs="Arial" w:eastAsia="Arial" w:hAnsi="Arial"/>
          <w:sz w:val="18"/>
          <w:szCs w:val="18"/>
          <w:color w:val="auto"/>
        </w:rPr>
        <w:t>You should consider all of the information contained in this prospectus before making an investment in the 2025 notes, including the 2025 notes. In particular, you should consider the risks described under “Risk Factors.”</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60"/>
          </w:cols>
          <w:pgMar w:left="240" w:top="459" w:right="4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73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8732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 Historical Financial Data of SB/RH Holdings</w:t>
      </w:r>
    </w:p>
    <w:p>
      <w:pPr>
        <w:spacing w:after="0" w:line="22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following summary historical financial data have been derived from SB/RH Holdings’ audited consolidated financial statements included elsewhere in this prospectus. SB/RH Holdings’ audited consolidated statements of financial position as of September 30, 2015 and 2014; and SB/RH Holdings’ audited consolidated statements of operations, audited consolidated statements of comprehensive income (loss), audited consolidated statements of shareholder’s equity and audited consolidated statements of cash flows, each for the years ended September 30, 2015, 2014 and 2013; are included elsewhere in this prospectus. SB/RH Holdings’ audited consolidated statement of financial position as of September 30, 2013 is not included in this prospectus.</w:t>
      </w:r>
    </w:p>
    <w:p>
      <w:pPr>
        <w:spacing w:after="0" w:line="193" w:lineRule="exact"/>
        <w:rPr>
          <w:sz w:val="20"/>
          <w:szCs w:val="20"/>
          <w:color w:val="auto"/>
        </w:rPr>
      </w:pPr>
    </w:p>
    <w:p>
      <w:pPr>
        <w:ind w:left="200" w:right="460" w:firstLine="443"/>
        <w:spacing w:after="0" w:line="259" w:lineRule="auto"/>
        <w:rPr>
          <w:sz w:val="20"/>
          <w:szCs w:val="20"/>
          <w:color w:val="auto"/>
        </w:rPr>
      </w:pPr>
      <w:r>
        <w:rPr>
          <w:rFonts w:ascii="Arial" w:cs="Arial" w:eastAsia="Arial" w:hAnsi="Arial"/>
          <w:sz w:val="18"/>
          <w:szCs w:val="18"/>
          <w:color w:val="auto"/>
        </w:rPr>
        <w:t>The financial information and other data indicated may not be indicative of future performance, and the financial information and other data presented for the interim periods may not be indicative of the results for the full year. This financial information and other data should be read in conjunction with the audited financial statements of SB/RH Holdings, including the notes thereto, and “Management’s Discussion and Analysis of Financial Condition and Results of Operations,” included elsewhere in this prospectus.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1"/>
              </w:rPr>
              <w:t>2015</w:t>
            </w:r>
            <w:r>
              <w:rPr>
                <w:rFonts w:ascii="Arial" w:cs="Arial" w:eastAsia="Arial" w:hAnsi="Arial"/>
                <w:sz w:val="12"/>
                <w:szCs w:val="12"/>
                <w:b w:val="1"/>
                <w:bCs w:val="1"/>
                <w:color w:val="auto"/>
                <w:w w:val="91"/>
              </w:rPr>
              <w:t>(1)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2014</w:t>
            </w:r>
            <w:r>
              <w:rPr>
                <w:rFonts w:ascii="Arial" w:cs="Arial" w:eastAsia="Arial" w:hAnsi="Arial"/>
                <w:sz w:val="12"/>
                <w:szCs w:val="12"/>
                <w:b w:val="1"/>
                <w:bCs w:val="1"/>
                <w:color w:val="auto"/>
                <w:w w:val="95"/>
              </w:rPr>
              <w:t>(2)</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1"/>
              </w:rPr>
              <w:t>2013</w:t>
            </w:r>
            <w:r>
              <w:rPr>
                <w:rFonts w:ascii="Arial" w:cs="Arial" w:eastAsia="Arial" w:hAnsi="Arial"/>
                <w:sz w:val="12"/>
                <w:szCs w:val="12"/>
                <w:b w:val="1"/>
                <w:bCs w:val="1"/>
                <w:color w:val="auto"/>
                <w:w w:val="91"/>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4,690.4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4,429.1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4,085.6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(4)</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non-operating expense, net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Income tax expense</w:t>
            </w:r>
            <w:r>
              <w:rPr>
                <w:rFonts w:ascii="Arial" w:cs="Arial" w:eastAsia="Arial" w:hAnsi="Arial"/>
                <w:sz w:val="15"/>
                <w:szCs w:val="15"/>
                <w:color w:val="auto"/>
              </w:rPr>
              <w:t>(5)</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Net (Loss) income attributable to non-controlling interest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controlling interest</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Restructuring and related charges—cost of goods sold</w:t>
            </w:r>
            <w:r>
              <w:rPr>
                <w:rFonts w:ascii="Arial" w:cs="Arial" w:eastAsia="Arial" w:hAnsi="Arial"/>
                <w:sz w:val="15"/>
                <w:szCs w:val="15"/>
                <w:color w:val="auto"/>
              </w:rPr>
              <w:t>(6)</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related charges—operating expenses</w:t>
            </w:r>
            <w:r>
              <w:rPr>
                <w:rFonts w:ascii="Arial" w:cs="Arial" w:eastAsia="Arial" w:hAnsi="Arial"/>
                <w:sz w:val="15"/>
                <w:szCs w:val="15"/>
                <w:color w:val="auto"/>
              </w:rPr>
              <w:t>(6)</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Cash Flow and Related Data:</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Capital expenditures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Statement of Financial Position Data (at period end):</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(7)</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7,297.9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5,511.3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long-term debt, net of current portion</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3,937.2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2,894.1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3,115.9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1,523.1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1,020.7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right="140" w:hanging="423"/>
        <w:spacing w:after="0" w:line="288" w:lineRule="auto"/>
        <w:tabs>
          <w:tab w:leader="none" w:pos="62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information presented as of and for the year ended September 30, 2015 includes the results of AAG operations since the acquisition date of May 21, 2015; the results of the Salix operations since the acquisition date of January 16, 2015; the results of the European IAMS and Eukanuba operations since the acquisition date of December 31, 2014; and the results of the Tell operations since the acquisition date of October 1, 2014.</w:t>
      </w:r>
    </w:p>
    <w:p>
      <w:pPr>
        <w:ind w:left="620" w:right="760" w:hanging="423"/>
        <w:spacing w:after="0" w:line="261"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information presented as of and for the year ended September 30, 2014 includes the results of the Liquid Fence operations since the acquisition date of January 2, 2014.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60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28600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700" w:hanging="423"/>
        <w:spacing w:after="0" w:line="274" w:lineRule="auto"/>
        <w:tabs>
          <w:tab w:leader="none" w:pos="620" w:val="left"/>
        </w:tabs>
        <w:numPr>
          <w:ilvl w:val="0"/>
          <w:numId w:val="9"/>
        </w:numPr>
        <w:rPr>
          <w:rFonts w:ascii="Arial" w:cs="Arial" w:eastAsia="Arial" w:hAnsi="Arial"/>
          <w:sz w:val="14"/>
          <w:szCs w:val="14"/>
          <w:color w:val="auto"/>
        </w:rPr>
      </w:pPr>
      <w:r>
        <w:rPr>
          <w:rFonts w:ascii="Arial" w:cs="Arial" w:eastAsia="Arial" w:hAnsi="Arial"/>
          <w:sz w:val="17"/>
          <w:szCs w:val="17"/>
          <w:color w:val="auto"/>
        </w:rPr>
        <w:t>The information presented as of and for the year ended September 30, 2013 includes the results of the HHI Business operations since the acquisition date of December 17, 2012, and the results of TLM Taiwan since the acquisition date of April 8, 2013.</w:t>
      </w:r>
    </w:p>
    <w:p>
      <w:pPr>
        <w:ind w:left="620" w:hanging="423"/>
        <w:spacing w:after="0" w:line="265" w:lineRule="auto"/>
        <w:tabs>
          <w:tab w:leader="none" w:pos="620" w:val="left"/>
        </w:tabs>
        <w:numPr>
          <w:ilvl w:val="0"/>
          <w:numId w:val="9"/>
        </w:numPr>
        <w:rPr>
          <w:rFonts w:ascii="Arial" w:cs="Arial" w:eastAsia="Arial" w:hAnsi="Arial"/>
          <w:sz w:val="14"/>
          <w:szCs w:val="14"/>
          <w:color w:val="auto"/>
        </w:rPr>
      </w:pPr>
      <w:r>
        <w:rPr>
          <w:rFonts w:ascii="Arial" w:cs="Arial" w:eastAsia="Arial" w:hAnsi="Arial"/>
          <w:sz w:val="17"/>
          <w:szCs w:val="17"/>
          <w:color w:val="auto"/>
        </w:rPr>
        <w:t>During the year ended September 30, 2015, there was interest expense of $58.8 million incurred related to the financing of the acquisition of AAG and the refinancing of the then-existing senior credit facility and asset based revolving loan facility. During the year ended September 30, 2014, a non-cash charge of $9.2 million was recognized as a result of the write-off of unamortized debt issuance costs and unamortized discounts in connection with the amendment of our then existing term loans. During the year ended September 30, 2013, there were $105.6 million fees and expenses along with a $10.9 million non-cash charge for the write-off of unamortized debt issuance cost and unamortized premiums in connection with the extinguishment and replacement of our 9.5% Senior Secured Notes due 2018 (the “9.5% Notes”) and then-existing term loan in conjunction with the acquisition of the HHI Business.</w:t>
      </w:r>
    </w:p>
    <w:p>
      <w:pPr>
        <w:spacing w:after="0" w:line="1" w:lineRule="exact"/>
        <w:rPr>
          <w:rFonts w:ascii="Arial" w:cs="Arial" w:eastAsia="Arial" w:hAnsi="Arial"/>
          <w:sz w:val="14"/>
          <w:szCs w:val="14"/>
          <w:color w:val="auto"/>
        </w:rPr>
      </w:pPr>
    </w:p>
    <w:p>
      <w:pPr>
        <w:ind w:left="620" w:hanging="423"/>
        <w:spacing w:after="0" w:line="265" w:lineRule="auto"/>
        <w:tabs>
          <w:tab w:leader="none" w:pos="620" w:val="left"/>
        </w:tabs>
        <w:numPr>
          <w:ilvl w:val="0"/>
          <w:numId w:val="9"/>
        </w:numPr>
        <w:rPr>
          <w:rFonts w:ascii="Arial" w:cs="Arial" w:eastAsia="Arial" w:hAnsi="Arial"/>
          <w:sz w:val="14"/>
          <w:szCs w:val="14"/>
          <w:color w:val="auto"/>
        </w:rPr>
      </w:pPr>
      <w:r>
        <w:rPr>
          <w:rFonts w:ascii="Arial" w:cs="Arial" w:eastAsia="Arial" w:hAnsi="Arial"/>
          <w:sz w:val="17"/>
          <w:szCs w:val="17"/>
          <w:color w:val="auto"/>
        </w:rPr>
        <w:t>During the year ended September 30, 2015, there was a non-cash benefit of $20.2 million from a decrease in the valuation allowance against net deferred tax assets, and a $22.8 million benefit due to the reversal of valuation allowance in conjunction with the acquisition of the AAG business. During the year ended September 30, 2014, there was a non-cash benefit of approximately $115.6 million from a decrease in the valuation allowance against net deferred tax assets. During the year ended September 30, 2013, there was a non-cash charge of approximately $64.4 million from an increase in the valuation allowance against net deferred tax assets, net of a $49.8 million benefit due to the reversal of a portion of the valuation allowance in conjunction with the acquisition of the HHI Business.</w:t>
      </w:r>
    </w:p>
    <w:p>
      <w:pPr>
        <w:spacing w:after="0" w:line="1" w:lineRule="exact"/>
        <w:rPr>
          <w:rFonts w:ascii="Arial" w:cs="Arial" w:eastAsia="Arial" w:hAnsi="Arial"/>
          <w:sz w:val="14"/>
          <w:szCs w:val="14"/>
          <w:color w:val="auto"/>
        </w:rPr>
      </w:pPr>
    </w:p>
    <w:p>
      <w:pPr>
        <w:ind w:left="620" w:right="460" w:hanging="423"/>
        <w:spacing w:after="0" w:line="250"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8"/>
          <w:szCs w:val="18"/>
          <w:color w:val="auto"/>
        </w:rPr>
        <w:t>See Note 4, “Restructuring and Related Charges,” to SB/RH Holdings’ audited consolidated financial statements, included elsewhere in this prospectus, for further discussion.</w:t>
      </w:r>
    </w:p>
    <w:p>
      <w:pPr>
        <w:ind w:left="620" w:hanging="423"/>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8"/>
          <w:szCs w:val="18"/>
          <w:color w:val="auto"/>
        </w:rPr>
        <w:t>Working capital is defined as current assets less current liabilities per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An investment in the notes involves risks. Before deciding whether to invest in the notes, in addition to the other information included in this prospectus, you should consider the matters addressed in the section entitled “Cautionary Statement Regarding Forward-Looking Statements” and the risks discussed below. While we believe that these risks are the most important for you to consider, you should read this prospectus carefully, including our financial statements, the notes to our financial statements and management’s discussion and analysis of our financial condition and results of operations, which are included elsewhere in this prospectus. These risk factors are not the only risks that we or our subsidiaries may face. Additional risks and uncertainties not presently known to us or not currently believed to be important also may adversely affect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notes will be Spectrum Brands’ senior unsecured obligations and the guarantees will be unsecured obligations of the guarantors. As such, the notes and the guarantees will be effectively subordinated to any of Spectrum Brands’ or the guarantors’ secured debt, including our existing and any future debt under our Secured Credit Facilities.</w:t>
      </w:r>
    </w:p>
    <w:p>
      <w:pPr>
        <w:spacing w:after="0" w:line="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Spectrum Brands’ obligations under the notes and the guarantors’ obligations under the guarantees will not be secured. The notes will be effectively subordinated to Spectrum Brands’ and the guarantors’ existing and any future secured indebtedness, including our Secured Credit Facilities, to the extent of the value of the assets securing such indebtedness, which assets include substantially all of our assets and the assets of our domestic restricted subsidiaries. As of September 30, 2015, Spectrum Brands and the guarantors had $1,637.1 million of secured indebtedness outstanding. If we are involved in any dissolution, liquidation or reorganization, or if we default under in the indentures governing the notes offered hereby (such indentures, collectively, the “Indentures”), holders of our secured debt would be paid before holders of the notes receive any amounts due under the notes to the extent of the value of the collateral securing such indebtedness. In that event, holders of the notes may not be able to recover any or all of the principal or interest due under the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effectively subordinated to all liabilities of, and claims of creditors of, all of our foreign subsidiaries.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notes will not be guaranteed by any of our non-U.S. subsidiaries. Any right that we or the guarantors have to receive any assets of any of the foreign subsidiaries upon the liquidation or reorganization of those subsidiaries, and the consequent rights of holders of notes to realize proceeds from the sale of any of those subsidiaries’ assets, will be effectively subordinated to the claims of those subsidiaries’ creditors, including trade creditors, and holders of preferred equity interests of those subsidiaries. The Indentures permit these subsidiaries to incur additional debt, subject to certain limits, and will not limit their ability to incur liabilities other than debt. As of September 30, 2015, these non-guarantor subsidiaries had 19% of our total liabilities and generated 54% of our revenue in the twelve months ended September 30, 2015.</w:t>
      </w:r>
    </w:p>
    <w:p>
      <w:pPr>
        <w:spacing w:after="0" w:line="30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comply with the restrictions and covenants in the agreements governing the notes and our other debt, there could be a default under the terms of these agreements, which could result in an acceleration of payment of funds that we have borrowed and would impact our ability to make principal and interest payments on the notes.</w:t>
      </w:r>
    </w:p>
    <w:p>
      <w:pPr>
        <w:spacing w:after="0" w:line="73"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If we are unable to comply with the restrictions and covenants in the Indentures, our Secured Credit Facilities or in current or future debt financing agreements, there could be a default under the terms of these agreements. Our ability to comply with these restrictions and covenants, including meeting financial ratios and tests, may be affected by events beyond our control. As a result, we cannot assure you that we will be able to comply with these restrictions and covenants or meet these tests. Any default under the agreements governing our indebtedness, including a default under the aforementioned debt instruments, that is not waived by the required lenders, and the remedies sought by the holders of such indebtedness, could prevent us from paying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(including covenants in the aforementioned debt instruments), we could be in default under the terms of the agreements governing such indebtedness. In the event of such default:</w:t>
      </w:r>
    </w:p>
    <w:p>
      <w:pPr>
        <w:spacing w:after="0" w:line="94" w:lineRule="exact"/>
        <w:rPr>
          <w:sz w:val="20"/>
          <w:szCs w:val="20"/>
          <w:color w:val="auto"/>
        </w:rPr>
      </w:pPr>
    </w:p>
    <w:p>
      <w:pPr>
        <w:ind w:left="9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lenders under the Secured Credit Facilities could elect to terminate their commitments thereunder, cease making further loans and institute foreclosure proceedings against our assets;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Moreover, the Secured Credit Facilities and the Indentures each contain cross-default or cross-acceleration provisions that would be triggered by the occurrence of a default or acceleration under other instruments governing our indebtedness. If the payment of our indebtedness is accelerated, there can be no assurance that our assets would be sufficient to repay in full that indebtedness and our other indebtedness that would become due as a result of any acceleration.</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our operating performance declines, we may in the future need to obtain waivers from the required lenders under our Secured Credit Facilities to avoid being in default. If we breach our covenants under our Secured Credit Facilities and seek a waiver, we may not be able to obtain a waiver from the required lenders. If this occurs, we would be in default under our Secured Credit Facilities, the lenders could exercise their rights, as described above, and we could be forced into bankruptcy or liquidation.</w:t>
      </w:r>
    </w:p>
    <w:p>
      <w:pPr>
        <w:spacing w:after="0" w:line="2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Despite our current levels of debt, we may still incur substantially more debt ranking equal or effectively senior to the notes and increase the risks associated with our proposed leverage.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restriction and limitation, we or our subsidiaries could incur significant additional indebtedness in the future. The provisions contained in the Indentures and in our other debt agreements limit but do not prohibit our ability to incur additional indebtedness on an equal and ratable basis with the notes. In addition, any of our debt could be secured and therefore would be effectively senior to the notes to the extent of the value of the collateral securing that debt. This may have the effect of reducing the amount of proceeds available for the notes in the event of any bankruptcy, liquidation, reorganization or similar proceeding. If new debt is added to our current debt levels, the related risks that we now face as a result of our indebtedness could intensify.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transfer statutes may limit your rights as a holder of the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and state fraudulent transfer laws as previously interpreted by various courts permit a court, if it makes certain findings, to:</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 all or a portion of our obligations to holders of the notes;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subordinate our obligations to holders of the notes to our other existing and future creditors, entitling such creditors to be paid in full before any payment is made on the notes;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other action detrimental to holders of the notes, including invalidating the notes.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that event, we cannot assure you that you would ever be repaid. There is also no assurance that amounts previously paid to you pursuant to the notes or guarantees would not be subject to return.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Under federal and state fraudulent transfer laws, in order to take any of those actions, courts will typically need to find that we or the guarantors received less than fair consideration or reasonably equivalent value for incurring the indebtedness represented by the notes, and at the time the notes were issued:</w:t>
      </w:r>
    </w:p>
    <w:p>
      <w:pPr>
        <w:spacing w:after="0" w:line="8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were insolvent or were rendered insolvent by reason of the issuance of the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were engaged, or were about to engage, in a business or transaction for which our capital was unreasonably small;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intended to incur, or believed or should have believed we would incur, indebtedness beyond our ability to pay as such indebtedness matures; or</w:t>
      </w:r>
    </w:p>
    <w:p>
      <w:pPr>
        <w:spacing w:after="0" w:line="153"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were a defendant in an action for money damages, or had a judgment for money damages docketed against us or such guarantor if, in either case, after final judgment, the judgment was unsatisfied.</w:t>
      </w:r>
    </w:p>
    <w:p>
      <w:pPr>
        <w:spacing w:after="0" w:line="17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A court may also void an issuance of notes, a guarantee or grant of security, without regard to the above factors, if the court found that we issued the notes or the guarantors entered into their respective guaranty with actual intent to hinder, delay or defraud current or future creditors.</w:t>
      </w:r>
    </w:p>
    <w:p>
      <w:pPr>
        <w:spacing w:after="0" w:line="14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Many of the foregoing terms are defined in or interpreted under those fraudulent transfer statutes and as judicially interpreted. A court could find that we did not receive fair consideration or reasonably equivalent value for the incurrence of the indebtedness represented by the notes.</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measure of insolvency for purposes of the foregoing considerations will vary depending on the law of the jurisdiction that is being applied in any such proceeding. Generally, a company would be considered insolvent if, at the time it incurred the indebtedness:</w:t>
      </w:r>
    </w:p>
    <w:p>
      <w:pPr>
        <w:spacing w:after="0" w:line="7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its indebtedness (including contingent liabilities) is greater than its assets, at fair valuation;</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present fair saleable value of its assets is less than the amount required to pay the probable liability on its total existing indebtedness and liabilities (including contingent liabilities) as they become absolute and matured;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could not pay its debts as they became due.</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cannot assure you what standard a court would apply in determining our solvency and whether it would conclude that we were solvent when we incurred our obligations under the notes.</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the guarantees of the notes may also be subject to review under various laws for the protection of creditors. A court would likely find that we or a guarantor did not receive reasonably equivalent value or fair consideration for the notes or the guarantees, respectively, if we or a guarantor did not substantially benefit directly from the issuance of the notes. If a court were to void an issuance of the notes or the guarantees, you would no longer have a claim against us or the guarantors. Sufficient funds to repay the notes (or the related exchange notes) may not be available from other sources, including the remaining guarantors, if any. In addition, the court might direct you to repay any amounts that you already received from us or the guarantors. In addition, any payment by us pursuant to the notes made at a time we were found to be insolvent could be voided and required to be returned to us or to a fund for the benefit of our creditors if such payment is made to an insider within a one-year period prior to a bankruptcy filing or within 90 days for any outside party and such payment would give the creditors more than such creditors would have received in a distribution under the bankruptcy code.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make the change of control offer required by the Indentures.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Upon a change of control, subject to certain conditions, we are required to offer to repurchase all outstanding notes in cash equal to 101% of the principal amount thereof, plus accrued and unpaid interest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date of repurchase. We cannot assure you that we will have sufficient funds at the time of any change of control to make required repurchases of notes tendered. In addition, our other indebtedness agreements provide that certain change of control events will constitute an event of default thereunder. If the holders of the notes exercise their right to require us to repurchase all of the notes upon a change of control, the financial effect of this repurchase could cause a default under our other indebtedness, even if the change of control itself would not cause a default. Accordingly, it is possible that we will not have sufficient funds at the time of any such change of control to make the required repurchase of our other indebtedness and the notes or that restrictions in the Indentures will not allow such repurchases. In addition, holders may not be entitled to require us to repurchase their notes upon a change of control in certain circumstances involving a significant change in the composition of our board of directors, including in connection with a proxy contest where our board of directors does not endorse a dissident slate of directors but approves them for purposes of the “Continuing Directors” definition. Lastly, certain other corporate events, such as leveraged recapitalizations that would increase the level of our indebtedness, would not constitute a “Change of Control” under the Indentures. See “Description of 2020/2022 Notes—Repurchase at the Option of Holders—Change of Control,” “Description of 2024 Notes—Repurchase at the Option of Holders—Change of Control” and “Description of 2025 Notes—Repurchase at the Option of Holders—Change of Control,” as applicable,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notes may decline if we enter into a transaction that is not a change of control under the indentures.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enter into a highly leveraged transaction, reorganization, merger or similar transaction that is not a change of control under the indentures.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such transactions could result in a downgrade of our credit ratings, thereby negatively affecting the value of the notes.</w:t>
      </w:r>
    </w:p>
    <w:p>
      <w:pPr>
        <w:spacing w:after="0" w:line="3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ratings organizations could adversely affect our cost of financing and the market price of our securities, including the notes.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Credit rating agencies rate our debt securities on factors that include our operating results, actions that we take, their view of the general outlook for our industry and their view of the general outlook for the economy. Actions taken by the rating agencies can include maintaining, upgrading, or downgrading the current rating or placing us on a watch list for possible future downgrading. Downgrading the credit rating of our debt securities or placing us on a watch list for possible future downgrading would likely increase our cost of financing, limit our access to the capital markets and have an adverse effect on the market price of our securities, including the notes offered hereby.</w:t>
      </w:r>
    </w:p>
    <w:p>
      <w:pPr>
        <w:spacing w:after="0" w:line="29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b w:val="1"/>
          <w:bCs w:val="1"/>
          <w:i w:val="1"/>
          <w:iCs w:val="1"/>
          <w:color w:val="auto"/>
        </w:rPr>
        <w:t>If the notes are rated investment grade at any time by both Moody’s Investor Service and Standard &amp; Poor’s Ratings Services, most of the restrictive covenants and corresponding events of default contained in the indentures governing the notes will be suspended, resulting in a reduction of credit protection.</w:t>
      </w:r>
    </w:p>
    <w:p>
      <w:pPr>
        <w:spacing w:after="0" w:line="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at any time, the credit rating on the applicable series of notes, as determined by both Moody’s Investors Service and Standard &amp; Poor’s Ratings Services, equals or exceeds Baa3 and BBB-, respectively, or any equivalent replacement ratings, we will no longer be subject to most of the restrictive covenants and corresponding events of default contained in the applicable indenture. Any restrictive covenants or corresponding events of default that cease to apply to us as a result of achieving these ratings will be restored if one or both of the credit ratings on the notes later falls below these thresholds. However, during any period in which these restrictive covenants are suspended, we may incur other indebtedness, make restricted payments and take other actions that would have been prohibited if these covenants had been in effect. If the restrictive covenants are later restored, the actions taken while the covenants were suspended will not result in an event of default under the applicable indenture even if they would constitute an event of default at the time the covenants are restored. Accordingly, if these covenants and corresponding events of default are suspended, you will have less credit protection than you will at the time the notes are issued. See “Description of 2020/2022 Notes—Suspension of Certain Covenants,” “Description of 2024 Notes—Suspension of Certain Covenants” and “Description of 2025 Notes—Suspension of Certain Covenants,” as applicable.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of an active trading market for the notes.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cannot assure you that a liquid market for the notes will develop or, if developed, that it will continue or that you will be able to sell your notes at a particular time or at favorable prices. We have not applied, and do not intend to apply for listing or quotation of the notes on any securities exchange or automated quotation system.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is subject to a number of factors, including:</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25"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color w:val="auto"/>
        </w:rPr>
        <w:t>We understand that one or more of the initial purchasers with respect to the notes initially issued presently intend to make a market in the notes. However, they are not obligated to do so, and any market-making activity with respect to the notes may be discontinued at any time without notice. In addition, any market-making activity will be subject to the limits imposed by the Securities Act and the Exchange Act.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substantial indebtedness may limit our financial and operating flexibility, and we may incur additional debt, which could increase the risks associated with our substantial indebtedness.</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and we expect to continue to have, a significant amount of indebtedness. As of September 30, 2015, we had total indebtedness under Secured Credit Facilities, notes and other debt instruments of approximately $4 billion. Our substantial indebtedness has had, and could continue to have, material adverse consequences for our business, and may:</w:t>
      </w:r>
    </w:p>
    <w:p>
      <w:pPr>
        <w:spacing w:after="0" w:line="87" w:lineRule="exact"/>
        <w:rPr>
          <w:sz w:val="20"/>
          <w:szCs w:val="20"/>
          <w:color w:val="auto"/>
        </w:rPr>
      </w:pPr>
    </w:p>
    <w:p>
      <w:pPr>
        <w:ind w:left="900" w:right="80" w:hanging="446"/>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us to dedicate a large portion of our cash flow to pay principal and interest on our indebtedness, which will reduce the availability of our cash flow to fund working capital, capital expenditures, research and development expenditures and other business activities;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our ability to make strategic acquisitions, dispositions or to exploit business opportunities;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 or dispose of assets.</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Under the Secured Credit Facilities and the Indentures, we may incur additional indebtedness. If new debt is added to our existing debt levels, the related risks that we now face would increase.</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While we may enter into agreements limiting our exposure to higher debt service requirements, any such agreements may not offer complete protection from this risk.</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Secured Credit Facilities and the Indentures may restrict our ability to pursue our business strategies.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Secured Credit Facilities and the Indentures each restrict, among other things, asset dispositions, mergers and acquisitions, dividends, stock repurchases and redemptions, other restricted payments, indebtedness and preferred stock, loans and investments, liens and affiliate transactions. The Secured Credit Facilities and the Indentures also contain customary events of default. These covenants could among other things, limit our ability to fund future working capital and capital expenditures, engage in future acquisitions or development activities, or otherwise realize the value of our assets and opportunities fully. In addition, the Secured Credit Facilities and the Indentures require us to dedicate a portion of cash flow from operations to payments on debt and the Secured Credit Facilities contain financial covenants relating to maximum leverage and minimal interest coverage. Such requirements and covenants could limit the flexibility of our restricted entities in planning for, or reacting to, changes in the industries in which they operate. Our ability to comply with these covenants is subject to certain events outside of our control. If we are unable to comply with these covenants, the lenders under our Secured Credit Facilities could terminate their commitments and the lenders under our Secured Credit Facilities or the holders of the notes could accelerate repayment of our outstanding borrowings and, in either case, we may be unable to obtain adequate refinancing of outstanding borrowings on favorable terms or at all. If we are unable to repay outstanding borrowings when due, the lenders under the Secured Credit Facilities will also have the right to proceed against the collateral granted to them to secure the indebtedness owed to them. If our obligations under the Secured Credit Facilities are accelerated, we cannot assure you that our assets would be sufficient to repay in full such indebtedness.</w:t>
      </w:r>
    </w:p>
    <w:p>
      <w:pPr>
        <w:spacing w:after="0" w:line="29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sale or other disposition by HRG Group, Inc. (“HRG”), the holder of a majority of the outstanding shares of our common stock, to non-affiliates of a sufficient amount of the common stock of SB Holdings would constitute a change of control under the agreements governing our debt.</w:t>
      </w:r>
    </w:p>
    <w:p>
      <w:pPr>
        <w:spacing w:after="0" w:line="1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HRG owns a majority of the outstanding shares of the common stock of SB Holdings. The sale or other disposition by HRG to non-affiliates of a sufficient amount of the common stock of SB Holdings could constitute a change of control under certain of the agreements governing our debt, including any foreclosure on or sale of the SB Holdings’ common stock pledged as collateral by HRG pursuant to the indenture governing HRG’s 7.875% Senior Secured Notes due 2019. Under the Secured Credit Facilities, a change of control is an event of default and, if a change of control were to occur, we would be required to obtain an amendment to these agreements to avoid a default. If we were unable to obtain such an amendment, the lenders could accelerate the maturity of our Secured Credit Facilities. In addition, under the Indentures, upon a change of control, we are required to offer to repurchase such notes from the holders at a price equal to 101% of the principal amount of the notes plus accrued interest or obtain a waiver of default from the holders of such notes. If we were unable to make the change of control offer, or to obtain a waiver of default, it would be an event of default under the Indentures that could allow holders of such notes to accelerate the maturity of the notes.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current economic environment.</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The economic environment and related turmoil in the global financial system between 2008 and 2012 had an impact on our business and financial condition, and we may face additional challenges if economic and financial market conditions deteriorate in the future.</w:t>
      </w:r>
    </w:p>
    <w:p>
      <w:pPr>
        <w:spacing w:after="0" w:line="14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Global economic conditions have significantly impacted economic markets within certain sectors, with financial services and retail businesses being particularly impacted. Our ability to generate revenue depends significantly on discretionary consumer spending. It is difficult to predict new general economic conditions that could impact consumer and customer demand for our products or our ability to manage normal commercial relationships with our customers, suppliers and creditors. A number of negative economic factors, including constraints on the supply of credit to households, uncertainty and weakness in the labor market and general consumer fears of a new economic downturn could have a negative impact on discretionary consumer spending.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If the economy deteriorates or fails to further improve, our business could be negatively impacted, including as a result of reduced demand for our products or supplier or customer disruptions. Any weakness in discretionary consumer spending could have a material adverse effect on our revenues, results of operations and financial condition. In addition, our ability to access the capital markets may be restricted at a time when it could be necessary or beneficial to do so, which could have an impact on our flexibility to react to changing economic and business conditions.</w:t>
      </w:r>
    </w:p>
    <w:p>
      <w:pPr>
        <w:spacing w:after="0" w:line="17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 the last few years, concern over continuing high unemployment, stagnant economic performance and government debt levels in many European Union countries caused significant fluctuations of the Euro relative to other currencies, such as the U.S. Dollar. Continued weakness of the European economy could lead to a decrease in consumer confidence, which could cause reductions in discretionary spending and demand for our products. Furthermore, sovereign debt issues could also lead to further significant, and potentially longer-term, economic issues such as reduced economic growth and devaluation of the Euro against the U.S. Dollar, any of which could adversely affect our business, financial conditions and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and may not be able to retain those employees or recruit additional qualified personnel.</w:t>
      </w:r>
    </w:p>
    <w:p>
      <w:pPr>
        <w:spacing w:after="0" w:line="117"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We are highly dependent on the continuing efforts of our senior management team and other key personnel. Our business, financial condition and results of operations could be materially adversely affected if we lose any of these persons and are unable to attract and retain qualified replacements.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participate in very competitive markets and we may not be able to compete successfully, causing us to lose market share and sales.</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markets in which we participate are very competitive. In the consumer battery market, our primary competitors are Duracell (a brand of Procter &amp; Gamble), Energizer and Panasonic (a brand of Matsushita). In the electric shaving and grooming and electric personal care product markets, our primary competitors are Braun (a brand of Procter &amp; Gamble), Norelco (a brand of Philips), and Vidal Sassoon and Revlon (brands of Helen of Troy). In the pet supplies market, our primary competitors are Mars, Hartz and Central Garden &amp; Pet. In the Home and Garden Business, our principal national competitors are Scotts, Central Garden &amp; Pet and S.C. Johnson. Our principal national competitors within our small appliances product category include Jarden Corporation, DeLonghi America, Euro-Pro Operating LLC, Metro Thebe, Inc., (d/b/a HWI Breville) NACCO Industries, Inc. (Hamilton Beach ) and SEB S.A. In the hardware and home improvement industry, our principal competitors are Schlage, a division of Allegion, Masco, Fortune Brands, Kohler and American Standard. In the global auto care business, our primary competitors are Valvoline, Prestone, Turtle Wax, Black Magic and Store Brands- In each of these markets, we also face competition from numerous other companies. In addition, in a number of our product lines, we compete with our retail customers, who use their own private label brands, and with distributors and foreign manufacturers of unbranded products. Significant new competitors or increased competition from existing competitors may adversely affect our business, financial condition and results of our operations.</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compete with our competitors for consumer acceptance and limited shelf space based upon brand name recognition, perceived product quality, price, performance, product features and enhancements, product packaging and design innovation, as well as creative marketing, promotion and distribution strategies, and new product introductions. Our ability to compete in these consumer product markets may be adversely affected by a number of factors, including, but not limited to, the following:</w:t>
      </w:r>
    </w:p>
    <w:p>
      <w:pPr>
        <w:spacing w:after="0" w:line="92" w:lineRule="exact"/>
        <w:rPr>
          <w:sz w:val="20"/>
          <w:szCs w:val="20"/>
          <w:color w:val="auto"/>
        </w:rPr>
      </w:pPr>
    </w:p>
    <w:p>
      <w:pPr>
        <w:ind w:left="900" w:right="10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compete against many well-established companies that may have substantially greater financial and other resources, including personnel and research and development, and greater overall market share than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some key product lines, our competitors may have lower production costs and higher profit margins than us, which may enable them to compete more aggressively in offering retail discounts, rebates and other promotional incentives.</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advancements, product improvements or effective advertising campaigns by competitors may weaken consumer demand for our products.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purchasing behavior may shift to distribution channels, including to online retailers, where we and our customers do not have a strong presence.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preferences may change to lower margin products or products other than those we market.</w:t>
      </w:r>
    </w:p>
    <w:p>
      <w:pPr>
        <w:spacing w:after="0" w:line="130"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not be successful in the introduction, marketing and manufacture of any new products or product innovations or be able to develop and introduce, in a timely manner, innovations to our existing products that satisfy customer needs or achieve market acceptance.</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Some competitors may be willing to reduce prices and accept lower profit margins to compete with us. As a result of this competition, we could lose market share and sales, or be forced to reduce our prices to meet competition. If our product offerings are unable to compete successfully, our sales, results of operations and financial condition could be materially and adversely affected. In addition, we may be unable to implement changes to our products or otherwise adapt to changing consumer trends. If we are unable to respond to changing consumer trends, our operating results and financial condition could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certain of our products are seasonal and may cause our operating results and working capital requirements to fluctuate.</w:t>
      </w:r>
    </w:p>
    <w:p>
      <w:pPr>
        <w:spacing w:after="0" w:line="11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On a consolidated basis our financial results are approximately equally weighted between quarters, however, sales of certain product categories tend to be seasonal. Sales in the consumer battery, electric shaving and grooming and electric personal care product categories, particularly in North America, tend to be concentrated in the December holiday season (our first fiscal quarter). Demand for hardware and home improvement products increases during the spring and summer construction period (our third and fourth fiscal quarters) and demand for pet supplies products remains fairly constant throughout the year.</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Demand for home and garden control products typically peaks during the first six months of the calendar year (our second and third fiscal quarters). Small Appliances peaks from July through December primarily due to the increased demand by customers in the late summer for “back-to-school” sales and in the fall for the holiday season. Demand for auto care products is generally at its highest during the period from March to June (Spectrum’s second and third fiscal quarters) based upon historical customer seasonal purchasing patterns and timing of promotional activities. As a result of this seasonality, our inventory and working capital needs fluctuate significantly throughout the year. In addition, orders from retailers are often made late in the period preceding the applicable peak season, making forecasting of production schedules and inventory purchases difficult. If we are unable to accurately forecast and prepare for customer orders or our working capital needs, or there is a general downturn in business or economic conditions during these periods, our business, financial condition and results of operations could be materially and adversely affected.</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Adverse weather conditions during our peak selling seasons for our home and garden control and auto care products could have a material adverse effect on our Home and Garden Business and auto care business.</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Weather conditions have a significant impact on the timing and volume of sales of certain of our lawn and garden and household insecticide and repellent products. For example, periods of dry, hot weather can decrease insecticide sales, while periods of cold and wet weather can slow sales of herbicides. Adverse weather conditions during the first six months of the calendar year (our second and third fiscal quarters), when demand for home and garden control products typically peaks, could have a material adverse effect on our Home and Garden Business and our financial results during such period. Weather can also influence customer behavior for our auto care products, especially with appearance products, which sell best during warm, dry weather. There could be a</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 on the auto care segment if the weather is cold or wet, especially during peak sales season.</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significant international business risks that could hurt our business and cause our results of operations to fluctuate.</w:t>
      </w:r>
    </w:p>
    <w:p>
      <w:pPr>
        <w:spacing w:after="0" w:line="12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Approximately 40% of our net sales for the fiscal year ended September 30, 2015 were to customers outside of the U.S. Our pursuit of international growth opportunities may require significant investments for an extended period before returns on these investments, if any, are realized. Our international operations are subject to risks including, among others:</w:t>
      </w:r>
    </w:p>
    <w:p>
      <w:pPr>
        <w:spacing w:after="0" w:line="87" w:lineRule="exact"/>
        <w:rPr>
          <w:sz w:val="20"/>
          <w:szCs w:val="20"/>
          <w:color w:val="auto"/>
        </w:rPr>
      </w:pPr>
    </w:p>
    <w:p>
      <w:pPr>
        <w:ind w:left="9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including, without limitation, fluctuations in the foreign exchange rate of the Euro, British Pound, Brazilian Real, Canadian Dollar, Australian Dollar, Japanese Yen and the Mexican Peso;</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because our brand names may not be locally recognized, we must spend significant amounts of time and money to build brand recognition without certainty that we will be successful;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unrest;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instability, as a result of war, terrorist attacks, pandemics, natural disasters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developed infrastructure;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transfers of funds;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duties and quotas, as well as general transportation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domestic and international customs and tariffs;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protection of intellectual property in foreign countries;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regulatory environments;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complying with foreign law;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foregoing factors may have a material adverse effect on our ability to increase or maintain our supply of products, financial condition or results of operations.</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products utilize certain key raw materials; any significant increase in the price of, or change in supply and demand for, these raw materials could have a material and adverse effect on our business, financial condition and profits.</w:t>
      </w:r>
    </w:p>
    <w:p>
      <w:pPr>
        <w:spacing w:after="0" w:line="62"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principal raw materials used to produce our products—including zinc powder, brass, electrolytic manganese dioxide powder, petroleum-based plastic materials, steel, aluminum, copper and corrugated materials (for packaging)—are sourced either on a global or regional basis by us or our suppliers, and the prices of those raw materials are susceptible to price fluctuations due to supply and demand trends, energy costs, transportation costs, government regulations, duties and tariffs, changes in currency exchange rates, price controls, general economic conditions and other unforeseen circumstances. In particular, during the years 2012 and 2013, we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experienced extraordinary price increases for raw materials, particularly as a result of strong demand from China. Although we may increase the prices of certain of our goods to our customers, we may not be able to pass all of these cost increases on to our customers. As a result, our margins may be adversely impacted by such cost increases. We cannot provide any assurance that our sources of supply will not be interrupted due to changes in worldwide supply of or demand for raw materials or other events that interrupt material flow, which may have an adverse effect on our profitability and results of operations.</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regularly engage in forward purchase and hedging derivative transactions in an attempt to effectively manage and stabilize some of the raw material costs we expect to incur over the next 12 to 24 months. However, our hedging positions may not be effective, or may not anticipate beneficial trends, in a particular raw material market or may, as a result of changes in our business, no longer be useful for us. In addition, for certain of the principal raw materials we use to produce our products, such as electrolytic manganese dioxide powder, there are no available effective hedging markets. If these efforts are not effective or expose us to above average costs for an extended period of time, and we are unable to pass our raw materials costs on to our customers, our future profitability may be materially and adversely affected. Furthermore, with respect to transportation costs, certain modes of delivery are subject to fuel surcharges which are determined based upon the current cost of diesel fuel in relation to pre-established agreed upon costs. We may be unable to pass these fuel surcharges on to our customers, which may have an adverse effect on our profitability and results of operations.</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addition, we have exclusivity arrangements and minimum purchase requirements with certain of our suppliers for the Home and Garden Business, which increase our dependence upon and exposure to those suppliers. Some of those agreements include caps on the price we pay for our supplies and in certain instances, these caps have allowed us to purchase materials at below market prices. When we attempt to renew those contracts, the other parties to the contracts may not be willing to include or may limit the effect of those caps and could even attempt to impose above market prices in an effort to make up for any below market prices paid by us prior to the renewal of the agreement. Any failure to timely obtain suitable supplies at competitive prices could materially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utilize our U.S. net operating loss carryforwards.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of September 30, 2015, we had U.S. federal net operating loss carryforwards (“NOLs”) of $894.5 million and state NOLs of $68.7 million with capital loss carryforwards of $14.2 million. These NOLs expire through years ending in 2035. As of September 30, 2015, we determined that it continues to be more likely than not that the U.S. federal and most of the U.S. state net deferred tax asset, will not be realized in the future and as such recorded a full valuation allowance to offset the net U.S. federal and most of the U.S. state deferred tax asset, including our NOLs. In addition, as a consequence of earlier business combinations and issuances of common stock, the Company and its subsidiaries have had various changes of ownership, as defined under Section 382 of the Internal Revenue Code (the “IRC”) of 1986, as amended, that continue to subject a significant amount of our U.S. NOLs and other tax attributes to certain limitations.</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September 30, 2015, we estimate that approximately $272.9 million of the total U.S. federal NOLs with a federal tax benefit of $95.5 million and tax benefits of $16.7 million related to state NOLs would expire unused even if the Company generates sufficient income to otherwise use all its NOLs, due to the limitation in Section 382 of the IRC.</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are unable to fully utilize our NOLs to offset taxable income generated in the future, our future cash taxes could be materially and negatively impacted.</w:t>
      </w:r>
    </w:p>
    <w:p>
      <w:pPr>
        <w:spacing w:after="0" w:line="2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Consolidation of retailers and our dependence on a small number of key customers for a significant percentage of our sales may negatively affect our business, financial condition and results of operations.</w:t>
      </w:r>
    </w:p>
    <w:p>
      <w:pPr>
        <w:spacing w:after="0" w:line="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a result of consolidation of retailers and consumer trends toward national mass merchandisers, a significant percentage of our sales are attributable to a very limited group of customers. Our largest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accounted for 15% of our consolidated net sales for the fiscal year ended September 30, 2015. As these mass merchandisers and retailers grow larger and become more sophisticated, they may demand lower pricing, special packaging or impose other requirements on product suppliers. These business demands may relate to inventory practices, logistics or other aspects of the customer-supplier relationship. Because of the importance of these key customers, demands for price reductions or promotions, reductions in their purchases, changes in their financial condition or loss of their accounts could have a material adverse effect on our business, financial condition and results of operations.</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Although we have long-established relationships with many of our customers, we do not have long-term agreements with them and purchases are generally made through the use of individual purchase orders. Any significant reduction in purchases, failure to obtain anticipated orders or delays or cancellations of orders by any of these major customers, or significant pressure to reduce prices from any of these major customers, could have a material adverse effect on our business, financial condition and results of operations. Additionally, a significant deterioration in the financial condition of the retail industry in general, the bankruptcy of any of our customers or if any of our customers were to leave the business, could have a material adverse effect on our sales and profitability.</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 addition, as a result of the desire of retailers to more closely manage inventory levels, there is a growing trend among them to purchase products on a “just-in-time” basis. Due to a number of factors, including (i) manufacturing lead-times, (ii) seasonal purchasing patterns and (iii) the potential for material price increases, we may be required to shorten our lead-time for production and more closely anticipate our retailers’ and customers’ demands, which could in the future require us to carry additional inventories and increase our working capital and related financing requirements. This may increase the cost of warehousing inventory or result in excess inventory becoming difficult to manage, unusable or obsolete. In addition, if our retailers significantly change their inventory management strategies, we may encounter difficulties in filling customer orders or in liquidating excess inventories, or may find that customers are cancelling orders or returning products, which may have a material adverse effect on our business. See </w:t>
      </w:r>
      <w:r>
        <w:rPr>
          <w:rFonts w:ascii="Arial" w:cs="Arial" w:eastAsia="Arial" w:hAnsi="Arial"/>
          <w:sz w:val="17"/>
          <w:szCs w:val="17"/>
          <w:i w:val="1"/>
          <w:iCs w:val="1"/>
          <w:color w:val="auto"/>
        </w:rPr>
        <w:t>“We and AAG have similar major customers and the</w:t>
      </w:r>
      <w:r>
        <w:rPr>
          <w:rFonts w:ascii="Arial" w:cs="Arial" w:eastAsia="Arial" w:hAnsi="Arial"/>
          <w:sz w:val="17"/>
          <w:szCs w:val="17"/>
          <w:color w:val="auto"/>
        </w:rPr>
        <w:t xml:space="preserve"> </w:t>
      </w:r>
      <w:r>
        <w:rPr>
          <w:rFonts w:ascii="Arial" w:cs="Arial" w:eastAsia="Arial" w:hAnsi="Arial"/>
          <w:sz w:val="17"/>
          <w:szCs w:val="17"/>
          <w:i w:val="1"/>
          <w:iCs w:val="1"/>
          <w:color w:val="auto"/>
        </w:rPr>
        <w:t>loss of any significant customer may adversely affect our results of operations.”</w:t>
      </w:r>
    </w:p>
    <w:p>
      <w:pPr>
        <w:spacing w:after="0" w:line="179"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Furthermore, we primarily sell branded products and a move by one or more of our large customers to sell significant quantities of private label products, which we do not produce on their behalf and which directly compete with our products, could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our international operations, we face a number of risks related to exchange rates and foreign currencies.</w:t>
      </w:r>
    </w:p>
    <w:p>
      <w:pPr>
        <w:spacing w:after="0" w:line="11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international sales and certain of our expenses are transacted in foreign currencies. During the fiscal year ended September 30, 2015, approximately 40% of our net sales and operating expenses were denominated in foreign currencies. We expect that the amount of our revenues and expenses transacted in foreign currencies</w:t>
      </w:r>
    </w:p>
    <w:p>
      <w:pPr>
        <w:ind w:right="180"/>
        <w:spacing w:after="0" w:line="292" w:lineRule="auto"/>
        <w:rPr>
          <w:sz w:val="20"/>
          <w:szCs w:val="20"/>
          <w:color w:val="auto"/>
        </w:rPr>
      </w:pPr>
      <w:r>
        <w:rPr>
          <w:rFonts w:ascii="Arial" w:cs="Arial" w:eastAsia="Arial" w:hAnsi="Arial"/>
          <w:sz w:val="16"/>
          <w:szCs w:val="16"/>
          <w:color w:val="auto"/>
        </w:rPr>
        <w:t>will increase as our Latin American, European and Asian operations grow and as a result of acquisitions in these markets and, as a result, our exposure to risks associated with foreign currencies could increase accordingly. Significant changes in the value of the U.S. dollar in relation to foreign currencies will affect our cost of goods sold and our operating margins and could result in exchange losses or otherwise have a material effect on our business, financial condition and results of operations. Changes in currency exchange rates may also affect our sales to, purchases from and loans to our subsidiaries as well as sales to, purchases from and bank lines of credit with our customers, suppliers and creditors that are denominated in foreign currencies.</w:t>
      </w:r>
    </w:p>
    <w:p>
      <w:pPr>
        <w:spacing w:after="0" w:line="163"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source many products from China and other Asian countries. To the extent the Chinese Renminbi (“RMB”) or other currencies appreciate with respect to the U.S. dollar, we may experience fluctuations in our results of operations. Since 2005, the RMB has no longer been pegged to the U.S. dollar at a constant exchange rate and instead fluctuates versus a basket of currencies. Although the People’s Bank of China regularly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intervenes in the foreign exchange market to prevent significant short-term fluctuations in the exchange rate, the RMB may appreciate or depreciate within a flexible peg range against the U.S. dollar in the medium to long term. Moreover, it is possible that in the future Chinese authorities may lift restrictions on fluctuations in the RMB exchange rate and lessen intervention in the foreign exchange market.</w:t>
      </w:r>
    </w:p>
    <w:p>
      <w:pPr>
        <w:spacing w:after="0" w:line="18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While we may enter into hedging transactions in the future, the availability and effectiveness of these transactions may be limited, and we may not be able to successfully hedge our exposure to currency fluctuations. Further, we may not be successful in implementing customer pricing or other actions in an effort to mitigate the impact of currency fluctuations and, thus, our results of operations may be adversely impacted.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expose us to risks related to compliance with the laws and regulations of foreign countries.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subject to three EU Directives that may have a material impact on our business: Restriction of the Use of Hazardous Substances in Electrical and Electronic Equipment, Waste of Electrical and Electronic Equipment and the Directive on Batteries and Accumulators and Waste Batteries, discussed below. Restriction of the Use of Hazardous Substances in Electrical and Electronic Equipment requires us to eliminate specified hazardous materials from products we sell in EU member states. Waste of Electrical and Electronic Equipment requires us to collect and treat, dispose of or recycle certain products we manufacture or import into the EU at our own expense. The EU Directive on Batteries and Accumulators and Waste Batteries bans heavy metals in batteries by establishing maximum quantities of heavy metals in batteries and mandates waste management of these batteries, including collection, recycling and disposal systems, with the costs imposed upon producers and importers such as us. The costs associated with maintaining compliance or failing to comply with the EU Directives may harm our business. For example:</w:t>
      </w:r>
    </w:p>
    <w:p>
      <w:pPr>
        <w:spacing w:after="0" w:line="84" w:lineRule="exact"/>
        <w:rPr>
          <w:sz w:val="20"/>
          <w:szCs w:val="20"/>
          <w:color w:val="auto"/>
        </w:rPr>
      </w:pPr>
    </w:p>
    <w:p>
      <w:pPr>
        <w:ind w:left="90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contracts with our suppliers address related compliance issues, we may be unable to procure appropriate Restriction of the Use of Hazardous Substances in Electrical and Electronic Equipment compliant material in sufficient quantity and quality and/or be able to incorporate it into our product procurement processes without compromising quality and/or harming our cost structure.</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face excess and obsolete inventory risk related to non-compliant inventory that we may hold for which there is reduced demand, and we may need to write down the carrying value of such inventories.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unable to sell certain existing inventories of our batteries in Europe and other countries that have adopted similar regulations.</w:t>
      </w:r>
    </w:p>
    <w:p>
      <w:pPr>
        <w:spacing w:after="0" w:line="23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Many of the developing countries in which we operate do not have significant governmental regulation relating to environmental safety, occupational safety, employment practices or other business matters routinely regulated in the U.S. and EU or may not rigorously enforce such regulation. As these countries and their economies develop, it is possible that new regulations or increased enforcement of existing regulations may increase the expense of doing business in these countries. In addition, social legislation in many countries in which we operate may result in significantly higher expenses associated with labor costs, terminating employees or distributors and closing manufacturing facilities. Increases in our costs as a result of increased regulation, legislation or enforcement could materially and adversely affect our business, results of operations and financial condition.</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establish and protect our intellectual property rights, and the infringement or loss of our intellectual property rights could harm our business.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To establish and protect our intellectual property rights, we rely upon a combination of national, foreign and multi-national patent, trademark and trade secret laws, together with licenses, confidentiality agreements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other contractual arrangements. The measures that we take to protect our intellectual property rights may prove inadequate to prevent third parties from infringing or misappropriating our intellectual property. We may need to resort to litigation to enforce or defend our intellectual property rights. If a competitor or collaborator files a patent application claiming technology also claimed by us, or a trademark application claiming a trademark, service mark or trade dress also used by us, in order to protect our rights, we may have to participate in expensive and time consuming opposition or interference proceedings before the U.S. Patent and Trademark Office or a similar foreign agency. Similarly, our intellectual property rights may be challenged by third parties or invalidated through administrative process or litigation. The costs associated with protecting intellectual property rights, including litigation costs, may be material. Furthermore, even if our intellectual property rights are not directly challenged, disputes among third parties could lead to the weakening or invalidation of our intellectual property rights, or our competitors may independently develop technologies that are substantially equivalent or superior to our technology. Obtaining, protecting and defending intellectual property rights can be time consuming and expensive, and may require us to incur substantial costs, including the diversion of the time and resources of management and technical personnel.</w:t>
      </w:r>
    </w:p>
    <w:p>
      <w:pPr>
        <w:spacing w:after="0" w:line="17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Moreover, the laws of certain foreign countries in which we operate or may operate in the future do not protect, and the governments of certain foreign countries do not enforce, intellectual property rights to the same extent as do the laws and government of the U.S., which may negate our competitive or technological advantages in such markets. Also, some of the technology underlying our products is the subject of nonexclusive licenses from third parties. As a result, this technology could be made available to our competitors at any time. If we are unable to establish and then adequately protect our intellectual property rights, our business, financial condition and results of operations could be materially and adversely affected.</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license various trademarks, trade names and patents from third parties for certain of our products. These licenses generally place marketing obligations on us and require us to pay fees and royalties based on net sales or profits. Typically, these licenses may be terminated if we fail to satisfy certain minimum sales obligations or if we breach the terms of the license. The termination of these licensing arrangements could adversely affect our business, financial condition and results of operations.</w:t>
      </w:r>
    </w:p>
    <w:p>
      <w:pPr>
        <w:spacing w:after="0" w:line="18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Global Batteries &amp; Appliances segment, we license the use of the Black and Decker brand for marketing in certain small household appliances in North America, South America (excluding Brazil) and the Caribbean. In July 2014, The Black and Decker Corporation (“BDC”) extended the license agreement through December 2018. The failure to renew the license agreement with BDC or to enter into a new agreement on acceptable terms for the period following December 2018 could have a material adverse effect on our financial condition, liquidity and results of operations. Additionally, in connection with our acquisition of the HHI Business, we received a limited right to use certain Stanley Black and Decker trademarks, brand names and logos in marketing our products and services for only five years. Pursuant to a transitional trademark license agreement, Stanley Black and Decker granted us the right to use the “Stanley” and “Black and Decker” marks and logos, and certain other marks and logos, for up to five years after the completion of the HHI Business acquisition in connection with certain products and services. When our right to use these Stanley Black and Decker trademarks, brand names and logos expires, we may not be able to maintain or enjoy comparable name recognition or status under our new brand. If we are unable to successfully manage the transition of our business to our new brand, our reputation among our customers could be adversely affected, and our revenue and profitability could decline.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third parties that we are infringing their intellectual property and other litigation could adversely affect our business.</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From time to time in the past we have been subject to claims that we are infringing the intellectual property of others. We currently are the subject of such claims and it is possible that third parties will assert infringement claims against us in the future. An adverse finding against us in these or similar trademark or other intellectual property litigations may have a material adverse effect on our business, financial condition and results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operations. Any such claims, with or without merit, could be time consuming and expensive, and may require us to incur substantial costs, including the diversion of the resources of management and technical personnel, cause product delays or require us to enter into licensing or other agreements in order to secure continued access to necessary or desirable intellectual property. If we are deemed to be infringing a third party’s intellectual property and are unable to continue using that intellectual property as we had been, our business and results of operations could be harmed if we are unable to successfully develop non-infringing alternative intellectual property on a timely basis or license non-infringing alternatives or substitutes, if any exist, on commercially reasonable terms. In addition, an unfavorable ruling in intellectual property litigation could subject us to significant liability, as well as require us to cease developing, manufacturing or selling the affected products or using the affected processes or trademarks. Any significant restriction on our proprietary or licensed intellectual property that impedes our ability to develop and commercialize our products could have a material adverse effect on our business, financial condition and results of operations.</w:t>
      </w:r>
    </w:p>
    <w:p>
      <w:pPr>
        <w:spacing w:after="0" w:line="2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dependence on a few suppliers and one of our U.S. facilities for certain of our products makes us vulnerable to a disruption in the supply of our products.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Although we have long-standing relationships with many of our suppliers, we generally do not have long-term contracts with them. An adverse change in any of the following could have a material adverse effect on our business, financial condition and results of operations:</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identify and develop relationships with qualified suppliers;</w:t>
      </w:r>
    </w:p>
    <w:p>
      <w:pPr>
        <w:spacing w:after="0" w:line="130" w:lineRule="exact"/>
        <w:rPr>
          <w:rFonts w:ascii="Arial" w:cs="Arial" w:eastAsia="Arial" w:hAnsi="Arial"/>
          <w:sz w:val="18"/>
          <w:szCs w:val="18"/>
          <w:color w:val="auto"/>
        </w:rPr>
      </w:pPr>
    </w:p>
    <w:p>
      <w:pPr>
        <w:ind w:left="900" w:right="4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terms and conditions upon which we purchase products from our suppliers, including applicable exchange rates, transport and other costs, our suppliers’ willingness to extend credit to us to finance our inventory purchases and other factors beyond our control;</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condition of our suppliers;</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instability in the countries in which our suppliers are located, as a result of war, terrorist attacks, pandemics, natural disasters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import outsourced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suppliers’ noncompliance with applicable laws, trade restrictions and tariffs;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suppliers’ ability to manufacture and deliver outsourced products according to our standards of quality on a timely and efficient basis.</w:t>
      </w:r>
    </w:p>
    <w:p>
      <w:pPr>
        <w:spacing w:after="0" w:line="23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our relationship with one of our key suppliers is adversely affected, we may not be able to quickly or effectively replace such supplier and may not be able to retrieve tooling, molds or other specialized production equipment or processes used by such supplier in the manufacture of our products. The loss of one or more of our suppliers, a material reduction in their supply of products or provision of services to us or extended disruptions or interruptions in their operations could have a material adverse effect on our business, financial condition and results of operations.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manufacture the majority of our foil cutting systems for our shaving product lines, using specially designed machines and proprietary cutting technology, at our Portage, Wisconsin facility. In addition, we also manufacture the majority of our residential door locks at our Subic Bay, Philippines facility. Our home and garden products are mainly manufactured from our St. Louis, Missouri, facility. Damage to these facilities, or prolonged interruption in the operations of these facilities whether for repairs, as a result of labor difficulties or for other reasons, could have a material adverse effect on our ability to manufacture and sell our foil shaving, residential door locks and home and garden products which could in turn harm our business,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sales of products obtained from third-party suppliers.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sell a significant number of products that are manufactured by third party suppliers over which we have no direct control. While we have implemented processes and procedures to try to ensure that the suppliers we use are complying with all applicable regulations, there can be no assurances that such suppliers in all instances will comply with such processes and procedures or otherwise with applicable regulations. Noncompliance could result in our marketing and distribution of contaminated, defective or dangerous products which could subject us to liabilities and could result in the imposition by governmental authorities of procedures or penalties that could restrict or eliminate our ability to purchase products from non-compliant suppliers. Any or all of these effects could adversely affect our business, financial condition and results of operations.</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addition, the Dodd-Frank Wall Street Reform and Consumer Protection Act includes provisions regarding certain minerals and metals, known as conflict minerals, mined from the Democratic Republic of Congo and adjoining countries. These provisions require companies to undertake due diligence procedures and report on the use of conflict minerals in its products, including products manufactured by third parties. Compliance with these provisions will cause us to incur costs to certify that our supply chain is conflict free and we may face difficulties if our suppliers are unwilling or unable to verify the source of their materials. Our ability to source these minerals and metals may also be adversely impacted. In addition, our customers may require that we provide them with a certification and our inability to do so may disqualify us as a supplier.</w:t>
      </w:r>
    </w:p>
    <w:p>
      <w:pPr>
        <w:spacing w:after="0" w:line="2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Class action and derivative action lawsuits and other investigations, regardless of their merits, could have an adverse effect on our business, financial condition and results of operations.</w:t>
      </w:r>
    </w:p>
    <w:p>
      <w:pPr>
        <w:spacing w:after="0" w:line="62"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and certain of our officers and directors have been named in the past, and, may be named in the future, as defendants of class action and derivative action lawsuits. In the past, we have also received requests for information from government authorities. Regardless of their subject matter or merits, class action lawsuits and other government investigations may result in significant cost to us, which may not be covered by insurance, may divert the attention of management or may otherwise have an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significant product liability claims which our insurance may not cover and which could harm our reputation.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the ordinary course of our business, we may be named as a defendant in lawsuits involving product liability claims. In any such proceeding, plaintiffs may seek to recover large and sometimes unspecified amounts of damages and the matters may remain unresolved for several years. Any such matters could have a material adverse effect on our business, results of operations and financial condition if we are unable to successfully defend against or settle these matters or if our insurance coverage is insufficient to satisfy any judgments against us or settlements relating to these matters. Although we have product liability insurance coverage and an excess umbrella policy, our insurance policies may not provide coverage for certain, or any, claims against us or may not be sufficient to cover all possible liabilities. Additionally, we do not maintain product recall insurance. We may not be able to maintain such insurance on acceptable terms, if at all, in the future. Moreover, any adverse publicity arising from claims made against us, even if the claims were not successful, could adversely affect the reputation and sales of our products. In particular, product recalls or product liability claims challenging the safety of our products may result in a decline in sales for a particular product and could damage the reputation or the value of the related brand. This could be true even if the claims themselves are ultimately settled for immaterial amounts. This type of adverse publicity could occur and product liability claims could be made in the future.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material capital and other costs due to environmental liabilities.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are subject to a broad range of federal, state, local, foreign and multi-national laws and regulations relating to the environment. These include laws and regulations that govern:</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discharges to the air, water and land;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handling and disposal of solid and hazardous substances and wastes;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remediation of contamination associated with release of hazardous substances at our facilities and at off-site disposal locations.</w:t>
      </w:r>
    </w:p>
    <w:p>
      <w:pPr>
        <w:spacing w:after="0" w:line="22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Risk of environmental liability is inherent in our business. As a result, material environmental costs may arise in the future. In particular, we may incur capital and other costs to comply with increasingly stringent environmental laws and enforcement policies, such as the EU Directives: Restriction of the Use of Hazardous Substances in Electrical and Electronic Equipment, Waste of Electrical and Electronic Equipment and the Directive on Batteries and Accumulators and Waste Batteries, discussed above. Our international operations may expose us to risks related to compliance with the laws and regulations of foreign countries. See </w:t>
      </w:r>
      <w:r>
        <w:rPr>
          <w:rFonts w:ascii="Arial" w:cs="Arial" w:eastAsia="Arial" w:hAnsi="Arial"/>
          <w:sz w:val="16"/>
          <w:szCs w:val="16"/>
          <w:i w:val="1"/>
          <w:iCs w:val="1"/>
          <w:color w:val="auto"/>
        </w:rPr>
        <w:t>“—Our international operations may expose us to risks related to compliance with the laws and regulations of foreign countries.”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Moreover, there are proposed international accords and treaties, as well as federal, state and local laws and regulations, that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our products, such as by requiring investment in new pollution control equipment or changing the ways in which certain of our products are made. We may incur some of these costs directly and others may be passed on to us from our third-party suppliers. Although we believe that we are substantially in compliance with applicable environmental laws and regulations at our facilities, we may not always be in compliance with such laws and regulations or any new laws and regulations in the future, which could have a material adverse effect on our business, financial condition and results of operations.</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From time to time, we have been required to address the effect of historic activities on the environmental condition of our properties or former properties. We have not conducted invasive testing at all of our facilities to identify all potential environmental liability risks. Given the age of our facilities and the nature of our operations, material liabilities may arise in the future in connection with our current or former facilities. If previously unknown contamination of property underlying or in the vicinity of our manufacturing facilities is discovered, we could be required to incur material unforeseen expenses. If this occurs, it may have a material adverse effect on our business, financial condition and results of operations. We are currently engaged in investigative or remedial projects at a few of our facilities and any liabilities arising from such investigative or remedial projects at such facilities may have a material effect on our business, financial condition and results of operations.</w:t>
      </w:r>
    </w:p>
    <w:p>
      <w:pPr>
        <w:spacing w:after="0" w:line="17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in connection with certain business acquisitions, we have assumed, and in connection with future acquisitions may assume in the future, certain potential environmental liabilities. To the extent we have not identified such environmental liabilities or to the extent the indemnifications obtained from our counterparties are insufficient to cover such environmental liabilities, these environmental liabilities could have a material adverse effect on our business.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also subject to proceedings related to our disposal of industrial and hazardous material at off-site disposal locations or similar disposals made by other parties for which we are responsible as a result of our relationship with such other parties. These proceedings are under the Comprehensive Environmental Response, Compensation, and Liability Act (“CERCLA”) or similar state or foreign jurisdiction laws that hold persons who “arranged for” the disposal or treatment of such substances strictly liable for costs incurred in responding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release or threatened release of hazardous substances from such sites, regardless of fault or the lawfulness of the original disposal. Liability under CERCLA is typically joint and several, meaning that a liable party may be responsible for all of the costs incurred in investigating and remediating contamination at a site. We occasionally are identified by federal or state governmental agencies as being a potentially responsible party for response actions contemplated at an off-site facility. At the existing sites where we have been notified of our status as a potentially responsible party, it is either premature to determine if our potential liability, if any, will be material or we do not believe that our liability, if any, will be material. We may be named as a potentially responsible party under CERCLA or similar state or foreign jurisdiction laws in the future for other sites not currently known to us, and the costs and liabilities associated with these sites may have a material adverse effect on our business, financial condition and results of operations.</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Compliance with various public health, consumer protection and other regulations applicable to our products and facilities could increase our cost of doing business and expose us to additional requirements with which we may be unable to comply.</w:t>
      </w:r>
    </w:p>
    <w:p>
      <w:pPr>
        <w:spacing w:after="0" w:line="62"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Certain of our products sold through, and facilities operated under, each of our business segments are regulated by the Environmental Protection Agency (“EPA”), the Food and Drug Administration (“FDA”) or other federal consumer protection and product safety agencies and are subject to the regulations such agencies enforce, as well as by similar state, foreign and multinational agencies and regulations. For example, in the U.S., all products containing pesticides must be registered with the EPA and, in many cases, similar state and foreign agencies before they can be manufactured or sold. Our inability to obtain, or the cancellation of, any registration could have an adverse effect on our business, financial condition and results of operations.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and other ingredients, but we may not always be able to avoid or minimize these risks.</w:t>
      </w:r>
    </w:p>
    <w:p>
      <w:pPr>
        <w:spacing w:after="0" w:line="17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As a distributor of consumer products in the U.S., certain of our products are also subject to the Consumer Product Safety Act, which empowers the U.S. Consumer Product Safety Commission (the “Consumer Commission”) to exclude from the market products that are found to be unsafe or hazardous. Under certain circumstances, the Consumer Commission could require us to repair, replace or refund the purchase price of one or more of our products, or we may voluntarily do so. Any additional repurchases or recalls of our products could be costly to us and could damage the reputation or the value of our brands. If we are required to remove, or we voluntarily remove our products from the market, our reputation or brands could be tarnished and we may have large quantities of finished products that could not be sold. Furthermore, failure to timely notify the Consumer Commission of a potential safety hazard can result in significant fines being assessed against us. Additionally, laws regulating certain consumer products exist in some states, as well as in other countries in which we sell our products, and more restrictive laws and regulations may be adopted in the future.</w:t>
      </w:r>
    </w:p>
    <w:p>
      <w:pPr>
        <w:spacing w:after="0" w:line="179"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Food Quality Protection Act (“FQPA”) established a standard for food-use pesticides, which is that a reasonable certainty of no harm will result from the cumulative effect of pesticide exposures. Under the FQPA, the EPA is evaluating the cumulative effects from dietary and non-dietary exposures to pesticides. The pesticides in certain of our products that are sold through the Home and Garden Business continue to be evaluated by the EPA as part of this program. It is possible that the EPA or a third party active ingredient registrant may decide that a pesticide we use in our products will be limited or made unavailable to us. We cannot predict the outcome or the severity of the effect of the EPA’s continuing evaluations of active ingredients used in our products.</w:t>
      </w:r>
    </w:p>
    <w:p>
      <w:pPr>
        <w:spacing w:after="0" w:line="15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the use of certain pesticide products that are sold through our Home and Garden Business may, among other things, be regulated by various local, state, federal and foreign environmental and public health agencies. These regulations may require that only certified or professional users apply the product, that users post notices on properties where products have been or will be applied or that certain ingredients may not be used. Compliance with such public health regulations could increase our cost of doing business and expose us to additional requirements with which we may be unable to comply.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Any failure to comply with these laws or regulations, or the terms of applicable environmental permits, could result in us incurring substantial costs, including fines, penalties and other civil and criminal sanctions or the prohibition of sales of our pest control products. Environmental law requirements, and the enforcement thereof, change frequently, have tended to become more stringent over time and could require us to incur significant expenses.</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Most federal, state and local authorities require certification by Underwriters Laboratory, Inc. (“UL”), an independent, not-for-profit corporation engaged in the testing of products for compliance with certain public safety standards, or other safety regulation certification prior to marketing electrical appliances. Foreign jurisdictions also have regulatory authorities overseeing the safety of consumer products. Our products may not meet the specifications required by these authorities. A determination that any of our products are not in compliance with these rules and regulations could result in the imposition of fines or an award of damages to private litigants.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cybersecurity breach or failure of one or more key information technology systems could have a material adverse impact on our business or reputation.</w:t>
      </w:r>
    </w:p>
    <w:p>
      <w:pPr>
        <w:spacing w:after="0" w:line="15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rely extensively on information technology (IT) systems, networks and services, including internet sites, data hosting and processing facilities and tools and other hardware, software and technical applications and platforms, some of which are managed, hosted, provided and/or used by third-parties or their vendors, to assist in conducting our business.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IT systems have been, and will likely continue to be, subject to computer viruses or other malicious codes, unauthorized access attempts, phishing and other cyber-attacks. We continue to assess potential threats and make investments seeking to address these threats, including monitoring of networks and systems and upgrading skills, employee training and security policies for the Company and its third-party providers. However, because the techniques used in these attacks change frequently and may be difficult to detect for periods of time, we may face difficulties in anticipating and implementing adequate preventative measures. To date, we have seen no material impact on our business or operations from these attacks; however, we cannot guarantee that our security efforts will prevent breaches or breakdowns to our or our third-party providers’ databases or systems. If the IT systems, networks or service providers we rely upon fail to function properly, or if we or one of our third-party providers suffer a loss, significant unavailability of or disclosure of our business or stakeholder information, and our business continuity plans do not effectively address these failures on a timely basis, we may be exposed to reputational, competitive and business harm as well as litigation and regulatory action. The costs and operational consequences of responding to breaches and implementing remediation measures could be significant.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actual or perceived failure to adequately protect personal data could adversely affect our business, financial condition and results of operations.</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 variety of state, national, foreign, and international laws and regulations apply to the collection, use, retention, protection, disclosure, transfer, and other processing of personal data. These privacy- and data protection-related laws and regulations are evolving, with new or modified laws and regulations proposed and implemented frequently and existing laws and regulations subject to new or different interpretations. Compliance with these laws and regulations can be costly and can delay or impede the development of new products.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historically have relied upon adherence to the U.S. Department of Commerce’s Safe Harbor Privacy Principles and compliance with the U.S.-EU Safe Harbor Framework agreed to by the U.S. Department of Commerce and the EU. The U.S.-EU Safe Harbor Framework, which established means for legitimizing the transfer of personal data by U.S. companies from the European Economic Area, or EEA, to the U.S., recently was invalidated by a decision of the European Court of Justice, or the ECJ. In light of the ECJ’s decision, we are reviewing our business practices and may find it necessary or desirable to make changes to our personal data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handling to cause our transfer and receipt of EEA residents’ personal data to be legitimized under applicable European law. Our actual or alleged failure to comply with applicable laws and regulations, or to protect personal data, could result in enforcement actions and significant penalties against us, which could result in negative publicity, increase our operating costs, subject us to claims or other remedies and have a material adverse effect on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perceptions that some of the products we produce and market are not safe could adversely affect us.</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On occasion, customers have alleged that some products failed to perform up to expectations or have caused damage or injury to individuals or property. Public perception that any of our products are not safe, whether justified or not, could impair our reputation, damage our brand names and have a material adverse effect on our business, financial condition and results of operations. In addition, we rely on certain third party trademarks, brand names and logos over which we do not have exclusive use of. Public perception that any such third party trademarks, band names and logos used by us are not safe, whether justified or not, could have a material adverse effect on our business, financial condition and results of operations.</w:t>
      </w:r>
    </w:p>
    <w:p>
      <w:pPr>
        <w:spacing w:after="0" w:line="2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negotiate satisfactory terms to continue existing or enter into additional collective bargaining agreements, we may experience an increased risk of labor disruptions and our results of operations and financial condition may suffer.</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Approximately 16% of our total labor force is covered by collective bargaining agreements. There are 4 collective bargaining agreements that will expire during our fiscal year ending September 30, 2016, which cover approximately 60% of the labor force under collective bargaining agreements, or approximately 10% of our total labor force. While we currently expect to negotiate continuations to the terms of these agreements, there can be no assurances that we will be able to obtain terms that are satisfactory to us or otherwise to reach agreement at all with the applicable parties. In addition, in the course of our business, we may also become subject to additional collective bargaining agreements. These agreements may be on terms that are less favorable than those under our current collective bargaining agreements. Increased exposure to collective bargaining agreements, whether on terms more or less favorable than our existing collective bargaining agreements, could adversely affect the operation of our business, including through increased labor expenses. While we intend to comply with all collective bargaining agreements to which we are subject, there can be no assurances that we will be able to do so and any noncompliance could subject us to disruptions in our operations and materially and adversely affect our results of operations and financial condition.</w:t>
      </w: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Significant changes in actual investment return on pension assets, discount rates and other factors could affect our results of operations, equity and pension contributions in future periods.</w:t>
      </w:r>
    </w:p>
    <w:p>
      <w:pPr>
        <w:spacing w:after="0" w:line="6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Our results of operations may be positively or negatively affected by the amount of income or expense we record for our defined benefit pension plans. U.S. Generally Accepted Accounting Principles (“GAAP”) requires</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that we calculate income or expense for the plans using actuarial valuations. These valuations reflect assumptions about financial markets and other economic conditions, which may change based on changes in key economic indicators. The most significant assumptions we use to estimate pension income or expense are the discount rate and the expected long-term rate of return on plan assets. In addition, we are required to make an annual measurement of plan assets and liabilities, which may result in a significant change to equity. Although pension expense and pension funding contributions are not directly related, key economic factors that affect pension expense would also likely affect the amount of cash we would contribute to pension plans as required under the Employee Retirement Income Security Act of 1974, as amended.</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goodwill, indefinite-lived intangible assets or other long-term assets become impaired, we will be required to record additional impairment charges, which may be significant.</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significant portion of our long-term assets consist of goodwill, other indefinite-lived intangible assets and finite-lived intangible assets recorded as a result of past acquisitions as well as through fresh start reporting. We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do not amortize goodwill and indefinite-lived intangible assets, but rather review them for impairment on a periodic basis or whenever events or changes in circumstances indicate that their carrying value may not be recoverable. We consider whether circumstances or conditions exist which suggest that the carrying value of our goodwill and other long-lived intangible assets might be impaired. If such circumstances or conditions exist, further steps are required in order to determine whether the carrying value of each of the individual assets exceeds its fair value. If analysis indicates that an individual asset’s carrying value does exceed its fair value, the next step is to record a loss equal to the excess of the individual asset’s carrying value over its fair value.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steps required by GAAP entail significant amounts of judgment and subjectivity. Events and changes in circumstances that may indicate that there may be an impairment and which may indicate that interim impairment testing is necessary include, but are not limited to: strategic decisions to exit a business or dispose of an asset made in response to changes in economic, political and competitive conditions; the impact of the economic environment on the customer base and on broad market conditions that drive valuation considerations by market participants; our internal expectations with regard to future revenue growth and the assumptions we make when performing impairment reviews; a significant decrease in the market price of our assets; a significant adverse change in the extent or manner in which our assets are used; a significant adverse change in legal factors or the business climate that could affect our assets; an accumulation of costs significantly in excess of the amount originally expected for the acquisition of an asset; and significant changes in the cash flows associated with an asset. As a result of such circumstances, we may be required to record a significant charge to earnings in our financial statements during the period in which any impairment of our goodwill, indefinite-lived intangible assets or other long-term assets is determined. Any such impairment charges could have a material adverse effect on our business, financial condition and operating results.</w:t>
      </w:r>
    </w:p>
    <w:p>
      <w:pPr>
        <w:spacing w:after="0" w:line="2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products and services could be harmed significantly.</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rely on trade secrets, know-how and other proprietary information in operating our business. If this information is not adequately protected, then it may be disclosed or used in an unauthorized manner. To the extent that consultants, key employees or other third parties apply technological information independently developed by them or by others to our proposed products, disputes may arise as to the proprietary rights to such information, which may not be resolved in our favor. The risk that other parties may breach confidentiality agreements or that our trade secrets become known or independently discovered by competitors, could harm us by enabling our competitors, who may have greater experience and financial resources, to copy or use our trade secrets and other proprietary information in the advancement of their products, methods or technologies. The disclosure of our trade secrets would impair our competitive position, thereby weakening demand for our products or services and harming our ability to maintain or increase our customer base.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 or failures of our information technology systems could have a material adverse effect on our business.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information technology systems are susceptible to security breaches, operational data loss, general disruptions in functionality, and may not be compatible with new technology. We depend on our information technology systems for the effectiveness of our operations and to interface with our customers, as well as to maintain financial records and accuracy. Disruption or failures of our information technology systems could impair our ability to effectively and timely provide our services and products and maintain our financial records, which could damage our reputation and have a material adverse effect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and expansion strategy may not be successful.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growth strategy is based in part on growth through acquisitions, which poses a number of risks. We may not be successful in identifying appropriate acquisition candidates, consummating acquisitions on satisfactory terms or integrating any newly acquired or expanded business with our current operations. We may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issue additional equity, incur long-term or short-term indebtedness, spend cash or use a combination of these for all or part of the consideration paid in future acquisitions or expansion of our operations. The execution of our acquisition and expansion strategy could entail repositioning or similar actions that in turn require us to record impairments, restructuring and other charges. Any such charges would reduce our earnings. We cannot guarantee that any future business acquisitions will be pursued or that any acquisitions that are pursued will be consummated.</w:t>
      </w:r>
    </w:p>
    <w:p>
      <w:pPr>
        <w:spacing w:after="0" w:line="280"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Significant costs have been incurred and are expected to be incurred in connection with the consummation of recent and future business acquisitions and the integration of such acquired businesses with Spectrum into a combined company, including legal, accounting, financial advisory and other costs.</w:t>
      </w:r>
    </w:p>
    <w:p>
      <w:pPr>
        <w:spacing w:after="0" w:line="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We expect to incur one-time costs in connection with integrating our operations, products and personnel and those of businesses we acquire into a combined company, in addition to costs related directly to completing such acquisitions. We would expect similar costs to be incurred with any future acquisition. These costs may include expenditures for:</w:t>
      </w:r>
    </w:p>
    <w:p>
      <w:pPr>
        <w:spacing w:after="0" w:line="8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redeployment, relocation or severance;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integration of operations and information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combination of research and development teams and processes;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reorganization or closures of facilities.</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we expect to incur a number of non-recurring costs associated with combining our operations with those of acquired businesses. Additional unanticipated costs may yet be incurred as we integrate our business with acquired businesses. Although we expect that the elimination of duplicative costs, as well as the realization of other efficiencies related to the integration of our operations with those of acquired businesses, may offset incremental transaction and transaction-related costs over time, this net benefit may not be achieved in the near term. Additionally, while we expect to benefit from leveraging distribution channels and brand names among the Company and the businesses we acquire, we cannot assure you that we will achieve such benefits.</w:t>
      </w:r>
    </w:p>
    <w:p>
      <w:pPr>
        <w:spacing w:after="0" w:line="2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realize the anticipated benefits of, and synergies from, our business acquisitions and may become responsible for certain liabilities and integration costs as a result.</w:t>
      </w:r>
    </w:p>
    <w:p>
      <w:pPr>
        <w:spacing w:after="0" w:line="62"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Business acquisitions involve the integration of new businesses that have previously operated independently from us. The integration of our operations with those of acquired businesses is frequently expected to result in financial and operational benefits, including increased top line growth, margins, revenues and cost savings and be accretive to earnings per share, earnings before interest, taxes, depreciation and amortization and free cash flow before synergies.</w:t>
      </w:r>
    </w:p>
    <w:p>
      <w:pPr>
        <w:ind w:right="60"/>
        <w:spacing w:after="0" w:line="292" w:lineRule="auto"/>
        <w:rPr>
          <w:sz w:val="20"/>
          <w:szCs w:val="20"/>
          <w:color w:val="auto"/>
        </w:rPr>
      </w:pPr>
      <w:r>
        <w:rPr>
          <w:rFonts w:ascii="Arial" w:cs="Arial" w:eastAsia="Arial" w:hAnsi="Arial"/>
          <w:sz w:val="16"/>
          <w:szCs w:val="16"/>
          <w:color w:val="auto"/>
        </w:rPr>
        <w:t>There can be no assurance, however, regarding when or the extent to which we will be able to realize these increased top line growth, margins, revenues, cost savings or accretions to earnings per share, earnings before interest, taxes, depreciation and amortization or free cash flow or other benefits. Integration may also be difficult, unpredictable, and subject to delay because of possible company culture conflicts and different opinions on technical decisions and product roadmaps. We will often be required to integrate or, in some cases, replace, numerous systems, including those involving management information, purchasing, accounting and finance, sales, billing, employee benefits, payroll and regulatory compliance, many of which may be dissimilar.</w:t>
      </w:r>
    </w:p>
    <w:p>
      <w:pPr>
        <w:spacing w:after="0" w:line="163" w:lineRule="exact"/>
        <w:rPr>
          <w:sz w:val="20"/>
          <w:szCs w:val="20"/>
          <w:color w:val="auto"/>
        </w:rPr>
      </w:pPr>
    </w:p>
    <w:p>
      <w:pPr>
        <w:ind w:right="380" w:firstLine="456"/>
        <w:spacing w:after="0" w:line="381" w:lineRule="auto"/>
        <w:rPr>
          <w:sz w:val="20"/>
          <w:szCs w:val="20"/>
          <w:color w:val="auto"/>
        </w:rPr>
      </w:pPr>
      <w:r>
        <w:rPr>
          <w:rFonts w:ascii="Arial" w:cs="Arial" w:eastAsia="Arial" w:hAnsi="Arial"/>
          <w:sz w:val="15"/>
          <w:szCs w:val="15"/>
          <w:color w:val="auto"/>
        </w:rPr>
        <w:t>In some instances, we and certain acquired businesses have served the same customers, and some customers may decide that it is desirable to have additional or different suppliers. Difficulties associated with the integration of acquired businesses could have a material adverse effect on our business.</w:t>
      </w:r>
    </w:p>
    <w:p>
      <w:pPr>
        <w:spacing w:after="0" w:line="10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may also acquire partial or full ownership in businesses or may acquire rights to market and distribute particular products or lines of products. The acquisition of a business or the rights to market specific products or use specific product names may involve a financial commitment by us, either in the form of cash or equity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consideration. In the case of a new license, such commitments are usually in the form of prepaid royalties and future minimum royalty payments. There is no guarantee that we will acquire businesses or product distribution rights that will contribute positively to our earnings. Anticipated synergies may not materialize, cost savings may be less than expected, sales of products may not meet expectations and acquired businesses may carry unexpected liabilities.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in connection with business acquisitions, we have assumed, and may assume in connection with future acquisitions, certain potential liabilities. To the extent such liabilities are not identified by us or to the extent the indemnifications obtained from third parties are insufficient to cover such liabilities, these liabilities could have a material adverse effect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Integrating our business with acquired businesses may divert our management’s attention away from operations.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Successful integration of acquired businesses’ operations, products and personnel with us may place a significant burden on our management and other internal resources. The diversion of management’s attention, and any difficulties encountered in the transition and integration process, could harm our business, financial condition and operating results.</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As a result of business acquisitions, we may not be able to retain key personnel or recruit additional qualified personnel, which could materially affect our business and require us to incur substantial additional costs to recruit replacement personnel.</w:t>
      </w:r>
    </w:p>
    <w:p>
      <w:pPr>
        <w:spacing w:after="0" w:line="6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are highly dependent on the continuing efforts of our senior management team and other key personnel. As a result of business acquisitions, our current and prospective employees could experience uncertainty about their future roles. This uncertainty may adversely affect our ability to attract and retain key management, sales, marketing and technical personnel. Any failure to attract and retain key personnel could have a material adverse effect on our business. In addition, we currently do not maintain “key person” insurance covering any member of our management team.</w:t>
      </w:r>
    </w:p>
    <w:p>
      <w:pPr>
        <w:spacing w:after="0" w:line="17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If any of our key personnel or those of our acquired businesses were to join a competitor or form a competing company, existing and potential customers or suppliers could choose to form business relationships with that competitor instead of us. There can be no assurance that confidentiality, non-solicitation, non-competition or similar agreements signed by former directors, officers, employees or stockholders of us, our acquired businesses or our transactional counterparties will be effective in preventing a loss of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customer uncertainty related to our business acquisitions could harm us.</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Our customers may, in response to the announcement or consummation of a business acquisition, delay or defer purchasing decisions. If our customers delay or defer purchasing decisions, our revenues could materially decline or any anticipated increases in revenue could be lower than expected.</w:t>
      </w:r>
    </w:p>
    <w:p>
      <w:pPr>
        <w:spacing w:after="0" w:line="23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required to supply certain products and services to Stanley Black &amp; Decker and its subsidiaries pursuant to the terms of certain supply agreements for a period of time after the completion of the HHI Business acquisition. Our provision of products and services under these agreements require us to dedicate resources of the HHI Business and may result in unfavorable results to us.</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products and services currently used by Stanley Black and Decker are produced and provided using equipment of the HHI Business which includes the acquired Tong Lung Metal Industry Co. Ltd. (the “TLM Business”) that we acquired or certain equipment belonging to Stanley Black and Decker and its subsidiaries that will continue to be located for a period of time after the completion of the HHI Business acquisition at facilities operated by the HHI Business and the TLM Business and maintained by us pursuant to certain specifications. We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and Stanley Black and Decker entered into supply agreements (each, a “Supply Agreement”) whereby we provide Stanley Black and Decker and its subsidiaries with certain of these products and services for a period of time. This requires us to dedicate resources of the HHI Business and the TLM Business towards the provision of these products and services and may result in unfavorable results to us. These Supply Agreements are an accommodation to Stanley Black and Decker and its subsidiaries as part of the HHI Business acquisition, and the pricing of the products and services is on terms more favorable to Stanley Black and Decker and its subsidiaries than it would be in the ordinary course of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risks from the AAG Acquisition similar to risks generally associated with our acquisition and expansion strategy.</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The AAG Acquisition subjects us to significant risks generally associated with our acquisition and expansion strategy. Significant costs have been incurred and are expected to be incurred in connection with the AAG Acquisition and our integration of AAG with our business, including legal, accounting, financial advisory and other costs. We may also not realize the anticipated benefits of, and synergies from, the AAG Acquisition and will be responsible for certain liabilities and integration costs as a result of the AAG Acquisition. As a result of the AAG Acquisition and other acquisitions, we may also not be able to retain key personnel or recruit additional qualified personnel, which could require us to incur substantial additional costs. Each of these general risks for acquisition and expansion activities, which are described in more detail in this prospectus (See </w:t>
      </w:r>
      <w:r>
        <w:rPr>
          <w:rFonts w:ascii="Arial" w:cs="Arial" w:eastAsia="Arial" w:hAnsi="Arial"/>
          <w:sz w:val="17"/>
          <w:szCs w:val="17"/>
          <w:i w:val="1"/>
          <w:iCs w:val="1"/>
          <w:color w:val="auto"/>
        </w:rPr>
        <w:t>“Our acquisition and expansion strategy may not be</w:t>
      </w:r>
      <w:r>
        <w:rPr>
          <w:rFonts w:ascii="Arial" w:cs="Arial" w:eastAsia="Arial" w:hAnsi="Arial"/>
          <w:sz w:val="17"/>
          <w:szCs w:val="17"/>
          <w:color w:val="auto"/>
        </w:rPr>
        <w:t xml:space="preserve"> </w:t>
      </w:r>
      <w:r>
        <w:rPr>
          <w:rFonts w:ascii="Arial" w:cs="Arial" w:eastAsia="Arial" w:hAnsi="Arial"/>
          <w:sz w:val="17"/>
          <w:szCs w:val="17"/>
          <w:i w:val="1"/>
          <w:iCs w:val="1"/>
          <w:color w:val="auto"/>
        </w:rPr>
        <w:t>successful”</w:t>
      </w:r>
      <w:r>
        <w:rPr>
          <w:rFonts w:ascii="Arial" w:cs="Arial" w:eastAsia="Arial" w:hAnsi="Arial"/>
          <w:sz w:val="17"/>
          <w:szCs w:val="17"/>
          <w:color w:val="auto"/>
        </w:rPr>
        <w:t>), could result in the AAG Acquisition having a material adverse effect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AAG have similar major customers and the loss of any significant customer may adversely affect our results of operations.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limited number of the same customers represent a large percentage of our and AAG’s respective net sales. One of our largest customers accounted for approximately 23% of AAG’s net sales for the twelve months ended December 31, 2014. AAG’s largest customer accounted for approximately 12% of net sales for the same period and no other customer accounted for more than 10% of AAG’s net sales for the same period. The success of our and AAG’s businesses depend, in part, on our ability to maintain our level of sales and product distribution through high volume distributors, retailers, super centers and mass merchandisers.</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Currently, neither we nor AAG have long-term supply agreements with a substantial number of our retail customers, including our largest customers. These high-volume stores and mass merchandisers frequently reevaluate the products they carry. A decision by our major customers to discontinue or decrease the amount of products purchased from us, sell a national brand on an exclusive basis or change the manner of doing business with us, could reduce our revenues and materially adversely affect our results of operations. See “</w:t>
      </w:r>
      <w:r>
        <w:rPr>
          <w:rFonts w:ascii="Arial" w:cs="Arial" w:eastAsia="Arial" w:hAnsi="Arial"/>
          <w:sz w:val="16"/>
          <w:szCs w:val="16"/>
          <w:i w:val="1"/>
          <w:iCs w:val="1"/>
          <w:color w:val="auto"/>
        </w:rPr>
        <w:t>Consolidation of retailers and our dependence on a small number of key</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for a significant percentage of our sales may negatively affect our business, financial condition and results of operations</w:t>
      </w:r>
      <w:r>
        <w:rPr>
          <w:rFonts w:ascii="Arial" w:cs="Arial" w:eastAsia="Arial" w:hAnsi="Arial"/>
          <w:sz w:val="16"/>
          <w:szCs w:val="16"/>
          <w:color w:val="auto"/>
        </w:rPr>
        <w:t>”.</w:t>
      </w:r>
    </w:p>
    <w:p>
      <w:pPr>
        <w:spacing w:after="0" w:line="2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 change in governmental regulations regarding the use of refrigerant gas R-134a or its potential future substitutes could have a material adverse effect on AAG’s ability to sell its aftermarket A/C products.</w:t>
      </w:r>
    </w:p>
    <w:p>
      <w:pPr>
        <w:spacing w:after="0" w:line="6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refrigerant R-134a is critical component of AAG’s aftermarket A/C products and is used in products which comprised approximately 90% of its gross sales in its fiscal year ended December 31, 2014. Older generation refrigerants such as R-12 (Freon) have been regulated for some time in the United States and elsewhere, due to concerns about their potential to contribute to ozone depletion. In recent years, refrigerants such as R-134a, which is an approved substitute for R-12, have also become the subject of regulatory focus due to their potential to contribute to global warming.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European Union has passed regulations that require the phase out of R-134a in automotive cooling systems in new vehicles by 2017. In the United States, AAG has reported that it cannot predict what future action, if any, the EPA will take on the regulation of R-134a. But based on currently available information, it believes that it would take some time for suitable alternatives to R-134a to come into full scale commercial production and therefore such alternatives would not be readily available for wide spread use in new car models. If the future use of R-134a is phased out or is limited or prohibited in jurisdictions in which we do business, the future market for AAG’s products containing R-134a may be limited, which could have a material adverse impact on its results of operations, financial condition, and cash flows.</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regulations may be enacted governing the packaging, use and disposal of AAG’s products containing refrigerants. For example, regulations are currently in effect in California that govern the sale and distribution of products containing R-134a. While AAG has reported that it is not aware of any noncompliance with such regulations, its failure to comply with these or possible future regulations in California, or elsewhere, could result in material fines or costs or the inability to sell its products in those markets, which could have a material adverse impact on the results of operations, financial condition and cash flows. If substitutes for R-134a become widely used in A/C systems and their use for DIY and retrofit purposes are not approved by the EPA, it could have a material adverse effect on AAG’s results of operations, financial condition, and cash flows. In addition, the cost of HFO-1234yf, the leading long-term alternative to R-134a being proposed in the United States and the European Union for use in the A/C systems of new vehicles, will likely be higher than that of R-134a. If HFO-1234yf becomes widely used and AAG is able to develop products using HFO-1234yf, but is unable to price its products to reflect the increased cost of HFO-1234yf, it could have a material adverse effect on its results of operations, financial condition and cash flow.</w:t>
      </w:r>
    </w:p>
    <w:p>
      <w:pPr>
        <w:spacing w:after="0" w:line="2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All of AAG’s refrigerant products are produced at one facility, and a significant disruption or disaster at such a facility could have a material adverse effect on its results of operations.</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AAG’s manufacturing facility consists of one site which is located in Garland, Texas and thus it is dependent upon the continued safe operation of this facility. Its facility is subject to various hazards associated with the manufacturing, handling, storage, and transportation of chemical materials and products, including human error, leaks and ruptures, explosions, floods, fires, inclement weather and natural disasters, power loss or other infrastructure failures, mechanical failure, unscheduled downtime, regulatory requirements, the loss of certifications, technical difficulties, labor disputes, inability to obtain material, equipment or transportation, environmental hazards such as remediation, chemical spills, discharges or releases of toxic or hazardous substances or gases, and other risks. Many of these hazards could cause personal injury and loss of life, severe damage to, or destruction of, property and equipment and environmental contamination. In addition, the occurrence of material operation problems at AAG’s facility due to any of these hazards could cause a disruption in the production of its products. AAG may also encounter difficulties or interruption as a result of the application of enhanced manufacturing technologies or changes to production lines to improve AAG’s throughput or to upgrade or repair its production lines. AAG’s insurance policies have coverage in case of significant damage to its manufacturing facility but may not fully compensate AAG for the cost of replacement for any such damage and any loss from business interruption. As a result, AAG may not be adequately insured to cover losses resulting from significant damage to its manufacturing facility. Any damage to its facility or interruption in manufacturing could result in production delays and delays in meeting contractual obligations which could have a material adverse effect on AAG’s relationship with its customers and on its results of operations, financial condition or cash flows in any given period.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made or implied certain forward-looking statements in this prospectus. All statements, other than statements of historical facts included in this prospectus, including statements regarding our business strategy, future operations, financial condition, estimated revenues, projected costs, projected synergies, prospects, plans and objectives of management, as well as information concerning expected actions of third parties, are forward-looking statements. When used in this prospectus, the words “anticipate,” “intend,” “plan,” “estimate,” “believe,” “expect,” “project,” “could,” “will,” “should,” “may” and similar expressions are also intended to identify forward-looking statements, although not all forward-looking statements contain such identifying words.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Since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w:t>
      </w:r>
    </w:p>
    <w:p>
      <w:pPr>
        <w:spacing w:after="0" w:line="9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our indebtedness on our business, financial condition and results of operations;</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restrictions in our debt instruments on our ability to operate our business, finance our capital needs or pursue or expand our business strategies;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failure to comply with financial covenants and other provisions and restrictions of our debt instruments;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impact of expenses resulting from the implementation of new business strategies, divestitures or current and proposed restructuring activities;</w:t>
      </w:r>
    </w:p>
    <w:p>
      <w:pPr>
        <w:spacing w:after="0" w:line="153"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successfully integrate and operate new acquisitions, including, but not limited to, the AAG Acquisition, at the level of financial performance anticipated;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unanticipated loss of key members of senior management;</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fluctuations in commodity prices, costs or availability of raw materials or terms and conditions available from suppliers, including suppliers’ willingness to advance credit;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and exchange rate fluctuations;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or a significant reduction in, sales to any significant retail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competitive promotional activity or spending by competitors or price reductions by competitors;</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introduction of new product features or technological developments by competitors and/or the development of new competitors or competitive brands;</w:t>
      </w:r>
    </w:p>
    <w:p>
      <w:pPr>
        <w:spacing w:after="0" w:line="75" w:lineRule="exact"/>
        <w:rPr>
          <w:rFonts w:ascii="Arial" w:cs="Arial" w:eastAsia="Arial" w:hAnsi="Arial"/>
          <w:sz w:val="18"/>
          <w:szCs w:val="18"/>
          <w:color w:val="auto"/>
        </w:rPr>
      </w:pPr>
    </w:p>
    <w:p>
      <w:pPr>
        <w:ind w:left="900" w:right="180" w:hanging="446"/>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effects of general economic conditions, including inflation, recession or fears of a recession, depression or fears of a depression, labor costs and stock market volatility or changes in trade, monetary or fiscal policies in the countries where we do business;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consumer spending preferences and demand for our products;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and successfully introduce new products, protect our intellectual property and avoid infringing the intellectual property of third parties;</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implement, achieve and sustain manufacturing and distribution cost efficiencies and improvements, and fully realize anticipated cost savings;</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effect of unanticipated legal, tax or regulatory proceedings or new laws or regulations (including environmental, public health and consumer protection regulations);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perception regarding the safety of our products, including the potential for environmental liabilities, product liability claims, litigation and other claims;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pending or threatened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policies applicable to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seasonal nature of sales of certain of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climate change and unusual weather activity;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effects of political or economic conditions, terrorist attacks, cybersecurity attacks, acts of war or other unrest in international markets;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various other risks and uncertainties.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Some of the above-mentioned factors are described in further detail in the section entitled “Risk Factors” set forth above. You should assume the information appearing in this prospectus is accurate only as of the date hereof or as otherwise specified, as our business, financial condition, results of operations and prospects may have changed since that date. Except as required by applicable law, including the securities laws of the U.S. and the rules and regulations of the SEC,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173"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also caution the reader that our estimates of trends, market share, retail consumption of our products and reasons for changes in such consumption are based solely on limited data available to us and our management’s reasonable assumptions about market conditions, and consequently may be inaccurate, or may not reflect significant segments of the retail market.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following table sets forth our consolidated ratio of earnings to fixed charges for each of the periods indicated. You should read these ratios in connection with our consolidated financial statements, including the notes to those statements, included elsewhere in this prospectus.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September 30, 2015</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6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r>
      <w:tr>
        <w:trPr>
          <w:trHeight w:val="196"/>
        </w:trPr>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271.9</w:t>
            </w:r>
          </w:p>
        </w:tc>
        <w:tc>
          <w:tcPr>
            <w:tcW w:w="34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88"/>
              </w:rPr>
              <w:t>202.1</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369.5</w:t>
            </w:r>
          </w:p>
        </w:tc>
        <w:tc>
          <w:tcPr>
            <w:tcW w:w="3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192.0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208.5</w:t>
            </w:r>
          </w:p>
        </w:tc>
      </w:tr>
      <w:tr>
        <w:trPr>
          <w:trHeight w:val="27"/>
        </w:trPr>
        <w:tc>
          <w:tcPr>
            <w:tcW w:w="7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202.1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369.5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192.0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208.5</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from continuing operations before income taxes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199.7</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276.1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113.2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Add: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Fixed Charges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271.9</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369.5</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192.0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208.5</w:t>
            </w:r>
          </w:p>
        </w:tc>
      </w:tr>
      <w:tr>
        <w:trPr>
          <w:trHeight w:val="223"/>
        </w:trPr>
        <w:tc>
          <w:tcPr>
            <w:tcW w:w="7640" w:type="dxa"/>
            <w:vAlign w:val="bottom"/>
          </w:tcPr>
          <w:p>
            <w:pPr>
              <w:ind w:left="720"/>
              <w:spacing w:after="0"/>
              <w:rPr>
                <w:sz w:val="20"/>
                <w:szCs w:val="20"/>
                <w:color w:val="auto"/>
              </w:rPr>
            </w:pPr>
            <w:r>
              <w:rPr>
                <w:rFonts w:ascii="Arial" w:cs="Arial" w:eastAsia="Arial" w:hAnsi="Arial"/>
                <w:sz w:val="18"/>
                <w:szCs w:val="18"/>
                <w:color w:val="auto"/>
              </w:rPr>
              <w:t>Total adjusted earnings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471.6</w:t>
            </w:r>
          </w:p>
        </w:tc>
        <w:tc>
          <w:tcPr>
            <w:tcW w:w="340" w:type="dxa"/>
            <w:vAlign w:val="bottom"/>
          </w:tcPr>
          <w:p>
            <w:pPr>
              <w:spacing w:after="0"/>
              <w:rPr>
                <w:sz w:val="19"/>
                <w:szCs w:val="19"/>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478.2</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349.3</w:t>
            </w:r>
          </w:p>
        </w:tc>
        <w:tc>
          <w:tcPr>
            <w:tcW w:w="320" w:type="dxa"/>
            <w:vAlign w:val="bottom"/>
          </w:tcPr>
          <w:p>
            <w:pPr>
              <w:spacing w:after="0"/>
              <w:rPr>
                <w:sz w:val="19"/>
                <w:szCs w:val="19"/>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305.2</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226.2</w:t>
            </w:r>
          </w:p>
        </w:tc>
        <w:tc>
          <w:tcPr>
            <w:tcW w:w="140" w:type="dxa"/>
            <w:vAlign w:val="bottom"/>
          </w:tcPr>
          <w:p>
            <w:pPr>
              <w:spacing w:after="0"/>
              <w:rPr>
                <w:sz w:val="19"/>
                <w:szCs w:val="19"/>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1.7x</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2.4x</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0.9x</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1.6x</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1.1x</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This prospectus is delivered in connection with the sale of notes by Jefferies in market-making transactions effected from time to time. We will not receive any proceeds from such transactions.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cash and cash equivalents and consolidated capitalization of SB/RH Holdings.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60" w:type="dxa"/>
            <w:vAlign w:val="bottom"/>
            <w:gridSpan w:val="4"/>
          </w:tcPr>
          <w:p>
            <w:pPr>
              <w:ind w:left="208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2015</w:t>
            </w:r>
            <w:r>
              <w:rPr>
                <w:rFonts w:ascii="Arial" w:cs="Arial" w:eastAsia="Arial" w:hAnsi="Arial"/>
                <w:sz w:val="12"/>
                <w:szCs w:val="12"/>
                <w:b w:val="1"/>
                <w:bCs w:val="1"/>
                <w:color w:val="auto"/>
                <w:w w:val="95"/>
              </w:rPr>
              <w:t>(1)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2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Credit Facilities</w:t>
            </w:r>
            <w:r>
              <w:rPr>
                <w:rFonts w:ascii="Arial" w:cs="Arial" w:eastAsia="Arial" w:hAnsi="Arial"/>
                <w:sz w:val="15"/>
                <w:szCs w:val="15"/>
                <w:color w:val="auto"/>
              </w:rPr>
              <w:t>(2)</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(2)</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6.375% Senior Notes due 2020</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6.625% Senior Notes due 2022</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6.125% Senior Notes due 2024</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5.750% Senior Notes due 2025</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Other unsecured debt</w:t>
            </w:r>
          </w:p>
        </w:tc>
        <w:tc>
          <w:tcPr>
            <w:tcW w:w="2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224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24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Balances are reflected at par.</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See “Description of Other Indebtedness—Credit Agreement.”</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On May 21, 2015, SB Holdings, the direct parent of SB/RH Holdings, completed the AAG Acquisition pursuant to the Agreement and Plan of Merger by and among AAG, SB Holdings, Ignite Merger Sub, Inc. and, solely in its capacity as representative, Avista Capital Partners II GP, LLC, dated as of April 28, 2015, for a purchase price of $1,471.4 million (consisting of $929.3 million in cash and an assumption of debt of $540.0 million). SB Holdings funded the AAG Acquisition with the proceeds of its initial offering of an aggregate principal amount of $1,000 million of Spectrum Brands’ 2025 notes and the registered offering of $575 million of shares of SB Holdings’ common stock (the “SB Holdings Equity Offering”).</w:t>
      </w:r>
    </w:p>
    <w:p>
      <w:pPr>
        <w:spacing w:after="0" w:line="173"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The following unaudited pro forma condensed combined statement of operations for the year ended September 30, 2015 gives effect to the AAG Acquisition for such period. The unaudited pro forma condensed statement of operations shown below reflects historical financial information and has been prepared on the basis that the transaction will be accounted for using the acquisition method of accounting under Accounting Standards Codification Topic</w:t>
      </w:r>
    </w:p>
    <w:p>
      <w:pPr>
        <w:ind w:right="20" w:firstLine="8"/>
        <w:spacing w:after="0" w:line="295" w:lineRule="auto"/>
        <w:tabs>
          <w:tab w:leader="none" w:pos="36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(“ASC 805”). Accordingly, the assets acquired and liabilities assumed in the AAG Acquisition were measured at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fair values with any excess consideration reflected as goodwill. The unaudited pro forma condensed combined statement of operations presented assumes that AAG is a wholly owned subsidiary of Spectrum Brands. Because the financial position data of AAG is reflected in the consolidated statement of financial position as of September 30, 2015, included elsewhere in this prospectus, no pro forma financial position data is presented below.</w:t>
      </w:r>
    </w:p>
    <w:p>
      <w:pPr>
        <w:spacing w:after="0" w:line="16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unaudited pro forma condensed combined statement of operations for the year ended September 30, 2015 is presented on a basis to reflect the AAG Acquisition and related transactions as if they had occurred on October 1, 2014.</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of different fiscal period ends, and in order to present results for comparable periods, the unaudited pro forma condensed combined statement of operations for the year ended September 30, 2015 combines SB/RH Holdings’ audited historical consolidated statement of operations for the fiscal year then ended with the AAG historical consolidated statement of operations information for the period of October 1, 2014 through May 20, 2015, the date prior to the close of the AAG Acquisition. The AAG results from October 1, 2014 through May 20, 2015 have been derived by combining the historical unaudited consolidated statement of operations for the three month period ended March 31, 2015, the historical unaudited consolidated statement of operations for the three month period ended December 31, 2014 and the unaudited historical financial information for the period from April 1, 2015 through May 20, 2015. As a result of the foregoing, the AAG historical unaudited consolidated statement of operations for the three month period ended December 31, 2014 is included in the unaudited pro forma condensed combined financial statements for the year ended September 30, 2015. See Note 1 to the unaudited pro forma condensed combined statement of operations for additional information. Pro forma adjustments are made in order to reflect the potential effect of the AAG Acquisition and related transactions on the statement of operations.</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unaudited pro forma condensed combined statement of operations should be read in conjunction with the notes to unaudited pro forma condensed combined statement of operations. The unaudited pro forma condensed combined statement of operations and the notes to unaudited pro forma condensed combined statement of operations are based on, and should be read in conjunction with, the audited consolidated financial statements of SB Holdings and SB/RH Holdings, and the notes thereto, and the AAG historical audited and unaudited consolidated financial statements, and the notes thereto, each included elsewhere in this prospectus.</w:t>
      </w:r>
    </w:p>
    <w:p>
      <w:pPr>
        <w:spacing w:after="0" w:line="188"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process of valuing the AAG tangible and intangible assets acquired and liabilities assumed, as well as evaluating accounting policies for conformity, is still in the preliminary stages. Accordingly, the purchase accounting adjustments included in the unaudited pro forma condensed combined financial statements are preliminary and have been presented solely for the purpose of providing these unaudited pro forma condensed combined financial statements. For purposes of preparing the unaudited pro forma condensed combined financial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statements, Spectrum Brands has made preliminary adjustments, where sufficient information is available to make a fair value estimate, to reflect those tangible and intangible assets acquired and liabilities assumed based on preliminary estimates of their fair value as of May 21, 2015. For those assets and liabilities where insufficient information is available to make a reasonable estimate of fair value, the unaudited pro forma condensed combined financial statements reflect the historical carrying value of those assets and liabilities at May 21, 2015. A final determination of the fair values of the assets acquired and liabilities assumed will include management’s consideration of a final valuation. Spectrum Brands currently expects that the process of determining the fair values of the tangible and intangible assets acquired and liabilities assumed will be completed within one year of the acquisition date. Material revisions to Spectrum Brands’ preliminary estimates could be necessary as more information becomes available through the completion of this final determination. The final amounts may be materially different from the information presented in these unaudited pro forma condensed combined financial statements due to a number of factors, including changes in market conditions and financial results which may impact cash flow projections used in the valuation, and the identification of additional conditions that existed as of the date of the AAG Acquisition which may impact the fair value of the AAG net assets.</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SB/RH Holdings’ and AAG’s historical consolidated financial information has been adjusted in the unaudited pro forma condensed combined financial statements to give effect to pro forma events that are (1) directly attributable to the AAG Acquisition; (2) factually supportable; and (3) with respect to the unaudited pro forma statements of operations, expected to have a continuing impact on the combined results. The unaudited pro forma condensed combined financial statements do not reflect any revenue enhancements, cost savings from operating efficiencies, synergies or other restructurings, or the costs and related liabilities that would be incurred to achieve such revenue enhancements and cost savings, which could result from the AAG Acquisition.</w:t>
      </w:r>
    </w:p>
    <w:p>
      <w:pPr>
        <w:spacing w:after="0" w:line="15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The pro forma adjustments are based upon available information and assumptions that the managements of SB Holdings and AAG believe reasonably reflect the AAG Acquisition. The unaudited pro forma condensed combined financial statements are provided for illustrative purposes only and do not purport to represent what the actual consolidated results of operations of SB Holdings or SB/RH Holdings would have been had the AAG Acquisition occurred on the dates assumed, nor are they necessarily indicative of the future consolidated results of operations of SB Holdings or SB/RH Holdings.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SB/RH</w:t>
            </w:r>
          </w:p>
        </w:tc>
        <w:tc>
          <w:tcPr>
            <w:tcW w:w="26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Armored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AutoGroup</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Holdings, LLC</w:t>
            </w:r>
          </w:p>
        </w:tc>
        <w:tc>
          <w:tcPr>
            <w:tcW w:w="26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Parent Inc.</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w w:val="95"/>
              </w:rPr>
              <w:t>12 months</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October 1,</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2014 –</w:t>
            </w:r>
          </w:p>
        </w:tc>
        <w:tc>
          <w:tcPr>
            <w:tcW w:w="220" w:type="dxa"/>
            <w:vAlign w:val="bottom"/>
          </w:tcPr>
          <w:p>
            <w:pPr>
              <w:spacing w:after="0"/>
              <w:rPr>
                <w:sz w:val="12"/>
                <w:szCs w:val="12"/>
                <w:color w:val="auto"/>
              </w:rPr>
            </w:pPr>
          </w:p>
        </w:tc>
        <w:tc>
          <w:tcPr>
            <w:tcW w:w="132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Pro Forma</w:t>
            </w: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May 20,</w:t>
            </w: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Note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380" w:type="dxa"/>
            <w:vAlign w:val="bottom"/>
            <w:gridSpan w:val="2"/>
            <w:vMerge w:val="continue"/>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4,966.2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3,018.0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3,172.4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related charges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332.4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(59.3)</w:t>
            </w: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(B)(C)(F)(G)</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Intangible asset and goodwill impairment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charges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w:t>
            </w:r>
          </w:p>
        </w:tc>
        <w:tc>
          <w:tcPr>
            <w:tcW w:w="13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(81.1)</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480.5</w:t>
            </w:r>
          </w:p>
        </w:tc>
        <w:tc>
          <w:tcPr>
            <w:tcW w:w="2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81.1</w:t>
            </w:r>
          </w:p>
        </w:tc>
        <w:tc>
          <w:tcPr>
            <w:tcW w:w="5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(46.8)</w:t>
            </w:r>
          </w:p>
        </w:tc>
        <w:tc>
          <w:tcPr>
            <w:tcW w:w="13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(loss) from continuing operations before income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(E)</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Parent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of dollars, except for share or as otherwise specified)</w:t>
      </w:r>
    </w:p>
    <w:p>
      <w:pPr>
        <w:spacing w:after="0" w:line="23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Conforming Interim Periods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SB/RH Holdings’ fiscal year end is September 30 while the AAG fiscal year end is December 31. AAG’s latest interim period prior to the consummation of the AAG Acquisition ended on March 31, 2015, and included its first quarter results for the three month period ended March 31, 2015. The unaudited pro forma condensed combined statement of operations for the year ended September 30, 2015 presented herein includes the results for Spectrum Brands’ latest completed fiscal year and AAG’s results for October 1, 2014 through May 20, 2015, the date prior to the close of the AAG Acquisition. Accordingly, the AAG historical financial information for the statement of operations covering the period of October 1, 2014 through May 20, 2015, the date prior to the close of the AAG Acquisition, has been derived by adding the unaudited results for the three month period ended March 31, 2015 to the audited results for the fiscal year ended December 31, 2014, and deducting the unaudited results for the nine months ended September 30, 2014 and adding the unaudited period from April 1, 2015 through May 20, 2015,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12 months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9 months</w:t>
            </w:r>
          </w:p>
        </w:tc>
        <w:tc>
          <w:tcPr>
            <w:tcW w:w="12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3 months</w:t>
            </w:r>
          </w:p>
        </w:tc>
        <w:tc>
          <w:tcPr>
            <w:tcW w:w="11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3 months</w:t>
            </w: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Period from</w:t>
            </w:r>
          </w:p>
        </w:tc>
        <w:tc>
          <w:tcPr>
            <w:tcW w:w="22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10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ended</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October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March 31,</w:t>
            </w: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April 1, 2015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2014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2014</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9"/>
              </w:rPr>
              <w:t>2014</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6"/>
              </w:rPr>
              <w:t>2015</w:t>
            </w:r>
          </w:p>
        </w:tc>
        <w:tc>
          <w:tcPr>
            <w:tcW w:w="5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May 20, 2015</w:t>
            </w:r>
          </w:p>
        </w:tc>
        <w:tc>
          <w:tcPr>
            <w:tcW w:w="2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May 20,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78"/>
              </w:rPr>
              <w:t>B</w:t>
            </w: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(A - B) = C</w:t>
            </w:r>
          </w:p>
        </w:tc>
        <w:tc>
          <w:tcPr>
            <w:tcW w:w="12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D</w:t>
            </w:r>
          </w:p>
        </w:tc>
        <w:tc>
          <w:tcPr>
            <w:tcW w:w="240" w:type="dxa"/>
            <w:vAlign w:val="bottom"/>
          </w:tcPr>
          <w:p>
            <w:pPr>
              <w:spacing w:after="0"/>
              <w:rPr>
                <w:sz w:val="14"/>
                <w:szCs w:val="14"/>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 + D + 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68.1</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Selling</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Intangible asset and goodwill impairment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w:t>
            </w:r>
          </w:p>
        </w:tc>
        <w:tc>
          <w:tcPr>
            <w:tcW w:w="5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operations before income</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The reclassification of the AAG Selling, general and administrative expenses were made to conform to SB/RH Holdings’ presentation.</w:t>
      </w:r>
    </w:p>
    <w:p>
      <w:pPr>
        <w:spacing w:after="0" w:line="37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AAG Acquisition will be accounted for under the acquisition method of accounting in accordance with ASC 805. In accounting for the transaction, Spectrum Brands will apply its historical accounting policies and recognize the assets and liabilities of AAG at their respective fair values as of May 21, 2015, the closing date of the AAG Acquisition. In preparing the unaudited pro forma condensed combined financial statements, the assets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FINANCIAL STATEMENTS (Unaudited)—(Continued)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millions of dollars, except for share or as otherwise specified)</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and liabilities of AAG have been measured at their estimated fair values on a preliminary basis using estimates and assumptions that management believes are reasonable based on information currently available. Use of different estimates and judgments could yield materially different results.</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purposes of measuring the estimated fair value of the assets acquired and liabilities assumed for purposes of preparing the unaudited pro forma condensed combined financial statements, Spectrum Brands used the guidance in ASC Topic 820, “</w:t>
      </w:r>
      <w:r>
        <w:rPr>
          <w:rFonts w:ascii="Arial" w:cs="Arial" w:eastAsia="Arial" w:hAnsi="Arial"/>
          <w:sz w:val="16"/>
          <w:szCs w:val="16"/>
          <w:i w:val="1"/>
          <w:iCs w:val="1"/>
          <w:color w:val="auto"/>
        </w:rPr>
        <w:t>Fair Value Measurement and Disclosure</w:t>
      </w:r>
      <w:r>
        <w:rPr>
          <w:rFonts w:ascii="Arial" w:cs="Arial" w:eastAsia="Arial" w:hAnsi="Arial"/>
          <w:sz w:val="16"/>
          <w:szCs w:val="16"/>
          <w:color w:val="auto"/>
        </w:rPr>
        <w:t>” (“ASC 820”), which established a framework for measuring fair values. ASC 820 defines fair value as the price that would be received to sell an asset or paid to transfer a liability in an orderly transaction between market participants at the measurement date (an exit price). Market participants are assumed to be buyers and sellers in the principal (most advantageous) market for the asset or liability. Additionally, under ASC 820, fair value measurements for an asset assume the highest and best use of that asset by market participants. As a result, Spectrum Brands may be required to value assets of AAG at fair value measures that do not reflect Spectrum Brands’ intended use of those assets. Use of different estimates and judgments could yield different results.</w:t>
      </w:r>
    </w:p>
    <w:p>
      <w:pPr>
        <w:spacing w:after="0" w:line="31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unaudited pro forma condensed combined financial statements do not assume any differences in accounting policies between Spectrum Brands and AAG. Spectrum Brands is in the process of reviewing the accounting policies of AAG to ensure their conformity with those of Spectrum Brands and, as a result of that review, Spectrum Brands may identify differences between the accounting policies of the two companies, that when conformed, could have a material impact on the unaudited pro forma condensed combined financial statements. At this time, Spectrum Brands is not aware of any differences in accounting policies that would have a material impact on the unaudited pro forma condensed combined financial statements.</w:t>
      </w:r>
    </w:p>
    <w:p>
      <w:pPr>
        <w:spacing w:after="0" w:line="30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Transferred</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acquisition method of accounting requires that the consideration transferred in a business combination be measured at fair value as of the closing date of the AAG Acquisition. The following summarizes the consideration paid for AAG:</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Assumption of AAG and IDQ Notes</w:t>
            </w:r>
            <w:r>
              <w:rPr>
                <w:rFonts w:ascii="Arial" w:cs="Arial" w:eastAsia="Arial" w:hAnsi="Arial"/>
                <w:sz w:val="15"/>
                <w:szCs w:val="15"/>
                <w:color w:val="auto"/>
              </w:rPr>
              <w:t>(a)</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of AAG</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5" w:lineRule="exact"/>
        <w:rPr>
          <w:sz w:val="20"/>
          <w:szCs w:val="20"/>
          <w:color w:val="auto"/>
        </w:rPr>
      </w:pPr>
    </w:p>
    <w:p>
      <w:pPr>
        <w:ind w:left="460" w:right="40" w:hanging="452"/>
        <w:spacing w:after="0" w:line="25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 xml:space="preserve">Consists of $275.0 aggregate principal amount of Armored AutoGroup Inc.’s 9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Senior Notes due 2018, $220.0 aggregate principal amount of IDQ Holdings, Inc.’s 11.500% Senior Secured Notes due 2017 and $45.0 aggregate principal amount of IDQ Acquisition Corp.’s 14.00%/14.75% Senior Secured PIK Notes due 2017 (collectively, the “AAG and IDQ Notes”) assumed (cash was subsequently paid to redeem such notes on June 15, 2015, June 22, 2015 and June 22,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 of Net Assets Acquired</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Company recorded an allocation of the purchase price to the Company’s tangible and identifiable intangible assets acquired and liabilities assumed based on their fair values as of the May 21, 2015 acquisition date. The excess of the purchase price (see Note 4) over the fair value of the net tangible assets and identifiable intangible assets was recorded as goodwill. These estimates have been recognized in preparing the unaudited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SB/RH HOLDINGS,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FINANCIAL STATEMENTS (Unaudited)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millions of dollars, except for share or as otherwise specified)</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 forma condensed combined financial statements. Spectrum Brands has determined that the amounts recorded in accounting for the AAG Acquisition are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Purchase Price</w:t>
            </w:r>
          </w:p>
        </w:tc>
      </w:tr>
      <w:tr>
        <w:trPr>
          <w:trHeight w:val="17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Allocation</w:t>
            </w:r>
          </w:p>
        </w:tc>
      </w:tr>
      <w:tr>
        <w:trPr>
          <w:trHeight w:val="142"/>
        </w:trPr>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972.1</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Deferred charges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(540.0)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929.3</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fair values recorded were determined based upon a valuation and the estimates and assumptions used in such valuation are subject to change, which could be significant. The primary areas of acquisition accounting that are not yet finalized relate to amounts for intangible assets, residual goodwill and income taxes.</w:t>
      </w:r>
    </w:p>
    <w:p>
      <w:pPr>
        <w:spacing w:after="0" w:line="32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Reclassifications and Adjustments for the AAG Acquisition</w:t>
      </w:r>
    </w:p>
    <w:p>
      <w:pPr>
        <w:spacing w:after="0" w:line="135" w:lineRule="exact"/>
        <w:rPr>
          <w:sz w:val="20"/>
          <w:szCs w:val="20"/>
          <w:color w:val="auto"/>
        </w:rPr>
      </w:pPr>
    </w:p>
    <w:p>
      <w:pPr>
        <w:jc w:val="both"/>
        <w:ind w:left="460" w:right="480" w:hanging="452"/>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sales increased by approximately $18.8 million during the first inventory turn subsequent to the acquisition date as a result of the sale of inventory that was written up to fair value in purchase accounting. This cost has been excluded from the pro forma adjustments as this amount is considered non-recurring.</w:t>
      </w:r>
    </w:p>
    <w:p>
      <w:pPr>
        <w:spacing w:after="0" w:line="8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Adjustment reflects decreased depreciation expense of $0.3 million associated with the adjustment to record the AAG property, plant and equipment at fair value for the period from October 1, 2014 through May 20, 2015.</w:t>
      </w:r>
    </w:p>
    <w:p>
      <w:pPr>
        <w:spacing w:after="0" w:line="75"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Adjustment reflects decreased intangible asset amortization expense of $25.1 million associated with the adjustment to record the AAG intangible assets at fair value for the period from October 1, 2014 through May 20, 2015.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FINANCIAL STATEMENTS (Unaudited)—(Continued)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millions of dollars, except for share or as otherwise specified)</w:t>
      </w:r>
    </w:p>
    <w:p>
      <w:pPr>
        <w:spacing w:after="0" w:line="238" w:lineRule="exact"/>
        <w:rPr>
          <w:sz w:val="20"/>
          <w:szCs w:val="20"/>
          <w:color w:val="auto"/>
        </w:rPr>
      </w:pPr>
    </w:p>
    <w:p>
      <w:pPr>
        <w:ind w:left="460" w:right="12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the AAG Acquisition, Spectrum Brands issued $1,000.0 million in 2025 notes and incurred related issuance costs. In addition, a substantial portion of the historical AAG debt was repaid in connection with the AAG Acquisition. These changes in the combined debt structure gave rise to interest expense adjustments that resulted in a net decrease of $46.8 million for the period from October 1, 2014 through May 20, 2015. The adjustments consisted of the following:</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October 1, 2014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May 20,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 notes—USD $1,000.0 million</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Amortization of debt issuance costs of SBI 5.75% Notes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pro forma interest expense on SBI acquisition-related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Less: elimination of interest expense related to prior AAG debt facilities that were repaid</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pro forma adjustment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6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a result of Spectrum Brands’ valuation allowance, the pro forma adjustments are solely a change in deferred income taxes offset by the change in valuation and do not have income tax consequences.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Adjustment reflects the reversal of $25.5 million of pre-acquisition costs incurred by AAG.</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Adjustment reflects the reversal of $8.4 million of pre-acquisition accelerated stock based compensation incurred by AAG in conjunction with the AAG Acquisition.</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Adjustment reflects the reversal of $21.8 million of acquisition and integration-related charges incurred by Spectrum Brands in conjunction with the AAG Acquisition.</w:t>
      </w:r>
    </w:p>
    <w:p>
      <w:pPr>
        <w:spacing w:after="0" w:line="31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Transaction costs include fees for investment banking services, advisory, legal, accounting, due diligence, tax, valuation, printing and various other services necessary to complete this transaction. In accordance with ASC 805, these fees and expenses are charged to expense as incurred. Spectrum Brands’ incurred and recorded $21.8 million of acquisition and integration-related costs related to the AAG Acquisition, through September 30, 2015.</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following selected historical financial data have been derived from SB/RH Holdings’ audited consolidated financial statements. SB/RH Holdings’ audited Consolidated Statements of Financial Position as of September 30, 2015 and 2014; SB/RH Holdings’ audited Consolidated Statements of Operations, audited Consolidated Statements of Comprehensive Income (Loss), audited Consolidated Statements of Shareholders’ Equity and audited Consolidated Statements of Cash Flows for the years ended September 30, 2015, 2014 and 2013 are each included elsewhere in this prospectus.</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selected financial data, which may not be indicative of future performance, should be read in conjunction with the audited and unaudited financial statements of SB/RH Holdings, including the notes thereto, and “Management’s Discussion and Analysis of Financial Condition and Results of Operations,” included elsewhere in this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center"/>
              <w:ind w:left="372"/>
              <w:spacing w:after="0"/>
              <w:rPr>
                <w:sz w:val="20"/>
                <w:szCs w:val="20"/>
                <w:color w:val="auto"/>
              </w:rPr>
            </w:pPr>
            <w:r>
              <w:rPr>
                <w:rFonts w:ascii="Arial" w:cs="Arial" w:eastAsia="Arial" w:hAnsi="Arial"/>
                <w:sz w:val="14"/>
                <w:szCs w:val="14"/>
                <w:b w:val="1"/>
                <w:bCs w:val="1"/>
                <w:color w:val="auto"/>
                <w:w w:val="92"/>
              </w:rPr>
              <w:t>Year Ended September 30,</w:t>
            </w: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7"/>
                <w:szCs w:val="7"/>
                <w:color w:val="auto"/>
              </w:rPr>
              <w:t>(1)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2014</w:t>
            </w:r>
            <w:r>
              <w:rPr>
                <w:rFonts w:ascii="Arial" w:cs="Arial" w:eastAsia="Arial" w:hAnsi="Arial"/>
                <w:sz w:val="7"/>
                <w:szCs w:val="7"/>
                <w:color w:val="auto"/>
                <w:w w:val="95"/>
              </w:rPr>
              <w:t>(2)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rPr>
              <w:t>2013</w:t>
            </w:r>
            <w:r>
              <w:rPr>
                <w:rFonts w:ascii="Arial" w:cs="Arial" w:eastAsia="Arial" w:hAnsi="Arial"/>
                <w:sz w:val="7"/>
                <w:szCs w:val="7"/>
                <w:color w:val="auto"/>
              </w:rPr>
              <w:t>(3)</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2012</w:t>
            </w:r>
            <w:r>
              <w:rPr>
                <w:rFonts w:ascii="Arial" w:cs="Arial" w:eastAsia="Arial" w:hAnsi="Arial"/>
                <w:sz w:val="7"/>
                <w:szCs w:val="7"/>
                <w:color w:val="auto"/>
              </w:rPr>
              <w:t>(4)</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sales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4,690.4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4,429.1</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4,085.6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3,252.4</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1,670.3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1,390.3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15"/>
                <w:szCs w:val="15"/>
                <w:color w:val="auto"/>
              </w:rPr>
              <w:t>(5)</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484.5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352.9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306.1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(6)</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expense, net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r>
              <w:rPr>
                <w:rFonts w:ascii="Arial" w:cs="Arial" w:eastAsia="Arial" w:hAnsi="Arial"/>
                <w:sz w:val="15"/>
                <w:szCs w:val="15"/>
                <w:color w:val="auto"/>
              </w:rPr>
              <w:t>(7)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Less: Net income (loss) attributable to non-controlling interest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controlling interest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Restructuring and related charges—cost of goods sold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related charges—operating expenses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Cash Flow and Related Data:</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Statement of Financial Position Data (at period end):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524.4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7,297.9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5,511.3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5,619.0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3,753.5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long-term debt, net of current portion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3,937.2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2,894.1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3,115.9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1,652.9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4,005.7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3,218.9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1,576.6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1,523.1</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1,020.7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884.7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992.7</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360" w:hanging="452"/>
        <w:spacing w:after="0" w:line="288"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6"/>
          <w:szCs w:val="16"/>
          <w:color w:val="auto"/>
        </w:rPr>
        <w:t>The information presented as of and for the year ended September 30, 2015 includes the results of the AAG operations since the acquisition date of May 21, 2015; the results of the Salix operations since the acquisition date of January 16, 2015; the results of the European IAMS and Eukanuba operations since the acquisition date of December 31, 2014; and the results of the Tell operations since the acquisition date of October 1, 2014.</w:t>
      </w:r>
    </w:p>
    <w:p>
      <w:pPr>
        <w:ind w:left="460" w:right="320" w:hanging="452"/>
        <w:spacing w:after="0" w:line="261"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8"/>
          <w:szCs w:val="18"/>
          <w:color w:val="auto"/>
        </w:rPr>
        <w:t>The information presented as of and for the year ended September 30, 2014 includes the results of the Liquid Fence operations since the acquisition date of January 2, 2014.</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hanging="452"/>
        <w:spacing w:after="0" w:line="258"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information presented as of and for the year ended September 30, 2013 includes the results of the HHI Business operations since the acquisition date of December 17, 2012, and the results of TLM Taiwan since the acquisition date of April 8, 2013.</w:t>
      </w:r>
    </w:p>
    <w:p>
      <w:pPr>
        <w:spacing w:after="0" w:line="1"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information presented as of and for the year ended September 30, 2012 includes the results of the FURminator operations since the acquisition date of December 22, 2011, and the results of Black Flag operations since the acquisition date of October 31, 2011.</w:t>
      </w:r>
    </w:p>
    <w:p>
      <w:pPr>
        <w:ind w:left="460" w:hanging="452"/>
        <w:spacing w:after="0"/>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During the year ended September 30, 2011, we recorded a non-cash pretax impairment charge of approximately $32.5 million.</w:t>
      </w:r>
    </w:p>
    <w:p>
      <w:pPr>
        <w:spacing w:after="0" w:line="9" w:lineRule="exact"/>
        <w:rPr>
          <w:rFonts w:ascii="Arial" w:cs="Arial" w:eastAsia="Arial" w:hAnsi="Arial"/>
          <w:sz w:val="15"/>
          <w:szCs w:val="15"/>
          <w:color w:val="auto"/>
        </w:rPr>
      </w:pPr>
    </w:p>
    <w:p>
      <w:pPr>
        <w:ind w:left="460" w:hanging="452"/>
        <w:spacing w:after="0" w:line="265"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7"/>
          <w:szCs w:val="17"/>
          <w:color w:val="auto"/>
        </w:rPr>
        <w:t>During the year ended September 30, 2015, there was interest expense of $58.8 million incurred related to the financing of the acquisition of AAG and the refinancing of the then-existing senior credit facility and asset based revolving loan facility. During the year ended September 30, 2014, a non-cash charge of $9.2 million was recognized as a result of the write-off of unamortized debt issuance costs and unamortized discounts in connection with the amendment of the Company’s then existing term loans. During the year ended September 30, 2013, there were $105.6 million fees and expenses along with a $10.9 million non-cash charge for the write-off of unamortized debt issuance cost and unamortized premiums in connection with the extinguishment and replacement of the Company’s 9.5% Notes and then-existing term loan in conjunction with the acquisition of the HHI Business. During the year ended September 30, 2012, there was a non-cash charge of $2.1 million related to the write-off of unamortized debt issuance costs and unamortized premiums in connection with the extinguishment and refinancing of the Company’s 12% Notes. During the year ended September 30, 2011, there was a non-cash charge of $24.4 million related to the write-off of unamortized debt issuance costs and unamortized discounts in conjunction with the refinancing of the Company’s Term Loan facility.</w:t>
      </w:r>
    </w:p>
    <w:p>
      <w:pPr>
        <w:spacing w:after="0" w:line="2" w:lineRule="exact"/>
        <w:rPr>
          <w:rFonts w:ascii="Arial" w:cs="Arial" w:eastAsia="Arial" w:hAnsi="Arial"/>
          <w:sz w:val="14"/>
          <w:szCs w:val="14"/>
          <w:color w:val="auto"/>
        </w:rPr>
      </w:pPr>
    </w:p>
    <w:p>
      <w:pPr>
        <w:ind w:left="460" w:right="220" w:hanging="452"/>
        <w:spacing w:after="0" w:line="281"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6"/>
          <w:szCs w:val="16"/>
          <w:color w:val="auto"/>
        </w:rPr>
        <w:t>During the year ended September 30, 2015, there was a non-cash benefit of $20.2 million from a decrease in the valuation allowance against net deferred tax assets, and a $22.8 million benefit due to the reversal of valuation allowance in conjunction with the acquisition of the AAG business. During the year ended September 30, 2014, there was a non-cash benefit of approximately $115.6 million from a decrease in the valuation allowance against net deferred tax assets. During the year ended September 30, 2013, there was a non-cash charge of approximately $64.4 million from an increase in the valuation allowance against net deferred tax assets, net of a $49.8 million benefit due to the reversal of a portion of the valuation allowance in conjunction with the acquisition of the HHI Business. During the year ended September 30, 2012, there was a non-cash charge of approximately $13.9 million from an increase in the valuation allowance against net deferred tax assets, net of a $14.5 million benefit due to the reversal of a portion of the valuation allowance in conjunction with the acquisition of FURminator. During the year ended September 30, 2011, there was a non-cash charge of approximately $68.6 million from an increase in the valuation allowance against net deferred tax assets.</w:t>
      </w:r>
    </w:p>
    <w:p>
      <w:pPr>
        <w:spacing w:after="0" w:line="6" w:lineRule="exact"/>
        <w:rPr>
          <w:rFonts w:ascii="Arial" w:cs="Arial" w:eastAsia="Arial" w:hAnsi="Arial"/>
          <w:sz w:val="14"/>
          <w:szCs w:val="14"/>
          <w:color w:val="auto"/>
        </w:rPr>
      </w:pPr>
    </w:p>
    <w:p>
      <w:pPr>
        <w:ind w:left="460" w:hanging="452"/>
        <w:spacing w:after="0"/>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Working capital is defined as current assets less current liabilities per the consolidated statements of financial position.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is management’s discussion of the financial results, liquidity and other key items related to our performance and should be read in conjunction with “Selected Historical Financial Data” and our Consolidated Financial Statements and related notes elsewhere in this prospectus. Solely for the purposes of this section, unless the context indicates otherwise, the terms: the “Company,” “Spectrum,” “we,” “our” or “us” are used to refer to SB/RH Holdings, LLC and its subsidiaries.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 included elsewhere within this prospectus for an overview of our business.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performance is influenced by a number of factors including: general economic conditions; foreign exchange fluctuations; trends in consumer markets; consumer confidence and preferences; our overall product line mix, including pricing and gross margin, which vary by product line and geographic region; pricing of certain raw materials and commodities; energy and fuel prices; and our general competitive position, especially as impacted by our competitors’ advertising and promotional activities and pricing strategies.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The Company’s fiscal year ends on September 30. Throughout the year, the Company reports its results using a fiscal calendar whereby each three month quarterly reporting period is approximately thirteen weeks in length and ends on a Sunday. The exceptions are the first quarter, which begins on October 1, and the fourth quarter, which ends on September 30. For the year ended September 30, 2015, the fiscal quarters were comprised of the three months ended December 28, 2014, and March 29, June 28 and September 30, 2015.</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application of acquisition accounting as a result of business combinations can significantly affect certain assets, liabilities and expenses. Over the last three fiscal years, the Company has completed a number of acquisitions as outlined below.</w:t>
      </w:r>
    </w:p>
    <w:p>
      <w:pPr>
        <w:spacing w:after="0" w:line="170"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i w:val="1"/>
          <w:iCs w:val="1"/>
          <w:color w:val="auto"/>
        </w:rPr>
        <w:t>Armored AutoGroup—</w:t>
      </w:r>
      <w:r>
        <w:rPr>
          <w:rFonts w:ascii="Arial" w:cs="Arial" w:eastAsia="Arial" w:hAnsi="Arial"/>
          <w:sz w:val="17"/>
          <w:szCs w:val="17"/>
          <w:color w:val="auto"/>
        </w:rPr>
        <w:t>On May 21, 2015, the Company completed the acquisition of AAG, a consumer products company consisting primarily of</w:t>
      </w:r>
      <w:r>
        <w:rPr>
          <w:rFonts w:ascii="Arial" w:cs="Arial" w:eastAsia="Arial" w:hAnsi="Arial"/>
          <w:sz w:val="17"/>
          <w:szCs w:val="17"/>
          <w:i w:val="1"/>
          <w:iCs w:val="1"/>
          <w:color w:val="auto"/>
        </w:rPr>
        <w:t xml:space="preserve"> </w:t>
      </w:r>
      <w:r>
        <w:rPr>
          <w:rFonts w:ascii="Arial" w:cs="Arial" w:eastAsia="Arial" w:hAnsi="Arial"/>
          <w:sz w:val="17"/>
          <w:szCs w:val="17"/>
          <w:color w:val="auto"/>
        </w:rPr>
        <w:t>Armor All branded appearance products, STP branded performance chemicals, and A/C PRO branded do-it-yourself automotive air conditioner recharge products. The results of AAG’s operations since May 21, 2015 are included in the Company’s Consolidated Statements of Operations for the year ended September 30, 2015. AAG is reported as a separate segment, Global Auto Care.</w:t>
      </w:r>
    </w:p>
    <w:p>
      <w:pPr>
        <w:spacing w:after="0" w:line="17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i w:val="1"/>
          <w:iCs w:val="1"/>
          <w:color w:val="auto"/>
        </w:rPr>
        <w:t>Salix—</w:t>
      </w:r>
      <w:r>
        <w:rPr>
          <w:rFonts w:ascii="Arial" w:cs="Arial" w:eastAsia="Arial" w:hAnsi="Arial"/>
          <w:sz w:val="17"/>
          <w:szCs w:val="17"/>
          <w:color w:val="auto"/>
        </w:rPr>
        <w:t>On January 16, 2015, the Company completed the acquisition of Salix, a vertically integrated producer and distributor of premium, natural</w:t>
      </w:r>
      <w:r>
        <w:rPr>
          <w:rFonts w:ascii="Arial" w:cs="Arial" w:eastAsia="Arial" w:hAnsi="Arial"/>
          <w:sz w:val="17"/>
          <w:szCs w:val="17"/>
          <w:i w:val="1"/>
          <w:iCs w:val="1"/>
          <w:color w:val="auto"/>
        </w:rPr>
        <w:t xml:space="preserve"> </w:t>
      </w:r>
      <w:r>
        <w:rPr>
          <w:rFonts w:ascii="Arial" w:cs="Arial" w:eastAsia="Arial" w:hAnsi="Arial"/>
          <w:sz w:val="17"/>
          <w:szCs w:val="17"/>
          <w:color w:val="auto"/>
        </w:rPr>
        <w:t>rawhide dog chews, treats and snacks. The results of Salix’s operations since January 16, 2015 are included in the Company’s Consolidated Statements of Operations for the year ended September 30, 2015, and as part of the Global Pet Supplies segment.</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European IAMS and Eukanuba—</w:t>
      </w:r>
      <w:r>
        <w:rPr>
          <w:rFonts w:ascii="Arial" w:cs="Arial" w:eastAsia="Arial" w:hAnsi="Arial"/>
          <w:sz w:val="18"/>
          <w:szCs w:val="18"/>
          <w:color w:val="auto"/>
        </w:rPr>
        <w:t>On December 31, 2014, the Company completed the acquisition of Procter &amp; Gamble’s European IAMS and</w:t>
      </w:r>
      <w:r>
        <w:rPr>
          <w:rFonts w:ascii="Arial" w:cs="Arial" w:eastAsia="Arial" w:hAnsi="Arial"/>
          <w:sz w:val="18"/>
          <w:szCs w:val="18"/>
          <w:i w:val="1"/>
          <w:iCs w:val="1"/>
          <w:color w:val="auto"/>
        </w:rPr>
        <w:t xml:space="preserve"> </w:t>
      </w:r>
      <w:r>
        <w:rPr>
          <w:rFonts w:ascii="Arial" w:cs="Arial" w:eastAsia="Arial" w:hAnsi="Arial"/>
          <w:sz w:val="18"/>
          <w:szCs w:val="18"/>
          <w:color w:val="auto"/>
        </w:rPr>
        <w:t>Eukanuba pet food business (“European IAMS and Eukanuba”), including its leading premium brands for dogs and cats. The results of the European IAMS and Eukanuba’s operations since December 31, 2014 are included in the Company’s Consolidated Statements of Operations for the year ended September 30, 2015, and as part of the Global Pet Supplies segment.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i w:val="1"/>
          <w:iCs w:val="1"/>
          <w:color w:val="auto"/>
        </w:rPr>
        <w:t>Tell Manufacturing—</w:t>
      </w:r>
      <w:r>
        <w:rPr>
          <w:rFonts w:ascii="Arial" w:cs="Arial" w:eastAsia="Arial" w:hAnsi="Arial"/>
          <w:sz w:val="17"/>
          <w:szCs w:val="17"/>
          <w:color w:val="auto"/>
        </w:rPr>
        <w:t>On October 1, 2014, the Company completed the acquisition of Tell Manufacturing, Inc. (“Tell”), a leading manufacturer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 of commercial doors, locks and hardware. The results of Tell’s operations since October 1, 2014 are included in the Company’s Consolidated Statements of Operations for the year ended September 30, 2015, and as part of the Hardware and Home Improvement segment.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Liquid Fence—</w:t>
      </w:r>
      <w:r>
        <w:rPr>
          <w:rFonts w:ascii="Arial" w:cs="Arial" w:eastAsia="Arial" w:hAnsi="Arial"/>
          <w:sz w:val="18"/>
          <w:szCs w:val="18"/>
          <w:color w:val="auto"/>
        </w:rPr>
        <w:t>On January 2, 2014, the Company completed the acquisition of the Liquid Fence Company (“Liquid Fence”), a producer of animal</w:t>
      </w:r>
      <w:r>
        <w:rPr>
          <w:rFonts w:ascii="Arial" w:cs="Arial" w:eastAsia="Arial" w:hAnsi="Arial"/>
          <w:sz w:val="18"/>
          <w:szCs w:val="18"/>
          <w:i w:val="1"/>
          <w:iCs w:val="1"/>
          <w:color w:val="auto"/>
        </w:rPr>
        <w:t xml:space="preserve"> </w:t>
      </w:r>
      <w:r>
        <w:rPr>
          <w:rFonts w:ascii="Arial" w:cs="Arial" w:eastAsia="Arial" w:hAnsi="Arial"/>
          <w:sz w:val="18"/>
          <w:szCs w:val="18"/>
          <w:color w:val="auto"/>
        </w:rPr>
        <w:t>repellents. The results of Liquid Fence’s operations since January 2, 2014 are included in the Company’s Consolidated Statements of Operations for the years ended September 30, 2015 and 2014, as part of the Home and Garden segment.</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HHI Business—</w:t>
      </w:r>
      <w:r>
        <w:rPr>
          <w:rFonts w:ascii="Arial" w:cs="Arial" w:eastAsia="Arial" w:hAnsi="Arial"/>
          <w:sz w:val="17"/>
          <w:szCs w:val="17"/>
          <w:color w:val="auto"/>
        </w:rPr>
        <w:t>On December 17, 2012, the Company completed the acquisition of the Hardware and Home Improvement Business from Stanley</w:t>
      </w:r>
      <w:r>
        <w:rPr>
          <w:rFonts w:ascii="Arial" w:cs="Arial" w:eastAsia="Arial" w:hAnsi="Arial"/>
          <w:sz w:val="17"/>
          <w:szCs w:val="17"/>
          <w:i w:val="1"/>
          <w:iCs w:val="1"/>
          <w:color w:val="auto"/>
        </w:rPr>
        <w:t xml:space="preserve"> </w:t>
      </w:r>
      <w:r>
        <w:rPr>
          <w:rFonts w:ascii="Arial" w:cs="Arial" w:eastAsia="Arial" w:hAnsi="Arial"/>
          <w:sz w:val="17"/>
          <w:szCs w:val="17"/>
          <w:color w:val="auto"/>
        </w:rPr>
        <w:t>Black &amp; Decker (the “HHI Business”). A portion of the HHI Business, consisting of the purchase of certain assets of TLM Taiwan, closed on April 8, 2013. The HHI Business is a major manufacturer and supplier of residential locksets, residential builders’ hardware and faucets with a portfolio of recognized brand names, including Kwikset, Weiser, Baldwin, National Hardware, Stanley and Pfister, as well as patented technologies such as the SmartKey, a re-keyable lockset technology, and Smart Code Home Connect. The results of the HHI Business operations since December 17, 2012 are included in the Company’s Consolidated Statements of Operations for the years ended September 30, 2015, 2014 and 2013, as part of the Hardware &amp; Home Improvement segment. The results of the TLM Business operations since April 8, 2013 are included in the Company’s Consolidated Statements of Operations for the years ended September 30, 2015, 2014 and 2013, and as part of the Hardware and Home Improvement segment.</w:t>
      </w:r>
    </w:p>
    <w:p>
      <w:pPr>
        <w:spacing w:after="0" w:line="17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See Note 3, “Acquisitions” in the Notes to the Consolidated Financial Statements, included elsewhere within this prospectus, for further additional detail regarding acquisition activity.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Activity</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continually seek to improve our operational efficiency, match our manufacturing capacity and product costs to market demand and better utilize our manufacturing resources. We have undertaken various initiatives to reduce manufacturing and operating costs. The most significant of these initiatives are outlined below.</w:t>
      </w:r>
    </w:p>
    <w:p>
      <w:pPr>
        <w:spacing w:after="0" w:line="18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i w:val="1"/>
          <w:iCs w:val="1"/>
          <w:color w:val="auto"/>
        </w:rPr>
        <w:t>HHI Business Rationalization Initiatives</w:t>
      </w:r>
      <w:r>
        <w:rPr>
          <w:rFonts w:ascii="Arial" w:cs="Arial" w:eastAsia="Arial" w:hAnsi="Arial"/>
          <w:sz w:val="16"/>
          <w:szCs w:val="16"/>
          <w:color w:val="auto"/>
        </w:rPr>
        <w:t>—During the fourth quarter of the fiscal year ended September 30, 2014, the Company implemented a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initiatives throughout the Hardware &amp; Home Improvement business segment to reduce operating costs and exit low margin business outside of the U.S. These initiatives will include headcount reductions, the exit of certain facilities and the sale of a portion of the global Hardware &amp; Home Improvement operations. Costs associated with these initiatives, which are expected to be incurred through September 30, 2016, are projected to be approximately $15 million.</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Global Expense Rationalization Initiatives—</w:t>
      </w:r>
      <w:r>
        <w:rPr>
          <w:rFonts w:ascii="Arial" w:cs="Arial" w:eastAsia="Arial" w:hAnsi="Arial"/>
          <w:sz w:val="18"/>
          <w:szCs w:val="18"/>
          <w:color w:val="auto"/>
        </w:rPr>
        <w:t>During the third quarter of the year ended September 30, 2013, the Company implemented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to reduce operating costs. These initiatives consist of headcount reductions in the Global Batteries &amp; Appliances and Global Pet Supplies segments and in Corporate. Costs associated with these initiatives are expected to be approximately $46 million and are anticipated to be incurred through September 30, 2018.</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Global Cost Reduction Initiatives—</w:t>
      </w:r>
      <w:r>
        <w:rPr>
          <w:rFonts w:ascii="Arial" w:cs="Arial" w:eastAsia="Arial" w:hAnsi="Arial"/>
          <w:sz w:val="17"/>
          <w:szCs w:val="17"/>
          <w:color w:val="auto"/>
        </w:rPr>
        <w:t>During the fiscal year ended September 30, 2009, the Company implemented a series of initiatives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Global Batteries &amp; Appliances, the Global Pet Supplies and the Home and Garden segments. These initiatives included headcount reductions and the exit of certain facilities within each of these segments, as well as consultation, legal and accounting fees related to the evaluation of the Company’s capital structure. Costs associated with the initiative, which was completed during the year ended September 30, 2015, were $101.8 million.</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See Note 4, “Restructuring and Related Charges” in the Notes to the Consolidated Financial Statements, included elsewhere within this prospectus, for additional detail regarding restructuring and related activity.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Activity</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year ended September 30, 2015, we refinanced a portion of our debt to improve leverage and reduce borrowing costs. On May 20, 2015, in connection with the acquisition of AAG, we issued $1,000 million aggregate principal amount of 5.75% unsecured notes due 2025 (the “5.75% Notes”). On June 23, 2015, we entered into term loan facilities pursuant to a Senior Credit Agreement consisting of (i) a $1,450 million USD Term Loan due June 23, 2022, (ii) a $75 million CAD Term Loan due June 23, 2022 and (iii) a €300 million Euro Term Loan due June 23, 2022, (collectively, “Term Loans”) and</w:t>
      </w:r>
    </w:p>
    <w:p>
      <w:pPr>
        <w:spacing w:after="0" w:line="2" w:lineRule="exact"/>
        <w:rPr>
          <w:sz w:val="20"/>
          <w:szCs w:val="20"/>
          <w:color w:val="auto"/>
        </w:rPr>
      </w:pPr>
    </w:p>
    <w:p>
      <w:pPr>
        <w:ind w:right="20" w:firstLine="8"/>
        <w:spacing w:after="0" w:line="277" w:lineRule="auto"/>
        <w:tabs>
          <w:tab w:leader="none" w:pos="3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entered into a $500 million Revolver Facility due June 23, 2020 (the “Revolver”). The proceeds from the Term Loans and draws on the Revolver were used to repay our then-existing senior term credit facility, repay our outstanding 6.75% senior unsecured notes due 2020, repay and replace our then-existing asset based revolving loan facility and to pay fees and expenses in connection with the refinancing and for general corporate purposes.</w:t>
      </w:r>
    </w:p>
    <w:p>
      <w:pPr>
        <w:spacing w:after="0" w:line="173"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During the year ended September 30, 2014, the Company amended its then-existing senior term credit facility, issuing two tranches maturing September 4, 2019 which provide for borrowings in the principal amounts of $215.0 million and €225.0 million. The proceeds from the amendment were used to refinance a portion of the then-existing senior term credit facility which was scheduled to mature December 17, 2019, in an amount outstanding of $513.3 million prior to refinancing. The $215.0 million U.S. dollar denominated portion was combined with the then-existing Tranche C maturing September 4, 2019. These loans were refinanced during the year ended September 30, 2015 as described above.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9, “Debt” in the Notes to the Consolidated Financial Statements, included elsewhere within this prospectus, for additional detail regarding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September 30, 2015 Compared to Fiscal Year Ended September 30, 2014</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year ended September 30, 2015 increased $261.3 million, or 5.9%, to $4,690.4 million from $4,429.1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2014. The following tables set forth our consolidated net sales by segment for the years ended September 30, 2015 and 2014 and the principal components of the change in net sales from the year ended September 30, 2014 to the year ended September 30, 2015:</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3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Consumer batteries</w:t>
            </w:r>
          </w:p>
        </w:tc>
        <w:tc>
          <w:tcPr>
            <w:tcW w:w="3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Small appliances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734.6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Personal care</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Global Batteries &amp; Appliances</w:t>
            </w:r>
          </w:p>
        </w:tc>
        <w:tc>
          <w:tcPr>
            <w:tcW w:w="3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2,092.2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 &amp; Home Improvement</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1,205.5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1,166.0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Global Pet Supplies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758.2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Garden</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Global Auto Care</w:t>
            </w:r>
          </w:p>
        </w:tc>
        <w:tc>
          <w:tcPr>
            <w:tcW w:w="3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4,690.4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4,429.1</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Net sales as of September 30, 2014</w:t>
            </w: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4,429.1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 of auto care products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Increase in pet supplies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home and garden products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Increase in personal care products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Increase in hardware and home improvement products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Increase in small appliances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Decrease in consumer batteries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Foreign currency impact, net</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as of September 30, 2015</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4,690.4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140" w:type="dxa"/>
            <w:vAlign w:val="bottom"/>
            <w:vMerge w:val="restart"/>
          </w:tcPr>
          <w:p>
            <w:pPr>
              <w:jc w:val="right"/>
              <w:ind w:right="267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Consumer battery sales decreased $128.3 million, or 13.4% during the year ended September 30, 2015 compared to the year ended September 30, 2014. Excluding the impact of negative foreign exchange of $85.5 million, global consumer battery sales decreased $42.8 million. The constant currency decrease in global consumer battery sales was primarily attributable to the decrease in North American sales of $75.8 million, partially offset by an increase in European consumer battery sales of $29.4 million. The North American battery decrease was due to lower sales of alkaline batteries of $54.6 million, specialty batteries of $11.1 million and $10.1 million in lights. The decrease in North American alkaline batteries was primarily attributable to continued competitor discounting coupled with a retail customer bankruptcy. The decrease in North American specialty batteries and lights was primarily attributable to distribution loss to a competitor at a major retailer and timing associated with holiday sales. The increase in European sales was due to gains of $24.4 million in alkaline batteries attributed to new customers and increased volume at existing retailers and private label customers; increases of $2.4 million in specialty batteries due to new customers and higher sales volume of hearing aid batteries and $2.6 million in lights as a result of new products and increased promotional activity.</w:t>
      </w:r>
    </w:p>
    <w:p>
      <w:pPr>
        <w:spacing w:after="0" w:line="17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Small appliance sales increased $3.8 million, or 0.5%, during the year ended September 30, 2015 compared to the year ended September 30, 2014, including a negative foreign currency impact of $47.5 million. Excluding the foreign currency impact, small appliance sales increased $51.3 million, driven by increased sales in North America of $25.1 million, Europe of $24.9 million and $2.0 million in Latin America. The increase in North American sales was attributable to the continued success of new product launches. The increase in European sales was attributable to promotions at current customers coupled with new customers. Latin American sales growth resulted from new product introductions and volume increases in certain product lines.</w:t>
      </w:r>
    </w:p>
    <w:p>
      <w:pPr>
        <w:spacing w:after="0" w:line="15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Personal care sales decreased $14.0 million, or 2.6%, including a negative foreign currency impact of $49.4 million, during the year ended September 30, 2015 compared to the year ended September 30, 2014. Excluding the foreign currency impact, personal care product sales increased $35.5 million, driven by increased sales in North America, Europe and Latin America of $11.6 million, $16.6 million and $5.3 million, respectively. The North American sales increase was primarily a result of product display location changes at a major customer, promotional activity and continued growth through the e-commerce channel. The European sales increase was due to a combination of sales from new products and continued expansion into Eastern European markets. The Latin American sales increase was primarily attributable to growth in Mexico, new customers and effective promotional sales within the region.</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Hardware and home improvement sales increased $39.5 million, or 3.4%, during the year ended September 30, 2015 compared to the year ended September 30, 2014. Excluding a negative foreign exchange impact of $20.6 million, the increase in sales was $60.1 million. The increase in sales was attributable to the acquisition of Tell, which added $39.4 million, and an increase in North America of $34.9 million, offset by a decrease in sales in the Asia-Pacific region of $14.2 million. North American sales increased as a result of gains in domestic security and plumbing sales from retailers due to customer gains and from non-retailers through pricing and market growth. The decrease in Asia-Pacific sales was driven by the exit of products in China and the expiration of a customer tolling agreement.</w:t>
      </w:r>
    </w:p>
    <w:p>
      <w:pPr>
        <w:spacing w:after="0" w:line="19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Global pet supplies sales increased $157.7 million, or 26.3%, during the year ended September 30, 2015 compared to the year ended September 30, 2014, including a negative foreign exchange impact of $26.6 million. Excluding the foreign currency impact, the increase in sales was $184.3 million, which was attributable to the European IAMS &amp; Eukanuba acquisition and the Salix acquisition that together contributed $200.1 million; partially offset by decrease in aquatics sales of $12.8 million. The decline in aquatics sales was primarily due to a reduction in promotion activity related to low margin products.</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Home and garden sales increased $42.1 million, or 9.7%, during the year ended September 30, 2015 compared to the year ended September 30, 2014. The increase in sales were attributed to increases in lawn &amp; garden control products of $13.1 million, repellants of $16.2 million and household insect control products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$12.8 million. The sales increase for all categories within home and garden was a result of distribution gains, strong point of sale activity driving replenishment orders at existing customers and market share gains on certain brands.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Net sales from auto care products relate to the acquired AAG business subsequent to the acquisition date of May 21, 2015. The results of AAG’s operations since the acquisition date are reported as a separate segment, Global Auto Care.</w:t>
      </w:r>
    </w:p>
    <w:p>
      <w:pPr>
        <w:spacing w:after="0" w:line="17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and gross profit margin for the year ended September 30, 2015 were $1,670.3 million and 35.6%, respectively,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September 30, 2014 of $1,568.9 million and 35.4%, respectively. The increase in gross profit was attributable to an increase in sales and the improvement in gross profit margin was primarily attributable to a shift towards higher margin sales and continuing cost improvements.</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for the year ended September 30, 2015 were $1,189.8 million compared to $1,084.4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2014. The $105.4 million increase in operating expenses during the year ended September 30, 2015 was primarily attributable to an increase of $55.9 million in selling and general and administrative expenses as a result of increased sales and increased acquisition and integration costs of $38.7 million as a result of the acquisitions of AAG, Salix, European IAMS and Eukanuba, and Tell during the year ended September 30, 2015. Acquisition and integration related charges include, but are not limited to, transaction costs such as banking, legal and accounting professional fees directly related to acquisitions, termination and related costs for transitional and certain other employees, integration related professional fees and other post business combination related expenses associated with our acquisitions. See Note 3, “Acquisitions” in Notes to Consolidated Financial Statements included elsewhere in this prospectus for additional information regarding our acquisition and integration related charges.</w:t>
      </w:r>
    </w:p>
    <w:p>
      <w:pPr>
        <w:spacing w:after="0" w:line="166"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i w:val="1"/>
          <w:iCs w:val="1"/>
          <w:color w:val="auto"/>
        </w:rPr>
        <w:t xml:space="preserve">Restructuring and Related Charges. </w:t>
      </w:r>
      <w:r>
        <w:rPr>
          <w:rFonts w:ascii="Arial" w:cs="Arial" w:eastAsia="Arial" w:hAnsi="Arial"/>
          <w:sz w:val="18"/>
          <w:szCs w:val="18"/>
          <w:color w:val="auto"/>
        </w:rPr>
        <w:t>See Note 4, “Restructuring and Related Charges,” of Notes to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 for information regarding our restructuring and related charges.</w:t>
      </w:r>
    </w:p>
    <w:p>
      <w:pPr>
        <w:spacing w:after="0" w:line="17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for the year ended September 30, 2015 was $271.9 million compared to $202.1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2014. The increase of $69.8 million is primarily attributable to $58.8 million of non-recurring costs incurred related to the financing of the acquisition of AAG and the refinancing activity previously discussed, plus additional interest expense on debt issued in conjunction with the acquisitions of Tell, European IAMS and Eukanuba and Salix during the year ended September 30, 2015. Interest expense incurred in conjunction with the AAG acquisition included $14.1 million of costs related to bridge financing commitments and $4.5 million of costs related to interest on the assumed AAG senior notes from the date of the acquisition through the time of payoff in June 2015. Interest expense related to the refinancing of certain debt instruments included the following: (i) $16.9 million of cash expense related to the call premium upon the repayment of 6.75% senior unsecured notes; (ii) $4.1 million of non-cash expense for the write-off of debt issuance costs associated with the repayment of 6.75% senior unsecured notes; (iii) $10.4 million cash expense related to fees associated with refinancing of the then-existing senior term credit facility; and (iv) $8.8 million of non-cash expense for the write-off of unamortized deferred financing fees and unamortized discounts on the then-existing senior credit facility and asset based revolving loan facility. See Note 9, “Debt” in the Notes to the Consolidated Financial Statements, included elsewhere within this prospectus, for additional information regarding our outstanding debt.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During the year ended September 30, 2015, we recorded income tax expense of $43.9 million on pre-tax income from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$199.7 million, compared to the income tax expense of $59.0 million recorded on pre-tax income of $276.1 million for the year ended September 30, 2014. Our effective tax rate was 21.9% for the year ended September 30, 2015 compared to 21.3% for the year ended September 30, 2014. Our effective tax rate differs from the U.S. federal statutory rate of 35% primarily due to (i) income earned outside the U.S. that is subject to statutory rates lower than 35%; (ii) the release of valuation allowance on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operating loss deferred tax assets offsetting tax expense on both U.S. pretax income and foreign income not permanently reinvested; and (iii) deferred income tax expense related to the change in book versus tax basis of indefinite-lived intangibles, which are amortized for tax purposes but not for book purposes. Additionally for the year ended September 30, 2015, we recorded a tax benefit of $22.8 million for the reversal of a portion of the U.S. valuation allowance on deferred tax assets as a result of the AAG acquisition. For the year ended September 30, 2015, the Company also recognized $23.3 million of deferred tax assets related to its investment in one of its foreign subsidiaries because that timing difference is expected to reverse in the foreseeable future, but due to the US valuation allowance against deferred tax assets there is no net tax benefit for this item.</w:t>
      </w:r>
    </w:p>
    <w:p>
      <w:pPr>
        <w:spacing w:after="0" w:line="17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See Note 13, “Income Taxes,” of Notes to Consolidated Financial Statements included elsewhere in this prospectus for additional information regarding income taxes.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September 30, 2014 Compared to Fiscal Year Ended September 30, 2013</w:t>
      </w:r>
    </w:p>
    <w:p>
      <w:pPr>
        <w:spacing w:after="0" w:line="11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year ended September 30, 2014 increased $343.5 million, of 8.4%, to $4,429.1 million from $4,085.6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2013. The following tables set forth our consolidated net sales by segment for the years ended September 30, 2014 and 2013 and the principal components of the change in net sales from the year ended September 30, 2013 to the year ended September 30, 2014:</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16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Consumer batteries</w:t>
            </w:r>
          </w:p>
        </w:tc>
        <w:tc>
          <w:tcPr>
            <w:tcW w:w="1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Small appliances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730.8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Personal care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Global Batteries &amp; Appliances</w:t>
            </w:r>
          </w:p>
        </w:tc>
        <w:tc>
          <w:tcPr>
            <w:tcW w:w="1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2,230.7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 &amp; Home Improvement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1,166.0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869.6</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Global Pet Supplies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Garden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4,429.1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4,085.6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as of September 30, 2013</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4,085.6</w:t>
            </w: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Increase in hardware and home improvement products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home and garden products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Increase in consumer batteries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personal care products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Decrease in small appliances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Decrease in pet supplies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Foreign currency impact, net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as of September 30, 2014</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4,429.1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Consumer battery sales increased $26.2 million, or 2.8%, during the year ended September 30, 2014 compared to the previous year. Excluding the negative impact of foreign currency of $2.3 million, global consumer battery sales increased $28.5 million. The constant currency increase in global consumer battery sales was attributable to increases in European and Latin American consumer battery sales of $24.4 million and $9.8 million respectively, partially offset by a decrease in North American consumer battery sales of $5.7 million. The increases in European and Latin American sales were a result of retailer distribution gains, new customers and products, successful promotion activities and geographic expansion. The decrease in North America was primarily driven by the non-recurrence of approximately $10.0 million of flashlight sales in North America related to storm activity in the first quarter of the year ended September 30, 2013.</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Small appliance sales decreased $9.5 million, or 1.3%, during the year ended September 30, 2014 compared to the previous year. Excluding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negative exchange impact of $5.0 million, small appliances decreased $4.5 million. Excluding foreign exchange impacts, North American sales declined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 million, which was tempered by gains in Europe and Latin America of $13.5 million and $2.2 million, respectively. The North American sales declines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due to our exit of low-margin promotions during the year ended September 30, 2014. The European and Latin American sales gains were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promotions with existing retailers, coupled with innovative new product launches.</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Personal care sales increased $10.4 million, or 1.9%, during the year ended September 30, 2014 compared to the previous year. Excluding the negative impact of foreign currency of $1.7 million, sales increased $12.1 million. The constant currency increase was attributable to European sales increases of $7.6 million and Latin America sales increases of $6.5 million, offset by a $2.1 million decline in North American sales. The gains in Europe were due to innovative new product launches, promotional activities and expansion into new channels. Latin America sales gains were attributable to volume expansion in Colombia, successful hair care accessories product launches throughout Central America, distribution gains in Brazil and increased promotional activities. The decrease in North America was due to the non-recurrence of promotions during the first quarter of the year ended September 30, 2013 and customer inventory management, offset by North American sales of innovative new products and successful promotions.</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Hardware and home improvement sales increased $296.4 million, or 34.1%, during the year ended September 30, 2014 compared to the previous year. On a pro forma basis, as if the acquisition of the HHI Business had occurred at the beginning of the year ended September 30, 2013, hardware and home improvement sales increased approximately $104.8 million, or 9.8%, to $1,166.0 million for the year ended September 30, 2014 versus $1,061.2 million in the year ended September 30, 2013. This increase was attributable to the residential security category which accounted for $90.7 million of the increase due to strong retail positioning in North America coupled with the continued recovery of the U.S. housing market. The plumbing category increased $16.7 million while the hardware product category decreased $2.6 million. The plumbing product category increased due to growth in the U.S. from both retail and non-retail channels. Also contributing to the increase in sales was the TLM Business acquisition, as prior year results did not include the TLM Business until April 8, 2013.</w:t>
      </w:r>
    </w:p>
    <w:p>
      <w:pPr>
        <w:spacing w:after="0" w:line="192"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Pet supply sales decreased $21.4 million, or 3.4%, during the year ended September 30, 2014 compared to the previous year, including a positive foreign currency exchange impact of $1.3 million. Excluding foreign exchange impacts, aquatic sales and companion animal sales decreased $18.6 million and $4.1 million, respectively. The decline in aquatic sales was driven by lower kit and equipment sales in North America and lower aquatic food sales internationally coupled with a one-time negative impact from product registration issues in Russia during the third and fourth quarters of the year ended September 30, 2014. The decline in companion animal sales was driven by adverse weather in North America, which negatively affected retail store traffic during the second quarter of the year ended September 30, 2014, and the non-recurrence of companion animal promotions that took place during the first quarter of the year ended September 30, 2013.</w:t>
      </w:r>
    </w:p>
    <w:p>
      <w:pPr>
        <w:spacing w:after="0" w:line="17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Home and garden sales increased $41.4 million, or 10.6%, during the year ended September 30, 2014 compared to the previous year. The increase in sales was attributable to increases in repellent product sales and lawn and garden control sales of $22.6 million and $20.2 million, respectively. The repellent product sales increase was driven by market share gains, the extended selling season due to favorable weather and a $12.6 million increase due to the Liquid Fence acquisition. The increase in lawn and garden control sales was primarily driven by distribution gains at key retailers and the extended selling season discussed above. These gains were partially offset by a slight decline in household insect control sales of $1.5 million.</w:t>
      </w:r>
    </w:p>
    <w:p>
      <w:pPr>
        <w:spacing w:after="0" w:line="15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and gross profit margin for the year ended September 30, 2014 was $1,568.9 million and 35.4%,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$1,390.3 million and 34.0%, respectively, for the year ended September 30, 2013. The increase in gross profit and improvement in gross profit margin was primarily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attributable to an increase in sales, particularly the shift towards higher margin sales, and continuing cost improvements. In addition, the increase in gross profit margin was driven by the non-recurrence of a $30.5 million increase to cost of goods sold due to the sale of inventory that was revalued in connection with the acquisition of the HHI Business during the year ended September 30, 2013.</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for the year ended September 30, 2014 were $1,084.4 million compared to $1,037.4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2013. The $47.0 million increase in operating expenses during the year ended September 30, 2014 is primarily attributable to an increase of $75.5 million in selling and general and administrative expenses as a result of increased sales partially offset by a $28.3 million decrease in acquisition and integration related charges as a result of the HHI Business acquisition during the year ended September 30, 2013. Acquisition and integration related charges include, but are not limited to, transaction costs such as banking, legal and accounting professional fees directly related to acquisitions, termination and related costs for transitional and certain other employees, integration related professional fees and other post business combination related expenses associated with our acquisitions. See Note 3, “Acquisitions” in the Notes to the Consolidated Financial Statements included in this elsewhere in this prospectus for additional information regarding our acquisition and integration charges.</w:t>
      </w:r>
    </w:p>
    <w:p>
      <w:pPr>
        <w:spacing w:after="0" w:line="17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i w:val="1"/>
          <w:iCs w:val="1"/>
          <w:color w:val="auto"/>
        </w:rPr>
        <w:t xml:space="preserve">Restructuring and Related Charges. </w:t>
      </w:r>
      <w:r>
        <w:rPr>
          <w:rFonts w:ascii="Arial" w:cs="Arial" w:eastAsia="Arial" w:hAnsi="Arial"/>
          <w:sz w:val="18"/>
          <w:szCs w:val="18"/>
          <w:color w:val="auto"/>
        </w:rPr>
        <w:t>See Note 4, “Restructuring and Related Charges,” of Notes to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 for information regarding our restructuring and related charges.</w:t>
      </w:r>
    </w:p>
    <w:p>
      <w:pPr>
        <w:spacing w:after="0" w:line="17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for the year ended September 30, 2014 was $202.1 million compared to $369.5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2013. The decrease in interest expense of $167.4 million is primarily due to a non-recurrence of $122.2 million of costs related to extinguishment of our 9.5% senior unsecured notes in the year ended September 30, 2013 coupled with ongoing interest cost savings of $56.1 million from the refinancing of those notes, non-recurrence of expenses of $28.8 million related to financing for the HHI Business acquisition in the year ended September 30, 2013. These savings are partially offset by $11.3 million in costs related to the refinancing of our then-existing senior term loan facility in the year ended September 30, 2014, consisting of the write off of unamortized deferred financing fees and original issue discount, and the inclusion of a full year of interest related to the HHI Business acquisition financing during the year ended September 30, 2014. See Note 9, “Debt,” of Notes to the Consolidated Financial Statements included in this prospectus.</w:t>
      </w:r>
    </w:p>
    <w:p>
      <w:pPr>
        <w:spacing w:after="0" w:line="17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year ended September 30, 2014, we recorded income tax expense of $59.0 million on pre-tax income from continuing</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of $276.1 million, compared to income tax expense of $27.4 million on pre-tax loss from continuing operations of $20.1 million for the year ended September 30, 2013. Our effective tax rate was 21.3% for the year ended September 30, 2014 compared to (136.3)% for the year ended September 30, 2013. During the year ended September 30, 2014, our effective tax rate differs from the U.S. federal statutory rate of 35% primarily due to (i) income earned outside the U.S. that is subject to statutory rates lower than 35%; (ii) the release of valuation allowance on U.S. net operating loss deferred tax assets offsetting tax expense on both U.S. pretax income and foreign income not permanently reinvested; and (iii) deferred income tax expense related to the change in book versus tax basis of indefinite-lived intangibles, which are amortized for tax purposes but not for book purposes. During the year ended September 30, 2013, our effective tax rate differed from the U.S. federal statutory rate of 35% principally due to: (i) losses in the U.S. and certain foreign jurisdictions for which no tax benefit can be recognized due to full valuation allowances that have been provided on our net operating loss carryforward tax benefits and other deferred tax assets; (ii) deferred income tax expense related to the change in book versus tax basis of indefinite lived intangibles, which are amortized for tax purposes but not for book purposes and (iii) the reversal of U.S. valuation allowances of $49.8 million on deferred tax assets as a result of the acquisition of the HHI Business. Additionally, in the year ended September 30, 2013, the consolidated pretax income was close to break even, resulting in a higher effective tax rate. See Note 13, “Income Taxes” of Notes to the Consolidated Financial Statements included elsewhere in this prospectus for additional information regarding income taxes.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Data</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manages its business in five vertically integrated, product-focused reporting segments: (i) Global Batteries &amp; Appliances, (ii) Global Pet Supplies, (iii) Home and Garden, (iv) Hardware &amp; Home Improvement and (v) Global Auto Care. See Note 18, “Segment Information” of Notes to the Consolidated Financial Statements, included elsewhere in this prospectus for more information pertaining to segments</w:t>
      </w:r>
    </w:p>
    <w:p>
      <w:pPr>
        <w:spacing w:after="0" w:line="166"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Segment profit does not include corporate expenses, acquisition and integration related charges, restructuring and related charges, impairment charges, interest expense, income tax expense, and other non-operating expenses. Corporate expenses primarily include general and administrative expenses and the costs of stock compensation plans which are evaluated on a consolidated basis and not allocated to the segments.</w:t>
      </w:r>
    </w:p>
    <w:p>
      <w:pPr>
        <w:spacing w:after="0" w:line="16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EBITDA and Adjusted EBITDA. </w:t>
      </w:r>
      <w:r>
        <w:rPr>
          <w:rFonts w:ascii="Arial" w:cs="Arial" w:eastAsia="Arial" w:hAnsi="Arial"/>
          <w:sz w:val="18"/>
          <w:szCs w:val="18"/>
          <w:color w:val="auto"/>
        </w:rPr>
        <w:t>The Company defines EBITDA as net income (loss) before interest expense, income tax expense (benefit), and</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expense. The Company defines Adjusted EBITDA as EBITDA, excluding share based compensation, acquisition and integration related charges, restructuring and related charges, purchase accounting fair value adjustments, and other items that are unusual in nature or not comparable from period to period.</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Adjusted EBITDA is a metric used by management and frequently used by the financial community which provides insight into an organization’s operating trends and facilitates comparisons between peer companies, since interest, taxes, depreciation and amortization can differ greatly between organizations as a result of differing capital structures and tax strategies. Adjusted EBITDA can also be a useful measure of a company’s ability to service debt and is one of the measures used for determining our debt covenant compliance.</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While we believe that EBITDA and Adjusted EBITDA is useful supplemental information, such adjusted results are not intended to replace our financial results in accordance with Accounting Principles Generally Accepted in the United States (“GAAP”) and should be read in conjunction with those GAAP results.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Below is a reconciliation of net income (loss) to EBITDA and Adjusted EBITDA for each segment and the consolidated SB/RH Holdings, LLC group for the years ended September 30, 2015,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Global</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Hardware &amp;</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Global Pet</w:t>
            </w:r>
          </w:p>
        </w:tc>
        <w:tc>
          <w:tcPr>
            <w:tcW w:w="200" w:type="dxa"/>
            <w:vAlign w:val="bottom"/>
          </w:tcPr>
          <w:p>
            <w:pPr>
              <w:spacing w:after="0"/>
              <w:rPr>
                <w:sz w:val="14"/>
                <w:szCs w:val="14"/>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Home and</w:t>
            </w:r>
          </w:p>
        </w:tc>
        <w:tc>
          <w:tcPr>
            <w:tcW w:w="18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Global Auto</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SB/RH HOLDINGS, LLC (in millions)</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Batteries &amp;</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Home</w:t>
            </w: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Unallocated</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Appliances</w:t>
            </w:r>
          </w:p>
        </w:tc>
        <w:tc>
          <w:tcPr>
            <w:tcW w:w="2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Improvement</w:t>
            </w:r>
          </w:p>
        </w:tc>
        <w:tc>
          <w:tcPr>
            <w:tcW w:w="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Supplies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Garden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Care</w:t>
            </w:r>
          </w:p>
        </w:tc>
        <w:tc>
          <w:tcPr>
            <w:tcW w:w="140" w:type="dxa"/>
            <w:vAlign w:val="bottom"/>
          </w:tcPr>
          <w:p>
            <w:pPr>
              <w:spacing w:after="0"/>
              <w:rPr>
                <w:sz w:val="14"/>
                <w:szCs w:val="14"/>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Items</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For the year ended September 30, 2015</w:t>
            </w:r>
          </w:p>
        </w:tc>
        <w:tc>
          <w:tcPr>
            <w:tcW w:w="14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Net income (loss), as adjusted</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219.6</w:t>
            </w:r>
          </w:p>
        </w:tc>
        <w:tc>
          <w:tcPr>
            <w:tcW w:w="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166.5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108.3</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18.2</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(416.8)</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43.9</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271.9</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4"/>
                <w:szCs w:val="14"/>
                <w:color w:val="auto"/>
              </w:rPr>
              <w:t>EBITDA</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290.6</w:t>
            </w:r>
          </w:p>
        </w:tc>
        <w:tc>
          <w:tcPr>
            <w:tcW w:w="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205.9</w:t>
            </w:r>
          </w:p>
        </w:tc>
        <w:tc>
          <w:tcPr>
            <w:tcW w:w="3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99.7</w:t>
            </w:r>
          </w:p>
        </w:tc>
        <w:tc>
          <w:tcPr>
            <w:tcW w:w="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121.6</w:t>
            </w:r>
          </w:p>
        </w:tc>
        <w:tc>
          <w:tcPr>
            <w:tcW w:w="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24.8</w:t>
            </w:r>
          </w:p>
        </w:tc>
        <w:tc>
          <w:tcPr>
            <w:tcW w:w="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(101.0)</w:t>
            </w:r>
          </w:p>
        </w:tc>
        <w:tc>
          <w:tcPr>
            <w:tcW w:w="2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641.6</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Share based compensation</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41.8</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Acquisition and integration related charges</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9.1</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25.3</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Restructuring and related charges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9.7</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0.3</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Purchase accounting fair value adjustment</w:t>
            </w:r>
          </w:p>
        </w:tc>
        <w:tc>
          <w:tcPr>
            <w:tcW w:w="120" w:type="dxa"/>
            <w:vAlign w:val="bottom"/>
          </w:tcPr>
          <w:p>
            <w:pPr>
              <w:spacing w:after="0"/>
              <w:rPr>
                <w:sz w:val="12"/>
                <w:szCs w:val="12"/>
                <w:color w:val="auto"/>
              </w:rPr>
            </w:pP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0.8</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18.7</w:t>
            </w:r>
          </w:p>
        </w:tc>
        <w:tc>
          <w:tcPr>
            <w:tcW w:w="14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Venezuela devaluation</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6.1</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306.9</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225.5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124.5</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w:t>
            </w:r>
            <w:r>
              <w:rPr>
                <w:rFonts w:ascii="Arial" w:cs="Arial" w:eastAsia="Arial" w:hAnsi="Arial"/>
                <w:sz w:val="14"/>
                <w:szCs w:val="14"/>
                <w:u w:val="single" w:color="auto"/>
                <w:color w:val="auto"/>
              </w:rPr>
              <w:t>5</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47.3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(27.5)</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801.2</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 September 30, 2014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 as adjusted</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234.6</w:t>
            </w:r>
          </w:p>
        </w:tc>
        <w:tc>
          <w:tcPr>
            <w:tcW w:w="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157.2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88.1</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(341.5)</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Income tax expense</w:t>
            </w: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59.0</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202.1</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(80.4)</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Share based compensation</w:t>
            </w:r>
          </w:p>
        </w:tc>
        <w:tc>
          <w:tcPr>
            <w:tcW w:w="120" w:type="dxa"/>
            <w:vAlign w:val="bottom"/>
          </w:tcPr>
          <w:p>
            <w:pPr>
              <w:spacing w:after="0"/>
              <w:rPr>
                <w:sz w:val="12"/>
                <w:szCs w:val="12"/>
                <w:color w:val="auto"/>
              </w:rPr>
            </w:pP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44.9</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and integration related charges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Restructuring and related charges</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8.3</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0.5</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4"/>
                <w:szCs w:val="14"/>
                <w:color w:val="auto"/>
              </w:rPr>
              <w:t>Adjusted EBITDA</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gridSpan w:val="3"/>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326.6</w:t>
            </w:r>
          </w:p>
        </w:tc>
        <w:tc>
          <w:tcPr>
            <w:tcW w:w="1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210.3</w:t>
            </w:r>
          </w:p>
        </w:tc>
        <w:tc>
          <w:tcPr>
            <w:tcW w:w="380" w:type="dxa"/>
            <w:vAlign w:val="bottom"/>
            <w:vMerge w:val="continue"/>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113.2</w:t>
            </w:r>
          </w:p>
        </w:tc>
        <w:tc>
          <w:tcPr>
            <w:tcW w:w="1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101.</w:t>
            </w:r>
            <w:r>
              <w:rPr>
                <w:rFonts w:ascii="Arial" w:cs="Arial" w:eastAsia="Arial" w:hAnsi="Arial"/>
                <w:sz w:val="14"/>
                <w:szCs w:val="14"/>
                <w:u w:val="single" w:color="auto"/>
                <w:color w:val="auto"/>
              </w:rPr>
              <w:t>8</w:t>
            </w:r>
          </w:p>
        </w:tc>
        <w:tc>
          <w:tcPr>
            <w:tcW w:w="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55" w:lineRule="exact"/>
              <w:rPr>
                <w:sz w:val="20"/>
                <w:szCs w:val="20"/>
                <w:color w:val="auto"/>
              </w:rPr>
            </w:pPr>
            <w:r>
              <w:rPr>
                <w:rFonts w:ascii="Arial" w:cs="Arial" w:eastAsia="Arial" w:hAnsi="Arial"/>
                <w:sz w:val="14"/>
                <w:szCs w:val="14"/>
                <w:color w:val="auto"/>
              </w:rPr>
              <w:t>—</w:t>
            </w:r>
          </w:p>
        </w:tc>
        <w:tc>
          <w:tcPr>
            <w:tcW w:w="38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(26.9)</w:t>
            </w:r>
          </w:p>
        </w:tc>
        <w:tc>
          <w:tcPr>
            <w:tcW w:w="2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725.0</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For the Year Ended September 30, 2013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Net income (loss), as adjusted</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213.6</w:t>
            </w:r>
          </w:p>
        </w:tc>
        <w:tc>
          <w:tcPr>
            <w:tcW w:w="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75.4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77.7</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(491.2)</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27.4</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369.5</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4"/>
                <w:szCs w:val="14"/>
                <w:color w:val="auto"/>
              </w:rPr>
              <w:t>EBITDA</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280.9</w:t>
            </w:r>
          </w:p>
        </w:tc>
        <w:tc>
          <w:tcPr>
            <w:tcW w:w="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106.7</w:t>
            </w:r>
          </w:p>
        </w:tc>
        <w:tc>
          <w:tcPr>
            <w:tcW w:w="3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106.6</w:t>
            </w:r>
          </w:p>
        </w:tc>
        <w:tc>
          <w:tcPr>
            <w:tcW w:w="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89.4</w:t>
            </w:r>
          </w:p>
        </w:tc>
        <w:tc>
          <w:tcPr>
            <w:tcW w:w="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ind w:left="400"/>
              <w:spacing w:after="0" w:line="155" w:lineRule="exact"/>
              <w:rPr>
                <w:sz w:val="20"/>
                <w:szCs w:val="20"/>
                <w:color w:val="auto"/>
              </w:rPr>
            </w:pPr>
            <w:r>
              <w:rPr>
                <w:rFonts w:ascii="Arial" w:cs="Arial" w:eastAsia="Arial" w:hAnsi="Arial"/>
                <w:sz w:val="14"/>
                <w:szCs w:val="14"/>
                <w:color w:val="auto"/>
              </w:rPr>
              <w:t>—</w:t>
            </w:r>
          </w:p>
        </w:tc>
        <w:tc>
          <w:tcPr>
            <w:tcW w:w="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(94.3)</w:t>
            </w:r>
          </w:p>
        </w:tc>
        <w:tc>
          <w:tcPr>
            <w:tcW w:w="2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489.3</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Share based compensation</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43.1</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Acquisition and integration related charges</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7.4</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32.6</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Restructuring and related charges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Pre-acquisition earnings of HHI</w:t>
            </w: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30.3</w:t>
            </w:r>
          </w:p>
        </w:tc>
        <w:tc>
          <w:tcPr>
            <w:tcW w:w="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accounting fair value adjustment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31.5</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Venezuela devaluation</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303.7</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90.1</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(17.4)</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420" w:hanging="332"/>
        <w:spacing w:after="0" w:line="230"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4"/>
          <w:szCs w:val="14"/>
          <w:color w:val="auto"/>
        </w:rPr>
        <w:t>The Company’s policy is to record income tax expense and interest expense on a consolidated basis. Accordingly, such amounts are not reflected in the operating results of the operating segments and are presented within Corporate/Unallocated Items.</w:t>
      </w:r>
    </w:p>
    <w:p>
      <w:pPr>
        <w:ind w:left="340" w:hanging="332"/>
        <w:spacing w:after="0" w:line="221"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4"/>
          <w:szCs w:val="14"/>
          <w:color w:val="auto"/>
        </w:rPr>
        <w:t>For the year ended September 30, 2015, other includes costs associated with onboarding for a key executive coupled with costs associated with exiting another key executive.</w:t>
      </w:r>
    </w:p>
    <w:p>
      <w:pPr>
        <w:ind w:left="340" w:hanging="332"/>
        <w:spacing w:after="0" w:line="221"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4"/>
          <w:szCs w:val="14"/>
          <w:color w:val="auto"/>
        </w:rPr>
        <w:t>For the year ended September 30, 2014, other includes costs associated with onboarding for a key executive.</w:t>
      </w:r>
    </w:p>
    <w:p>
      <w:pPr>
        <w:ind w:left="340" w:right="220" w:hanging="332"/>
        <w:spacing w:after="0" w:line="237"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4"/>
          <w:szCs w:val="14"/>
          <w:color w:val="auto"/>
        </w:rPr>
        <w:t>For the year ended September 30, 2013, the pre-acquisition earnings of HHI do not include the TLM Taiwan business as stand-alone financial data is not available for the periods presented. The TLM Taiwan business is not deemed material to the Company’s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Batteries &amp; Appliances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8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2,092.2</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2,230.7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2,203.6</w:t>
            </w:r>
          </w:p>
        </w:tc>
        <w:tc>
          <w:tcPr>
            <w:tcW w:w="2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Segment Profit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240.8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256.5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237.5</w:t>
            </w:r>
          </w:p>
        </w:tc>
        <w:tc>
          <w:tcPr>
            <w:tcW w:w="2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as a % of net sales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Adjusted EBITDA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306.9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326.6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303.7</w:t>
            </w:r>
          </w:p>
        </w:tc>
        <w:tc>
          <w:tcPr>
            <w:tcW w:w="200" w:type="dxa"/>
            <w:vAlign w:val="bottom"/>
          </w:tcPr>
          <w:p>
            <w:pPr>
              <w:spacing w:after="0"/>
              <w:rPr>
                <w:sz w:val="20"/>
                <w:szCs w:val="20"/>
                <w:color w:val="auto"/>
              </w:rPr>
            </w:pPr>
          </w:p>
        </w:tc>
      </w:tr>
      <w:tr>
        <w:trPr>
          <w:trHeight w:val="350"/>
        </w:trPr>
        <w:tc>
          <w:tcPr>
            <w:tcW w:w="3580" w:type="dxa"/>
            <w:vAlign w:val="bottom"/>
          </w:tcPr>
          <w:p>
            <w:pPr>
              <w:spacing w:after="0"/>
              <w:rPr>
                <w:sz w:val="24"/>
                <w:szCs w:val="24"/>
                <w:color w:val="auto"/>
              </w:rPr>
            </w:pPr>
          </w:p>
        </w:tc>
        <w:tc>
          <w:tcPr>
            <w:tcW w:w="2460" w:type="dxa"/>
            <w:vAlign w:val="bottom"/>
          </w:tcPr>
          <w:p>
            <w:pPr>
              <w:jc w:val="right"/>
              <w:ind w:right="107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Consolidated Results of Operations section for discussion on changes in net sales.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Segment profit for the year ended September 30, 2015 decreased $15.7 million from $256.5 million for the year ended September 30, 2014 to $240.8 million for the year ended September 30, 2015. Segment profit as a percentage of sales remained consistent for both years at 11.5%. The decrease in segment profit is attributable to the decreased sales as previously discussed, which was partially offset by cost improvements and favorable product mix. Adjusted EBITDA for the year ended September 30, 2015 decreased $19.7 million to $306.9 million from $326.6 million for the year ended September 30, 2014. The decrease was attributable to the factors discussed above.</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Segment profit for the year ended September 30, 2014 increased to $256.5 million from $237.5 million for the year ended September 30, 2013. Segment profit as a percentage of net sales increased slightly to 11.5% for the year ended September 30, 2014 versus 10.8% for the year ended September 30, 2013. The increase was primarily attributable to increased sales as previously discussed and cost improvements, which were partially offset by unfavorable product mix and pricing pressures in the U.S. and Europe. Adjusted EBITDA for the year ended September 30, 2014 increased to $326.6 million from $303.7 million for the year ended September 30, 2013. The increase was driven by the factors discussed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Hardware &amp; Home Improvement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2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1,205.5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1,166.0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869.6</w:t>
            </w:r>
          </w:p>
        </w:tc>
        <w:tc>
          <w:tcPr>
            <w:tcW w:w="2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Segment Profit</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185.2</w:t>
            </w:r>
          </w:p>
        </w:tc>
        <w:tc>
          <w:tcPr>
            <w:tcW w:w="4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172.2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88.7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as a % of net sales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Adjusted EBITDA</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225.5</w:t>
            </w:r>
          </w:p>
        </w:tc>
        <w:tc>
          <w:tcPr>
            <w:tcW w:w="4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210.3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182.1</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Consolidated Results of Operations section for discussion on changes in net sales.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Segment profit increased $13.0 million from $172.2 million for the year ended September 30, 2014 to $185.2 for the year ended September 30, 2015. Segment profit as a percentage of net sales of 15.4% for the year ended September 30, 2015, was up from 14.8% for the year ended September 30, 2014. The increase in segment profit was primarily driven by the increase in sales volumes discussed above along with cost improvements and inclusion of Tell acquired during the year ended September 30, 2015. The cost improvements were responsible for the increase in segment profit as a percentage of net sales. Adjusted EBITDA was $225.5 million for the year ended September 30, 2015, increase of $15.2 million compared to $210.3 million for the year ended September 30, 2014. The increase in Adjusted EBITDA was attributable to the factors discussed above.</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Segment profit increased $83.5 million to $172.2 million for the year ended September 30, 2014 compared to $88.7 million for the year ended September 30, 2013. Segment profit as a percentage of net sales was 14.8% for the year ended September 30, 2014 and 10.2% for the year ended September 30, 2013. Results of the HHI Business relate to operations subsequent to the acquisition of the HHI Business (on December 17, 2012) during the fiscal year ended September 30, 2013. A portion of the HHI Business, consisting of the TLM Business, is included in the results of the Hardware and Home Improvement segment subsequent to its acquisition on April 8, 2013. The increase was primarily driven by the inclusion of the HHI Business for an entire fiscal year for the year ended September 30, 2014 compared to a partial year due to the acquisition of the segment during the year ended September 30, 2013. Furthermore, the increase was driven by cost improvements, coupled with the non-recurrence of a $31.5 million cost of goods sold charge during the year ended September 30, 2013 associated with the sale of acquired inventory adjusted to fair value on the date of acquisition. Adjusted EBITDA was $210.3 million for the year ended September 30, 2014 compared to $182.1 million for the year ended September 30, 2013. The increase in Adjusted EBITDA was driven by the increased sales, cost improvements and other factors discussed above.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Pet Supplies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758.2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600.5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621.9</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Segment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83.9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82.4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91.1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as a % of net sales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124.5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113.2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Consolidated Results of Operations section for discussion on changes in net sales.</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Segment profit for the year ended September 30, 2015 was $83.9 million, an increase of $1.5 million from $82.4 million for the year ended September 30, 2014. Segment profit as a percentage of net sales decreased from 13.7% for the year ended September 30, 2014 to 11.1% for the year ended September 30, 2015. The decrease in segment profit as a percentage of net sales is attributable to increased product costs due to product mix compared to the prior year. Partially offsetting the decrease in segment profit was sales from the Salix and European IAMS and Eukanuba acquisitions. Adjusted EBITDA increased $11.3 million from $113.2 million to $124.5 million. The increase in Adjusted EBITDA is attributable to the factors discussed above and the inclusion of the Salix and European IAMS and Eukanuba acquisitions during the year ended September 30, 2015.</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Segment profit decreased $8.7 million to $82.4 million for the year ended September 30, 2014 compared to $91.1 million for the year ended September 30, 2013. Segment profit as a percentage of net sales for the year ended September 30, 2014 decreased to 13.7%, compared to 14.6% for the year ended September 30, 2013. The decrease in segment profit and segment profitability as a percentage of sales was primarily driven by unfavorable product mix during the year ended September 30, 2014 as compared to year ended September 30, 2013, which was partially offset by cost improvements in manufacturing and sourcing. Also contributing to the decrease in segment profit was the decrease in sales previously discussed. Adjusted EBITDA for the year ended September 30, 2014 decreased $6.8 million to $113.2 million from $120.0 million for the year ended September 30, 2013. The decrease was driven by the unfavorable product mix discussed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and Garden Business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$474.0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431.9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390.5</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Segment Profit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79"/>
              </w:rPr>
              <w:t>$ 111.2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89.3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78.5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as a % of net sales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Adjusted EBITDA</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$124.5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101.8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90.1</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Consolidated Results of Operations section for discussion on changes in net sales.</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Segment profit for the year ended September 30, 2015 increased $21.9 million to $111.2 million compared to $89.3 million for the year ended September 30, 2014. Segment profit as a percentage of net sales also increased to 23.5% for the year ended September 30, 2015 compared to 20.7% for the year ended September 30, 2014. Increases in segment profit and segment profit as a percentage of net sales were driven by cost improvements compared to the prior year. Also contributing to the increase in segment profit was the increase in sales previously discussed. Adjusted EBITDA was $124.5 million for the year ended September 30, 2015, increase of $22.7 million from $101.8 million for the year ended September 30, 2014. The increase in Adjusted EBITDA is attributable to the increased sales and cost improvements discussed above.</w:t>
      </w:r>
    </w:p>
    <w:p>
      <w:pPr>
        <w:spacing w:after="0" w:line="178"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Segment profit for the year ended September 30, 2014 increased $10.8 million to $89.3 million from $78.5 million for the year ended September 30, 2013. Segment profit as a percentage of net sales for the year ended September 30, 2014 increased to 20.7% from 20.1%. Increases in segment profit and segment profit as a percentage of net sales were driven by the acquisition of Liquid Fence during the year ended September 30,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2014. Also contributing to the increase in segment profit was the increase in sales previously discussed. Adjusted EBITDA increased $11.7 million to $101.8 million for the year ended September 30, 2014 compared to segment Adjusted EBITDA of $90.1 million for the year ended September 30, 2013. The increases are driven by the increase in net sales coupled with cost and operating expense improvements.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Auto Care</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6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160.5</w:t>
            </w:r>
          </w:p>
        </w:tc>
        <w:tc>
          <w:tcPr>
            <w:tcW w:w="2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Segment Profit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as a % of net sales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Adjusted EBITDA</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Results of the AAG business, reported as a separate business segment, Global Auto Care, relate to operations subsequent to the acquisition date of May 21,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cash flows for the years ended September 30, 2015, 2014 and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SB/RH Holdings, LLC</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w:t>
            </w:r>
          </w:p>
        </w:tc>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operating activities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(1,279.7)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(1,476.7)</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(338.2)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1,263.4</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$7.1 million increase in cash provided by operating activities for the year ended September 30, 2015 was primarily due to: (i) cash generated from higher Adjusted EBITDA of $76.2 million; (ii) decrease in cash paid for taxes of $26.3 million; and (iii) decrease in cash paid for restructuring and related charges of $8.1 million; which was partially offset by (i) increased cash paid for acquisition and integration costs of $9.8 million from increased acquisition activity; (ii) increased cash paid for interest of $71.6 million due to charges associated with financing the AAG acquisition and increased debt; and (iii) $22.1 million of incremental use of cash from working capital driven by higher inventory and other working capital items partially offset by lower accounts receivable and higher accounts payable and other working capital accruals.</w:t>
      </w:r>
    </w:p>
    <w:p>
      <w:pPr>
        <w:spacing w:after="0" w:line="19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$176.5 million increase in cash provided by operating activities for the year ended September 30, 2014 was primarily due to: (i) cash generated from higher Adjusted EBITDA of $79.3 million, excluding pre-acquisition earnings of the HHI Business; (ii) $67.5 million of additional generation of cash from working capital and other items driven by lower accounts receivable and inventory, partially offset by lower accounts payable and other working capital items; (iii) lower cash payments for interest of $46.4 million due to refinancing; and (iv) lower cash acquisition, integration and restructuring related costs of $14.0 million; which was partially offset by higher cash payments for income taxes of $30.7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by investing activities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$1,186.2 million increase in cash used by investing activities during the year ended September 30, 2015 was primarily attributable to the cash used for acquisitions of $1,191.1 million during the year ended September 30, 2015, which related to the $898.4 million, net cash acquired, for the AAG acquisition; $147.8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million, net cash acquired, for the Salix acquisition; $115.7 million, net cash acquired, for the European IAMS and Eukanuba acquisition and $29.2 million, net cash acquired, for the Tell acquisition, compared to the $27.6 million, net cash acquired, used for the Liquid Fence acquisition during the year ended September 30, 2014.</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$1,383.2 million decrease in cash used by investing activities during the year ended September 30, 2014 was primarily driven by a decrease in cash used for acquisitions of $1,366.0 million, which related to the $1,351.0 million, net of cash acquired, for the HHI Business acquisition and the $42.6 million, net of cash acquired, for the Shaser acquisition during the year ended September 30, 2013, compared to the $27.6 million, net of cash acquired, used for the Liquid Fence acquisition during the year ended September 30,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(used) by financing activities</w:t>
      </w:r>
    </w:p>
    <w:p>
      <w:pPr>
        <w:spacing w:after="0" w:line="117"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Net cash used by financing activities for the year ended September 30, 2015 consist of: (i) refinancing of the then-existing senior term facilities resulting in $2.036.5 million of proceeds for the issuance of the new Term Loans and $1,589.6 million payment on the then existing senior term facilities;</w:t>
      </w:r>
    </w:p>
    <w:p>
      <w:pPr>
        <w:ind w:left="280" w:hanging="272"/>
        <w:spacing w:after="0"/>
        <w:tabs>
          <w:tab w:leader="none" w:pos="2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$1,000.0 million proceeds from the issuance of the 5.75% Notes (iii) $540.0 million repayment of AAG debt assumed as part of the AAG acquisition</w:t>
      </w:r>
    </w:p>
    <w:p>
      <w:pPr>
        <w:spacing w:after="0" w:line="20" w:lineRule="exact"/>
        <w:rPr>
          <w:rFonts w:ascii="Arial" w:cs="Arial" w:eastAsia="Arial" w:hAnsi="Arial"/>
          <w:sz w:val="17"/>
          <w:szCs w:val="17"/>
          <w:color w:val="auto"/>
        </w:rPr>
      </w:pPr>
    </w:p>
    <w:p>
      <w:pPr>
        <w:ind w:right="120" w:firstLine="8"/>
        <w:spacing w:after="0" w:line="255" w:lineRule="auto"/>
        <w:tabs>
          <w:tab w:leader="none" w:pos="3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$250.0 million proceeds from the issuance of the 6.125% Notes; (v) $300.0 million repayment of the 6.75% Notes; (vi) $363.6 million of amortizing payments on debt; (vii) payment of debt issuance costs of $37.8 million; (vi) $528.3 million of proceeds from the parent, SBH; and (vii) cash dividends paid to SBH of $72.1 million.</w:t>
      </w:r>
    </w:p>
    <w:p>
      <w:pPr>
        <w:spacing w:after="0" w:line="1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cash used by financing activities for the year ended September 30, 2014 consisted of: (i) proceeds related to the issuance of debt under our former senior term loans of $523.7 million; (ii) repayment of $764.9 million under the former senior credit facilities and $6.0 million of other debt; (iii) dividend payments to SBH of $77.0 million; (iv) payment of share-based tax withholdings of employees for vested stock awards of $24.9 million; and (v) payment of debt issuance costs of $5.4 million.</w:t>
      </w:r>
    </w:p>
    <w:p>
      <w:pPr>
        <w:spacing w:after="0" w:line="18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Net cash provided by financing activities for the year ended September 30, 2013 consisted of: (i) proceeds related to the issuance of debt under our former term facilities of $1,936.3 million, issuance of 6.625% Notes of $570.0 million, and issuance of 6.375% Notes of $520.0 million; (ii) extinguishment of 9.5% Notes of $950.0 million and repayment of former senior credit facilities of $571.1 million; (iii) payment of debt issuance costs of $60.9 million;</w:t>
      </w:r>
    </w:p>
    <w:p>
      <w:pPr>
        <w:ind w:left="320" w:hanging="312"/>
        <w:spacing w:after="0"/>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dividend payment to SBH of $88.7 million; (v) payment of share-based tax withholdings of employees for vested stock awards of $20.1 million;</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a $28.6 million contribution from parent and (ix) $11.9 million of proceeds from other financing activities.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Capital expenditures for the Company totaled $89.1 million, $73.3 million and $82.0 million for the years ended September 30, 2015, 2014, and 2013, respectively. We expect to make investments in capital projects similar to historical levels, as well as incremental investments in high return cost reduction projects slightly above historical levels.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Depreciation and amortization for the Company totaled $170.0 million, $157.6 million and $139.9 million for the years ended September 30, 2015, 2014, and 2013, respectively. The increase in depreciation and amortization for the year ended September 30, 2015 is due to the recognition of property, plant and equipment and definite lived intangible assets from the acquisitions of AAG, European IAMS and Eukanuba, Salix and Tell. The increase in depreciation and amortization for the year ended September 30, 2014 is due to the recognition of property, plant and equipment and definite lived intangible assets from the acquisition of Liquid Fence.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9, “Debt” of Notes to Consolidated Financial Statements included elsewhere in this prospectus for additional information.</w:t>
      </w:r>
    </w:p>
    <w:p>
      <w:pPr>
        <w:spacing w:after="0" w:line="22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addition to the outstanding principal on our debt obligations, we have annual interest payment obligations of $202.7 million in the aggregate. This includes interest under our: (i) 6.375% Notes of approximately $33.2 million; (ii) 6.625% Notes of approximately $37.8 million (iii) 6.125% Notes of approximately $15.3 million; (iv) 5.75% Notes of $57.5 million and (iv) Term Loans of $58.9 million. Interest on the 6.375% Notes, the 6.625% Notes, the 6.125% Notes and the 5.75% Notes is payable semi-annually in arrears and interest under the Term Loan and the Revolver Facility is payable on various interest payment dates as provided in the Senior Credit Agreement. We are required to pay certain fees in connection with our outstanding debt obligations including a quarterly commitment fee of up to 0.50% on the unused portion of the Revolver Facility and certain additional fees with respect to the letter of credit sub-facility under the Revolver Facility.</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September 30, 2015, we were in compliance with all covenants under the Senior Credit Agreement, the indenture governing both the 6.375% Notes and the 6.625% Notes, the indenture governing the 6.125% Notes, and the indenture governing the 5.75% Notes. See “Risk Factors”, for further a discussion of the risks associated with our ability to service all of our existing indebtedness, our ability to maintain compliance with financial and other covenants related to our indebtedness and the impact of other economic factors.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Company’s access to the capital markets and financing costs in those markets may depend on the credit ratings of the Company when it is accessing the capital markets. None of the Company’s current borrowings are subject to default or acceleration as a result of a downgrading of credit ratings, although a downgrade of the Company’s credit ratings could increase fees and interest charges on future borrowings.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Company’s ability to make principal and interest payment on borrowings under its U.S. and foreign credit facilities and its ability to fund planned capital expenditures will depend on its ability to generate cash in the future, which, to a certain extent, is subject to general economic, financial, competitive, regulatory and other conditions. Based on its current level of operations, the Company believes that its existing cash balances and expected cash flows from operations will be sufficient to meet its operating requirements for at least the next 12 months. However, the Company may request borrowings under its credit facilities and seek alternative forms of financing or additional investments to achieve its longer-term strategic plans.</w:t>
      </w:r>
    </w:p>
    <w:p>
      <w:pPr>
        <w:spacing w:after="0" w:line="15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At September 30, 2015, based on the Company’s current tax strategy, there are no significant foreign cash balances available for repatriation. For the year ending September 30, 2016, we expect to generate between $75 million and $125 million of foreign cash that may be repatriated for general corporate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&amp; Other Commercial Commitments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2015 and the effect such obligations are expected to have on our liquidity and cash flow in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95"/>
              </w:rPr>
              <w:t>Contractual Payments Due by Period</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9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1 to 3</w:t>
            </w:r>
          </w:p>
        </w:tc>
        <w:tc>
          <w:tcPr>
            <w:tcW w:w="72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3 to 5</w:t>
            </w:r>
          </w:p>
        </w:tc>
        <w:tc>
          <w:tcPr>
            <w:tcW w:w="20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Thereafter</w:t>
            </w:r>
          </w:p>
        </w:tc>
        <w:tc>
          <w:tcPr>
            <w:tcW w:w="0" w:type="dxa"/>
            <w:vAlign w:val="bottom"/>
          </w:tcPr>
          <w:p>
            <w:pPr>
              <w:spacing w:after="0"/>
              <w:rPr>
                <w:sz w:val="1"/>
                <w:szCs w:val="1"/>
                <w:color w:val="auto"/>
              </w:rPr>
            </w:pPr>
          </w:p>
        </w:tc>
      </w:tr>
      <w:tr>
        <w:trPr>
          <w:trHeight w:val="171"/>
        </w:trPr>
        <w:tc>
          <w:tcPr>
            <w:tcW w:w="5280" w:type="dxa"/>
            <w:vAlign w:val="bottom"/>
            <w:gridSpan w:val="3"/>
            <w:vMerge w:val="continue"/>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1 year</w:t>
            </w:r>
          </w:p>
        </w:tc>
        <w:tc>
          <w:tcPr>
            <w:tcW w:w="9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years</w:t>
            </w: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excluding capital lease obligations</w:t>
            </w:r>
            <w:r>
              <w:rPr>
                <w:rFonts w:ascii="Arial" w:cs="Arial" w:eastAsia="Arial" w:hAnsi="Arial"/>
                <w:sz w:val="15"/>
                <w:szCs w:val="15"/>
                <w:color w:val="auto"/>
              </w:rPr>
              <w:t>(1)</w:t>
            </w:r>
          </w:p>
        </w:tc>
        <w:tc>
          <w:tcPr>
            <w:tcW w:w="14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$3,889.6</w:t>
            </w:r>
          </w:p>
        </w:tc>
        <w:tc>
          <w:tcPr>
            <w:tcW w:w="2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$ 3,801.4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Interest payments excluding capital lease obligations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1,530.9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403.5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401.2</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(2)</w:t>
            </w:r>
          </w:p>
        </w:tc>
        <w:tc>
          <w:tcPr>
            <w:tcW w:w="2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151.5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 obligations</w:t>
            </w:r>
            <w:r>
              <w:rPr>
                <w:rFonts w:ascii="Arial" w:cs="Arial" w:eastAsia="Arial" w:hAnsi="Arial"/>
                <w:sz w:val="15"/>
                <w:szCs w:val="15"/>
                <w:color w:val="auto"/>
              </w:rPr>
              <w:t>(3)</w:t>
            </w:r>
          </w:p>
        </w:tc>
        <w:tc>
          <w:tcPr>
            <w:tcW w:w="2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Other purchase obligations</w:t>
            </w:r>
          </w:p>
        </w:tc>
        <w:tc>
          <w:tcPr>
            <w:tcW w:w="1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r>
              <w:rPr>
                <w:rFonts w:ascii="Arial" w:cs="Arial" w:eastAsia="Arial" w:hAnsi="Arial"/>
                <w:sz w:val="15"/>
                <w:szCs w:val="15"/>
                <w:color w:val="auto"/>
              </w:rPr>
              <w:t>(4)</w:t>
            </w: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5,833.3</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539.8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502.8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5"/>
          <w:szCs w:val="15"/>
          <w:color w:val="auto"/>
        </w:rPr>
      </w:pPr>
      <w:r>
        <w:rPr>
          <w:rFonts w:ascii="Arial" w:cs="Arial" w:eastAsia="Arial" w:hAnsi="Arial"/>
          <w:sz w:val="18"/>
          <w:szCs w:val="18"/>
          <w:color w:val="auto"/>
        </w:rPr>
        <w:t>See Note 9 “Debt”, included elsewhere in this prospectus.</w:t>
      </w:r>
    </w:p>
    <w:p>
      <w:pPr>
        <w:spacing w:after="0" w:line="23" w:lineRule="exact"/>
        <w:rPr>
          <w:rFonts w:ascii="Arial" w:cs="Arial" w:eastAsia="Arial" w:hAnsi="Arial"/>
          <w:sz w:val="15"/>
          <w:szCs w:val="15"/>
          <w:color w:val="auto"/>
        </w:rPr>
      </w:pPr>
    </w:p>
    <w:p>
      <w:pPr>
        <w:ind w:left="460" w:right="600" w:hanging="452"/>
        <w:spacing w:after="0" w:line="250"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8"/>
          <w:szCs w:val="18"/>
          <w:color w:val="auto"/>
        </w:rPr>
        <w:t>Capital lease payments due by fiscal year include executory costs and imputed interest not reflected in the Consolidated Statements of Financial Position included elsewhere in this prospectus.</w:t>
      </w:r>
    </w:p>
    <w:p>
      <w:pPr>
        <w:ind w:left="460" w:right="220" w:hanging="452"/>
        <w:spacing w:after="0" w:line="250"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8"/>
          <w:szCs w:val="18"/>
          <w:color w:val="auto"/>
        </w:rPr>
        <w:t>Employee benefit obligations represent the sum of our estimated future minimum required funding for our qualified defined benefit plans based on actuarially determined estimates and projected future benefit payments from our unfunded postretirement plans. For additional information about our employee benefit obligations, see Note 12, “Employee Benefit Plans,” of Notes to Consolidated Financial Statements, included elsewhere in this prospectus.</w:t>
      </w:r>
    </w:p>
    <w:p>
      <w:pPr>
        <w:spacing w:after="0" w:line="1" w:lineRule="exact"/>
        <w:rPr>
          <w:rFonts w:ascii="Arial" w:cs="Arial" w:eastAsia="Arial" w:hAnsi="Arial"/>
          <w:sz w:val="15"/>
          <w:szCs w:val="15"/>
          <w:color w:val="auto"/>
        </w:rPr>
      </w:pPr>
    </w:p>
    <w:p>
      <w:pPr>
        <w:ind w:left="460" w:right="100" w:hanging="452"/>
        <w:spacing w:after="0" w:line="254"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8"/>
          <w:szCs w:val="18"/>
          <w:color w:val="auto"/>
        </w:rPr>
        <w:t>At September 30, 2015, our Consolidated Statements of Financial Position includes reserves for uncertain tax positions. However, it is not possible to predict or estimate the timing of payments for these obligations. The Company cannot predict the ultimate outcome of income tax audits currently in progress for certain of our companies; however, it is reasonably possible that during the next 12 months, some portion of our unrecognized tax benefits could be recognized.</w:t>
      </w:r>
    </w:p>
    <w:p>
      <w:pPr>
        <w:spacing w:after="0" w:line="19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summarizes our other commercial commitments as of September 30, 2015, consisting entirely of standby letters of credit that back the performance of certain of our entities under various credit facilities, insurance policies and lease arrangements: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3"/>
              </w:rPr>
              <w:t>Contractual Payments Due by Period</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0"/>
                <w:szCs w:val="10"/>
                <w:color w:val="auto"/>
              </w:rPr>
            </w:pPr>
          </w:p>
        </w:tc>
        <w:tc>
          <w:tcPr>
            <w:tcW w:w="120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Less than</w:t>
            </w:r>
          </w:p>
        </w:tc>
        <w:tc>
          <w:tcPr>
            <w:tcW w:w="9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4"/>
              </w:rPr>
              <w:t>1 to 3</w:t>
            </w:r>
          </w:p>
        </w:tc>
        <w:tc>
          <w:tcPr>
            <w:tcW w:w="9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3 to 5</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6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1 year</w:t>
            </w:r>
          </w:p>
        </w:tc>
        <w:tc>
          <w:tcPr>
            <w:tcW w:w="9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years</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Letters of</w:t>
            </w: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24.7</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$ 8.0</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Factors</w:t>
      </w:r>
    </w:p>
    <w:p>
      <w:pPr>
        <w:spacing w:after="0" w:line="121"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We have market risk exposure from changes in interest rates, foreign currency exchange rates and commodity prices. We, when appropriate, use derivative financial instruments to mitigate the risk from such exposures. A discussion of our accounting policies for derivative financial instruments is included in Note 11, “Derivatives,” to our Consolidated Financial Statements included elsewhere in this prospectus.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nterest Rate Risk</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bank lines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color w:val="auto"/>
        </w:rPr>
        <w:t>credit at variable interest rates. The general levels of U.S., Canadian and European Union interest rates, LIBOR, CDOR and Euro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September 30, 2015 we had $1,549.0 million or 39% of our total debt subject to variable interest rates, the majority related to our term loan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$1,538.4 million, subject to a 0.75% floor. After inclusion of $300.0 million interest rate swaps fixing a portion of the variable rate debt, $1,249.0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of our debt is subject to variable rates. Assuming an increase to market rates of 1% as of September 30, 2015, we would incur an increase to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of $5.6 million.</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At September 30, 2015, the potential change in fair value of our outstanding interest rate derivative instruments assuming a 1 percent decline in interest rates would be a loss of $0.6 million. The net impact on reported earnings, after also including the effect of the change on one year’s underlying interest rate exposure on our variable rate Term Loan, would be a net loss of $0.6 million.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are subject to risk from sales and loans to and from our subsidiaries as well as sales to, purchases from and bank lines of credit with, third-party customers, suppliers and creditors denominated in foreign currencies. Foreign currency sales and purchases are made primarily in Euro, Pounds Sterling, Mexican Pesos, Canadian Dollars, Australian Dollars and Brazilian Reals. We manage our foreign exchange exposure from such sales, accounts receivable, intercompany loans, firm purchase commitments, accounts payable and credit obligations through the use of naturally occurring offsetting positions (borrowing in local currency), forward foreign exchange contracts, foreign exchange rate swaps and foreign exchange options. The related amounts payable to, or receivable from, the contract counter-parties are included in accounts payable or accounts receivable.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September 30, 2015, we had $350.0 million equivalent of debt denominated in foreign currencies. Other than our Euro-denominated term loan in the equivalent of $255.8 million recorded in a U.S. Dollar function entity, the remaining debt is recorded in countries with the same function currency as the debt. The foreign currency exposure from the Euro-denominated term loan is substantially offset by a Euro-denominated intercompany loan receivable recorded in a U.S. Dollar-function entity.</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At September 30, 2015, the potential change in fair value of outstanding foreign exchange derivative instruments, assuming a 10% unfavorable change in the underlying exchange rates, would be a loss of $34.2 million. The net impact on reported earnings, after also including the effect of the change in the underlying foreign currency-denominated exposures, would be a net gain of $17.2 million.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are exposed to fluctuations in market prices for purchases of zinc and brass used in our manufacturing processes. We use commodity swaps and calls to manage such risk. The maturity of, and the quantities covered by, these contracts are closely correlated to our anticipated commodity purchases. The cost of calls is amortized over the life of the contracts and recorded in cost of goods sold, along with the effects of the swap and call contracts. The related amounts payable to, or receivable from, the counter-parties are included in accounts payable or accounts receivable.</w:t>
      </w:r>
    </w:p>
    <w:p>
      <w:pPr>
        <w:spacing w:after="0" w:line="154"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At September 30, 2015, the potential change in fair value of outstanding commodity price derivative instruments, assuming a 10% decline in the underlying commodity prices, would be a loss of $2.5 million. The net impact on reported earnings, after also including the reduction in cost of one year’s purchases of the related commodities due to the same change in commodity prices, would be a gain of $0.6 million.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Consolidated Financial Statements have been prepared in accordance with GAAP and fairly present our financial position and results of operations. The preparation of the consolidated financial statements requires management to make estimates and assumptions that affect the reported amounts of assets and liabilities at the date of the financial statements and the reported amounts of revenues and expenses during the reporting period. The Company bases its accounting estimates on historical experience and on various other assumptions that are believed to be reasonable under the circumstances, and evaluates its estimates on an ongoing basis. The following policies are considered by management to be the most critical to understanding the judgments that are involved in the preparation of our consolidated financial statements and the uncertainties that could impact our results of operations, financial position and cash flows. The application of these accounting policies requires judgment and use of assumptions as to future events and outcomes that are uncertain and, as a result, actual results could differ from these estimates. Refer to Note 2 “Summary of Significant Accounting Policies” of Notes to the Consolidated Financial Statements for all relevant accounting policies.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Other Long-Lived Assets</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Company’s goodwill, intangible assets and tangible fixed assets are stated at historical cost, net of depreciation and amortization, less any provision for impairment. Intangible and tangible assets with determinable lives are amortized or depreciated on a straight line basis over estimated useful lives. Refer to Note 2 “Significant Accounting Policies and Practices” of Notes to Consolidated Financial Statements for more information about useful lives.</w:t>
      </w:r>
    </w:p>
    <w:p>
      <w:pPr>
        <w:spacing w:after="0" w:line="14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an annual basis, or more frequently if triggering events occur, the Company compares the estimated fair value of its reporting units to the carrying value to determine if potential goodwill impairment exists; our reporting units are consistent with our segments (See Note 18, “Segment Information” for further discussion over operating and reporting segments). If the fair value of a reporting unit is less than its carrying value, an impairment loss, if any, is recorded for the difference between the implied fair value of the reporting unit goodwill and its carrying value. The estimated fair value represents the amount at which a reporting unit could be bought or sold in a current transaction between willing parties on an arms-length basis. In estimating the fair value of the reporting unit, we used a discounted cash flows methodology, which requires us to estimate future revenues, expenses, and capital expenditures and make assumptions about our weighted average cost of capital and perpetuity growth rate, among other variables. We test the aggregate estimated fair value of our reporting units by comparison to our total market capitalization, including both equity and debt capital. The fair value of Global Batteries &amp; Appliances, Hardware and Home Improvement, Global Pet Supplies, and Home &amp; Garden reporting units exceeded their carrying value by 54%, 38%, 29% and 66%, respectively.</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result of the AAG acquisition in the third quarter of the year ended September 30, 2015, a new reporting unit and segment was established, Global Auto Care. Due to the recent closing of the acquisition and the measurement of net assets acquired to fair value, a qualitative assessment of the carrying value of goodwill was performed for this reporting unit. This included the evaluation of factors such as macroeconomic conditions, industry and market conditions, cost factors, overall financial performance and reporting unit factors, among others. Based on its qualitative assessment, management concluded that it is not more likely than not that the fair value of this reporting unit is less than its carrying amount, and a quantitative impairment test of the acquired goodwill for Global Auto Care was not deemed necessary.</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to goodwill, the Company has indefinite-lived intangible assets that consist of acquired tradenames. On an annual basis, or more frequently if triggering events occur, the Company compares the estimated fair value of the identified trade names to the carrying value to determine if potential impairment exists. If the fair value is less than its carrying value, an impairment loss is recorded for the excess. The fair value of indefinite-lived intangible assets is determined using an income approach, the relief from royalty methodology, which requires us to make estimates and assumptions about future revenues, royalty rates, and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discount rate, among others. The fair value of our tradenames exceeded the carrying values as of the date of our latest annual impairment testing resulting in no impairment of our indefinite lived intangible assets for the year ended September 30, 2015.</w:t>
      </w:r>
    </w:p>
    <w:p>
      <w:pPr>
        <w:spacing w:after="0" w:line="17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also reviews other definite-lived intangible assets and tangible fixed assets for impairment when events or changes in business circumstances indicate that the carrying amount of the assets may not be fully recoverable. Circumstances such as the discontinuation of a product or product line, a sudden or consistent decline in the sales forecast for a product, changes in technology or in the way an asset is being used, a history of operating or cash flow losses or an adverse change in legal factors or in the business climate, among others, may trigger an impairment review. If such indicators are present, the Company performs undiscounted cash flow analyses to determine if impairment exists. The asset value would be deemed impaired if the undiscounted cash flows expected to be generated by the asset did not exceed the carrying value of the asset. If impairment is determined to exist, any related impairment loss is calculated based on fair value. There were no triggering events identified during the year that necessitated an impairment test over definite-lived assets.</w:t>
      </w:r>
    </w:p>
    <w:p>
      <w:pPr>
        <w:spacing w:after="0" w:line="19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A considerable amount of judgment and assumptions is required in performing the impairment tests, principally in determining the fair value of each reporting unit and assets subject to impairment testing. While the Company believes its judgments and assumptions are reasonable, different assumptions could change the estimated fair value and therefore, additional impairment changes could be required. The Company is subject to financial statement risk in the event that business or economic conditions unexpectedly decline and impairment is realized.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recognizes amounts on the consolidated financial statements related to defined benefit pension plans using a September 30 measurement date. The accounting for these plans requires us to recognize the overfunded and/or underfunded status of each pension plan (i.e. the estimated present value of future benefits, net of plan assets) on the consolidated statement of financial position. A substantial portion of our pension obligations are related to defined benefit pension plans in the U.S., a majority of which are frozen. The determination of the estimated present value of future benefits includes several important assumptions, particularly around discount rates, expected returns on plan assets, and retirement and mortality rates.</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The Company’s discount rate assumptions are based on the interest rate of high-quality corporate bonds, with appropriate consideration of our plans’ participants’ demographics and benefit payment terms. For the year ended September 30, 2015, we used discount rates ranging from 1.75% to 13.81%. We believe the discount rates used are reflective of the rates at which pension benefits could be effectively settled. If interest rates decline resulting in a lower discount rate, our pension liability, will increase along with the related pension expense and required funding contributions.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expected return on plan assets assumptions are based on our expectation of long-term average rates of return on assets in the pension funds, which reflect both the current and projected asset mix of the funds and consider the historical returns earned on the fund. If the actual rates of return are lower than we assume, our future pension expense and required funding contributions may increase. Actual returns above the assumed level could decrease future pension expense and lower the amount of required funding contributions. For the year ended September 30, 2015, we used an expected return on plan assets of 7.25%. If plan assets decline due to poor market performance, our pension liability will increase along with increasing pension expense and required funding contributions may increase.</w:t>
      </w:r>
    </w:p>
    <w:p>
      <w:pPr>
        <w:spacing w:after="0" w:line="19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Company reviews its actuarial assumptions on an annual basis and makes modifications based on current rates and trends when appropriate. Based on the information provided by independent actuaries and other relevant sources, the Company believes that the assumptions used are reasonable; however, changes in these assumptions could impact our financial position, results of operations or cash flows in the future. See Note 12,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“Employee Benefit Plans,” of Notes to Consolidated Financial Statements included elsewhere in this prospectus for further discussion of our employee benefit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Accounting</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fair value of the consideration we pay for each new acquisition is allocated to tangible assets and identifiable intangible assets, liabilities assumed, any non-controlling interest in the acquired entity and goodwill. The accounting for acquisitions involves a considerable amount of judgment and estimate, including the fair value of certain forms of consideration; fair value of acquired intangible assets involving projections of future revenues and cash flows that are then either discounted at an estimated discount rate or measured at an estimated royalty rate; fair value of other acquired assets and assumed liabilities, including potential contingencies; and the useful lives of the acquired assets. The assumptions used are determined at the time of the acquisition in accordance with accepted valuation models. Projections are developed using internal forecasts, available industry and market data and estimates of long-term rates of growth for our business. The impact of prior or future acquisitions on our financial position or results of operations may be materially impacted by the change in or initial selection of assumptions and estimates. Refer to Note 3, “Acquisitions” of Notes to Consolidated Financial Statements included elsewhere in this prospectus for further discussion of business combination accounting valuation methodology and assumptions. See Note 3, “Acquisitions” of Notes to the Consolidated Financial Statements included elsewhere in this prospectus for further discussion of our acquisition and valuation assumptions.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Charges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Restructuring charges include, but are not limited to, termination and related costs consisting primarily of one-time termination benefits such as severance costs and retention bonuses, and contract termination costs consisting primarily of lease termination costs. Related charges, as defined by us, include, but are not limited to, other costs directly associated with exit and relocation activities, including impairment of property and other assets, departmental costs of full-time incremental employees, and any other items related to the exit or relocation activities. Costs for such activities are estimated by us after evaluating detailed analyses of the costs to be incurred.</w:t>
      </w:r>
    </w:p>
    <w:p>
      <w:pPr>
        <w:spacing w:after="0" w:line="18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Liabilities from restructuring and related charges are recorded for estimated costs of facility closures, significant organizational adjustments and measures undertaken by us to exit certain activities. Costs for such activities are estimated by us after evaluating detailed analyses of the costs to be incurred. Such liabilities could include amounts for items such as severance costs and related benefits (including settlements of pension plans), impairment of property and equipment and other current or long term assets, lease termination payments and any other items directly related to the exit activities.</w:t>
      </w:r>
    </w:p>
    <w:p>
      <w:pPr>
        <w:spacing w:after="0" w:line="154"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Restructuring and related charges associated with manufacturing and related initiatives are reported in cost of goods sold. Restructuring and related charges reflected in cost of goods sold include, but are not limited to, termination and related costs associated with manufacturing employees, asset impairments relating to manufacturing initiatives and other costs directly related to the restructuring initiatives implemented. Restructuring and related charges associated with administrative functions are reported in operating expenses, such as initiatives impacting sales, marketing, distribution or other non-manufacturing related functions. Restructuring and related charges reflected in operating expenses include, but are not limited to, termination and related costs, any asset impairments relating to the administrative functions and other costs directly related to the initiatives implemented.</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While the actions are carried out as expeditiously as possible, restructuring and related charges are estimates. Changes in estimates resulting in an increase to or a reversal of a previously recorded liability may be required as we execute a restructuring plan. See Note 4, “Restructuring and Related Charges” of Notes to Consolidated Financial Statements included elsewhere in this prospectus for a more complete discussion of our restructuring initiatives and related costs.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subject to income taxes in the U.S. and numerous foreign jurisdictions. Significant judgment is required in determining our worldwide provision for income taxes and recording the related deferred tax assets and liabilities.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assesses its income tax positions and records tax liabilities for all years subject to examination based upon management’s evaluation of the facts and circumstances and information available for reporting. For those income tax positions where it is more-likely-than-not that a tax benefit will not be sustained upon conclusion of an examination, the Company has recorded a reserve based upon the largest amount of tax benefit having a cumulatively greater than 50% likelihood of being realized upon ultimate settlement with the applicable taxing authority assuming that it has full knowledge of all relevant information. For those income tax positions where it is more-likely-than-not that a tax benefit will be sustained, the Company did not recognize a reserve. As of September 30, 2015, the total amount of unrecognized tax benefits, including interest and penalties, that if not recognized, would affect the effective tax rate in future periods was $14.3 million. Our effective tax rate includes the impact of income tax reserves and changes to those reserves when considered appropriate. A number of years may elapse before a particular matter for which we have established a reserve is finally resolved. Unfavorable settlement of any particular issue may require the use of cash or a reduction in our net operating loss carryforwards. Favorable resolution would be recognized as a reduction to the effective rate in the year of resolution.</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recognizes deferred tax assets and liabilities for future tax consequences attributable to differences between financial statement carrying amounts of existing assets and liabilities and their respective tax bases, net operating losses, tax credit, and other carryforwards. Deferred tax assets and liabilities are measured using enacted tax rates expected to apply to taxable income in the years in which those temporary differences are expected to be recovered or settled. The Company regularly reviews its deferred tax assets for recoverability and establishes a valuation allowance based on historical losses, projected future taxable income, expected timing of the reversals of existing temporary differences, and ongoing prudent and feasible tax planning strategies. We base these estimates on projections of future income, including tax planning strategies, in certain jurisdictions. Changes in industry conditions and other economic conditions may impact our ability to project future income. Should we determine that we would not be able to realize all or part of our net deferred tax asset in the future, an adjustment to the deferred tax asset would be charged to income in the period we make that determination.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2015, we have U.S. federal net operating loss carryforwards (“NOLs”) of $894.5 million, with a federal tax benefit of $313.1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and future tax benefits related to state NOLs of $68.7 million and capital loss carryforwards of $14.2 million with a federal and state tax benefit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$5.4 million. Our total valuation allowance for the tax benefit of deferred tax assets that may not be realized is $305.4 million at September 30, 2015.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$268.7 million relates to U.S. net deferred tax assets and $36.7 million relates to foreign net deferred tax assets. For the year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we generated domestic pretax profits of $9.8 million. Should we continue to generate domestic pretax profits in subsequent periods, there is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reasonable possibility that some or most of the domestic valuation allowance of $268.7 million could be released at some future date, which could result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 tax benefit. We estimate that $118.6 million of valuation allowance related to domestic deferred tax assets cannot be released regardless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domestic operating income generated due to prior period ownership changes that limit the amount of NOLs we can use and legal limitations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of capital losses.</w:t>
      </w:r>
    </w:p>
    <w:p>
      <w:pPr>
        <w:spacing w:after="0" w:line="21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of September 30, 2015, we have provided no residual US taxes on earnings not yet taxed in the U.S. Due to the valuation allowance recorded against U.S. net deferred tax assets, including NOLs, we do not recognize any incremental U.S. tax expense on the expected future repatriation of foreign earnings. Should the U.S. valuation allowance be released at some future date, the U.S. tax on future foreign earnings not considered to be permanently reinvested might have a material effect on our effective tax rate. As of September 30, 2015, we project $2.4 million of additional tax expense from non-U.S. withholding and other taxes expected to be incurred on repatriation of foreign earnings.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13, “Income Taxes” of Notes to Consolidated Financial Statements elsewhere included in this prospectus.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which supersedes the revenue recognition requirements in ASC 605,</w:t>
      </w:r>
      <w:r>
        <w:rPr>
          <w:rFonts w:ascii="Arial" w:cs="Arial" w:eastAsia="Arial" w:hAnsi="Arial"/>
          <w:sz w:val="17"/>
          <w:szCs w:val="17"/>
          <w:i w:val="1"/>
          <w:iCs w:val="1"/>
          <w:color w:val="auto"/>
        </w:rPr>
        <w:t xml:space="preserve"> Revenue Recognition. </w:t>
      </w:r>
      <w:r>
        <w:rPr>
          <w:rFonts w:ascii="Arial" w:cs="Arial" w:eastAsia="Arial" w:hAnsi="Arial"/>
          <w:sz w:val="17"/>
          <w:szCs w:val="17"/>
          <w:color w:val="auto"/>
        </w:rPr>
        <w:t>This ASU requires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to depict the transfer of goods and services to customers in an amount that reflects the consideration to which the entity expects to be entitled in exchange for those goods or services. The new revenue recognition model requires identifying the contract and performance obligations, determining the transaction price, allocating the transaction price to performance obligations and recognizing the revenue upon satisfaction of performance obligations.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This ASU can be applied either retrospectively to each prior reporting period presented or retrospectively with the cumulative effect of initially applying the updates recognized at the date of the initial application along with additional disclosures. In August 2015, the FASB issued ASU No. 2015-14,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 Deferral of the Effective Date</w:t>
      </w:r>
      <w:r>
        <w:rPr>
          <w:rFonts w:ascii="Arial" w:cs="Arial" w:eastAsia="Arial" w:hAnsi="Arial"/>
          <w:sz w:val="17"/>
          <w:szCs w:val="17"/>
          <w:color w:val="auto"/>
        </w:rPr>
        <w:t>, which amends the previously issued ASU to provide for a one year deferral from the original effective date.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the ASU will become effective for us beginning in the first quarter of our fiscal year ending September 30, 2019, with early application only being for us beginning in the first quarter of our fiscal year ending September 30, 2018. We are currently assessing the impact this pronouncement will have on the consolidated financial statements of the Company.</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In August 2015, the FASB issued ASU 2015-16, </w:t>
      </w:r>
      <w:r>
        <w:rPr>
          <w:rFonts w:ascii="Arial" w:cs="Arial" w:eastAsia="Arial" w:hAnsi="Arial"/>
          <w:sz w:val="17"/>
          <w:szCs w:val="17"/>
          <w:i w:val="1"/>
          <w:iCs w:val="1"/>
          <w:color w:val="auto"/>
        </w:rPr>
        <w:t>Business Combinations (Topic 805): Simplifying the Accounting for Measurement-Period Adjustments</w:t>
      </w:r>
      <w:r>
        <w:rPr>
          <w:rFonts w:ascii="Arial" w:cs="Arial" w:eastAsia="Arial" w:hAnsi="Arial"/>
          <w:sz w:val="17"/>
          <w:szCs w:val="17"/>
          <w:color w:val="auto"/>
        </w:rPr>
        <w:t>. The amendments require that an acquirer (i) recognize measurement period adjustments to estimated amounts in the reporting period in which the adjustment amounts are determined; (ii) record, in the same period’s financial statements, the effect on earnings of changes in depreciation, amortization, or other income effects, if any, as a result of the change to the estimated amounts, calculated as if the accounting had been completed at the acquisition date; and (iii) present separately on the face of the income statement or disclose in the notes the portion of the amount recorded in current period earnings by line item that would have been recorded in previous reporting periods if the adjustment to the estimated amounts had been recognized as of the acquisition date. The ASU will become effective for us beginning in the first quarter of our fiscal year ending September 30, 2017, with early adoption permitted. The amendments are applied to adjustments to provision amounts that occur after the effective date and the impact of the adoption of this guidance on the Company’s consolidated financial statements will depend on the future business combination activity.</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changes the measurement principle for inventory from the lower of cost or market to lower of cost and net realizable value. Net realizable value is defined as the estimated selling prices in the ordinary course of business, less reasonably predictable costs of completion, disposal and transportation. This ASU eliminates the guidance that entities consider replacement cost or net realizable value less an approximately normal profit margin in the subsequent measurement of inventory when cost is determined on a first-in, first-out or average cost basis. The ASU will become effective for us beginning in the first quarter of our fiscal year ending September 30, 2018, with early adoption permitted. We are currently assessing the impact this pronouncement will have on the consolidated financial statements of the Company.</w:t>
      </w:r>
    </w:p>
    <w:p>
      <w:pPr>
        <w:spacing w:after="0" w:line="189"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Interest—Imputation of Interest (Subtopic 835-30): Simplifying the Presentation of Debt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Costs. </w:t>
      </w:r>
      <w:r>
        <w:rPr>
          <w:rFonts w:ascii="Arial" w:cs="Arial" w:eastAsia="Arial" w:hAnsi="Arial"/>
          <w:sz w:val="16"/>
          <w:szCs w:val="16"/>
          <w:color w:val="auto"/>
        </w:rPr>
        <w:t>This ASU requires debt issuance costs related to a recognized debt liability to be presented on the balance sheet as a direct deduction from the debt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similar to the presentation of debt discounts. This ASU will become effective for us beginning in the first quarter of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fiscal year ending September 30, 2017, with early adoption permitted. We are currently assessing the impact this pronouncement will have on the consolidated financial statements of the Company.</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In April 2015, the FASB issued ASU No. 2015-05,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Fees Paid in Cloud Computing Arrangements</w:t>
      </w:r>
      <w:r>
        <w:rPr>
          <w:rFonts w:ascii="Arial" w:cs="Arial" w:eastAsia="Arial" w:hAnsi="Arial"/>
          <w:sz w:val="16"/>
          <w:szCs w:val="16"/>
          <w:color w:val="auto"/>
        </w:rPr>
        <w:t>, which provides for guidance on the accounting for fees paid in cloud computing arrangements.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ASU provides guidance to customers about whether the cloud computing arrangement includes a software license, which could be accounted for as a separate element of the arrangement similar to the acquisition of other software licenses. The absence of a software license would result in recognizing the arrangement as a service contract. This ASU will become effective for us beginning in the first quarter of our fiscal year ending September 30, 2017, with early adoption permitted. We are currently assessing the impact this pronouncement will have on the consolidated financial statements of the Company.</w:t>
      </w:r>
    </w:p>
    <w:p>
      <w:pPr>
        <w:spacing w:after="0" w:line="165"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Presentation of Financial Statements—Going Concern (Subtopic 205-40)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Uncertainties about the Entity’s Ability to Continue as a Going Concern, </w:t>
      </w:r>
      <w:r>
        <w:rPr>
          <w:rFonts w:ascii="Arial" w:cs="Arial" w:eastAsia="Arial" w:hAnsi="Arial"/>
          <w:sz w:val="17"/>
          <w:szCs w:val="17"/>
          <w:color w:val="auto"/>
        </w:rPr>
        <w:t>which provides guidance on determining when and how reporting entities must</w:t>
      </w:r>
      <w:r>
        <w:rPr>
          <w:rFonts w:ascii="Arial" w:cs="Arial" w:eastAsia="Arial" w:hAnsi="Arial"/>
          <w:sz w:val="17"/>
          <w:szCs w:val="17"/>
          <w:i w:val="1"/>
          <w:iCs w:val="1"/>
          <w:color w:val="auto"/>
        </w:rPr>
        <w:t xml:space="preserve"> </w:t>
      </w:r>
      <w:r>
        <w:rPr>
          <w:rFonts w:ascii="Arial" w:cs="Arial" w:eastAsia="Arial" w:hAnsi="Arial"/>
          <w:sz w:val="17"/>
          <w:szCs w:val="17"/>
          <w:color w:val="auto"/>
        </w:rPr>
        <w:t>disclose going-concern uncertainties in their financial statements. The new standard requires management to perform interim and annual assessments of an entity’s ability to continue as a going concern for a period of one year from the date of issuance of the entity’s financial statements. Further, an entity must provide certain disclosures if there is substantial doubt about the entity’s ability to continue as a going concern. This ASU will become effective for us beginning in the first quarter of our fiscal year ending September 30, 2017. The adoption of this guidance is not expected to have a material impact on the Company’s consolidated financial statements.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April, 2014, the FASB issued ASU No. 2014-08, </w:t>
      </w:r>
      <w:r>
        <w:rPr>
          <w:rFonts w:ascii="Arial" w:cs="Arial" w:eastAsia="Arial" w:hAnsi="Arial"/>
          <w:sz w:val="17"/>
          <w:szCs w:val="17"/>
          <w:i w:val="1"/>
          <w:iCs w:val="1"/>
          <w:color w:val="auto"/>
        </w:rPr>
        <w:t>Presentation of Financial Statements (Topic 2015) and Property, Plant and Equipment (Topic 360)</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This ASU changes the criteria for reporting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where only disposals representing a strategic shift in operations should be presented as discontinued operations. Such strategic shifts should have a major effect on the organization’s operating and financial results. This new guidance also expanded the disclosure requirements about discontinued operations. This ASU will become effective for us during our fiscal year ending September 30, 2016. The impact of the adoption of this guidance on the Company’s consolidated financial statements will depend on the Company’s future disposal activity.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are a diversified global branded consumer products company. The Company manufactures, markets and/or distributes its products in approximately 160 countries in the North America, Europe, Middle East &amp; Africa (“MEA”), Latin America and Asia-Pacific regions through a variety of trade channels, including retailers, wholesalers and distributors, original equipment manufacturers (“OEMs”), construction companies and hearing aid professionals. We enjoy strong name recognition in our regions under our various brands and patented technologies. Our diversified global branded consumer products have positions in seven major product categories: consumer batteries, small appliances, personal care, hardware and home improvement, pet supplies, home and garden and auto care. We manage the businesses in five vertically integrated, product-focused segments: (i) Global Batteries &amp; Appliances, (ii) Global Pet Supplies, (iii) Home and Garden, (iv) Hardware &amp; Home Improvement and (v) Global Auto Care. Global and geographic strategic initiatives and financial objectives are determined at the corporate level. Each segment is responsible for implementing defined strategic initiatives and achieving certain financial objectives and has a general manager responsible for sales and marketing initiatives and the financial results for all product lines within that segment. See Note 18, “Segment Information” of Notes to the Consolidated Financial Statements, included elsewhere in this prospectus for more information pertaining to segments. The following table summarizes the respective product types, brands, and regions for each of the segments:</w:t>
      </w:r>
    </w:p>
    <w:p>
      <w:pPr>
        <w:sectPr>
          <w:pgSz w:w="11900" w:h="16838" w:orient="portrait"/>
          <w:cols w:equalWidth="0" w:num="1">
            <w:col w:w="11420"/>
          </w:cols>
          <w:pgMar w:left="240" w:top="459" w:right="239" w:bottom="1440" w:gutter="0" w:footer="0" w:header="0"/>
        </w:sectPr>
      </w:pP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6"/>
                <w:szCs w:val="16"/>
                <w:color w:val="auto"/>
              </w:rPr>
            </w:pPr>
          </w:p>
        </w:tc>
        <w:tc>
          <w:tcPr>
            <w:tcW w:w="4580" w:type="dxa"/>
            <w:vAlign w:val="bottom"/>
          </w:tcPr>
          <w:p>
            <w:pPr>
              <w:ind w:left="2000"/>
              <w:spacing w:after="0"/>
              <w:rPr>
                <w:sz w:val="20"/>
                <w:szCs w:val="20"/>
                <w:color w:val="auto"/>
              </w:rPr>
            </w:pPr>
            <w:r>
              <w:rPr>
                <w:rFonts w:ascii="Arial" w:cs="Arial" w:eastAsia="Arial" w:hAnsi="Arial"/>
                <w:sz w:val="14"/>
                <w:szCs w:val="14"/>
                <w:b w:val="1"/>
                <w:bCs w:val="1"/>
                <w:color w:val="auto"/>
              </w:rPr>
              <w:t>Products</w:t>
            </w:r>
          </w:p>
        </w:tc>
      </w:tr>
      <w:tr>
        <w:trPr>
          <w:trHeight w:val="182"/>
        </w:trPr>
        <w:tc>
          <w:tcPr>
            <w:tcW w:w="5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9"/>
              </w:rPr>
              <w:t>Global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i w:val="1"/>
                <w:iCs w:val="1"/>
                <w:color w:val="auto"/>
              </w:rPr>
              <w:t xml:space="preserve">Consumer batteries: </w:t>
            </w:r>
            <w:r>
              <w:rPr>
                <w:rFonts w:ascii="Arial" w:cs="Arial" w:eastAsia="Arial" w:hAnsi="Arial"/>
                <w:sz w:val="18"/>
                <w:szCs w:val="18"/>
                <w:color w:val="auto"/>
              </w:rPr>
              <w:t>Alkaline, zinc carbon, and NiMH</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Batteries &amp;</w:t>
            </w: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w w:val="92"/>
              </w:rPr>
              <w:t>rechargeable batteries; hearing aid and other specialty battery</w:t>
            </w:r>
          </w:p>
        </w:tc>
      </w:tr>
      <w:tr>
        <w:trPr>
          <w:trHeight w:val="244"/>
        </w:trPr>
        <w:tc>
          <w:tcPr>
            <w:tcW w:w="1240" w:type="dxa"/>
            <w:vAlign w:val="bottom"/>
            <w:gridSpan w:val="2"/>
          </w:tcPr>
          <w:p>
            <w:pPr>
              <w:spacing w:after="0"/>
              <w:rPr>
                <w:sz w:val="20"/>
                <w:szCs w:val="20"/>
                <w:color w:val="auto"/>
              </w:rPr>
            </w:pPr>
            <w:r>
              <w:rPr>
                <w:rFonts w:ascii="Arial" w:cs="Arial" w:eastAsia="Arial" w:hAnsi="Arial"/>
                <w:sz w:val="18"/>
                <w:szCs w:val="18"/>
                <w:color w:val="auto"/>
              </w:rPr>
              <w:t>Appliances</w:t>
            </w: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rPr>
              <w:t>products; battery powered portable lighting products.</w:t>
            </w:r>
          </w:p>
        </w:tc>
      </w:tr>
      <w:tr>
        <w:trPr>
          <w:trHeight w:val="323"/>
        </w:trPr>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gridSpan w:val="2"/>
          </w:tcPr>
          <w:p>
            <w:pPr>
              <w:ind w:left="260"/>
              <w:spacing w:after="0"/>
              <w:rPr>
                <w:sz w:val="20"/>
                <w:szCs w:val="20"/>
                <w:color w:val="auto"/>
              </w:rPr>
            </w:pPr>
            <w:r>
              <w:rPr>
                <w:rFonts w:ascii="Arial" w:cs="Arial" w:eastAsia="Arial" w:hAnsi="Arial"/>
                <w:sz w:val="18"/>
                <w:szCs w:val="18"/>
                <w:i w:val="1"/>
                <w:iCs w:val="1"/>
                <w:color w:val="auto"/>
              </w:rPr>
              <w:t xml:space="preserve">Small appliances: </w:t>
            </w:r>
            <w:r>
              <w:rPr>
                <w:rFonts w:ascii="Arial" w:cs="Arial" w:eastAsia="Arial" w:hAnsi="Arial"/>
                <w:sz w:val="18"/>
                <w:szCs w:val="18"/>
                <w:color w:val="auto"/>
              </w:rPr>
              <w:t>small kitchen and home appliances.</w:t>
            </w: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gridSpan w:val="2"/>
          </w:tcPr>
          <w:p>
            <w:pPr>
              <w:ind w:left="260"/>
              <w:spacing w:after="0"/>
              <w:rPr>
                <w:sz w:val="20"/>
                <w:szCs w:val="20"/>
                <w:color w:val="auto"/>
              </w:rPr>
            </w:pPr>
            <w:r>
              <w:rPr>
                <w:rFonts w:ascii="Arial" w:cs="Arial" w:eastAsia="Arial" w:hAnsi="Arial"/>
                <w:sz w:val="18"/>
                <w:szCs w:val="18"/>
                <w:i w:val="1"/>
                <w:iCs w:val="1"/>
                <w:color w:val="auto"/>
                <w:w w:val="96"/>
              </w:rPr>
              <w:t xml:space="preserve">Personal care: </w:t>
            </w:r>
            <w:r>
              <w:rPr>
                <w:rFonts w:ascii="Arial" w:cs="Arial" w:eastAsia="Arial" w:hAnsi="Arial"/>
                <w:sz w:val="18"/>
                <w:szCs w:val="18"/>
                <w:color w:val="auto"/>
                <w:w w:val="96"/>
              </w:rPr>
              <w:t>electric shaving and grooming products, hair</w:t>
            </w:r>
          </w:p>
        </w:tc>
      </w:tr>
      <w:tr>
        <w:trPr>
          <w:trHeight w:val="230"/>
        </w:trPr>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rPr>
              <w:t>care appliances and accessories.</w:t>
            </w:r>
          </w:p>
        </w:tc>
      </w:tr>
      <w:tr>
        <w:trPr>
          <w:trHeight w:val="323"/>
        </w:trPr>
        <w:tc>
          <w:tcPr>
            <w:tcW w:w="1240" w:type="dxa"/>
            <w:vAlign w:val="bottom"/>
            <w:gridSpan w:val="2"/>
          </w:tcPr>
          <w:p>
            <w:pPr>
              <w:spacing w:after="0"/>
              <w:rPr>
                <w:sz w:val="20"/>
                <w:szCs w:val="20"/>
                <w:color w:val="auto"/>
              </w:rPr>
            </w:pPr>
            <w:r>
              <w:rPr>
                <w:rFonts w:ascii="Arial" w:cs="Arial" w:eastAsia="Arial" w:hAnsi="Arial"/>
                <w:sz w:val="18"/>
                <w:szCs w:val="18"/>
                <w:color w:val="auto"/>
              </w:rPr>
              <w:t>Hardware &amp;</w:t>
            </w:r>
          </w:p>
        </w:tc>
        <w:tc>
          <w:tcPr>
            <w:tcW w:w="4840" w:type="dxa"/>
            <w:vAlign w:val="bottom"/>
            <w:gridSpan w:val="2"/>
          </w:tcPr>
          <w:p>
            <w:pPr>
              <w:ind w:left="260"/>
              <w:spacing w:after="0"/>
              <w:rPr>
                <w:sz w:val="20"/>
                <w:szCs w:val="20"/>
                <w:color w:val="auto"/>
              </w:rPr>
            </w:pPr>
            <w:r>
              <w:rPr>
                <w:rFonts w:ascii="Arial" w:cs="Arial" w:eastAsia="Arial" w:hAnsi="Arial"/>
                <w:sz w:val="18"/>
                <w:szCs w:val="18"/>
                <w:i w:val="1"/>
                <w:iCs w:val="1"/>
                <w:color w:val="auto"/>
                <w:w w:val="95"/>
              </w:rPr>
              <w:t xml:space="preserve">Hardware and home improvement: </w:t>
            </w:r>
            <w:r>
              <w:rPr>
                <w:rFonts w:ascii="Arial" w:cs="Arial" w:eastAsia="Arial" w:hAnsi="Arial"/>
                <w:sz w:val="18"/>
                <w:szCs w:val="18"/>
                <w:color w:val="auto"/>
                <w:w w:val="95"/>
              </w:rPr>
              <w:t>Residential locksets and</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Home</w:t>
            </w: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w w:val="90"/>
              </w:rPr>
              <w:t>door hardware including hinges, security hardware, screen and</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Improvement</w:t>
            </w: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w w:val="92"/>
              </w:rPr>
              <w:t>storm door products, garage hardware, window hardware and</w:t>
            </w: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rPr>
              <w:t>floor protection; commercial doors, locks, and hardware;</w:t>
            </w:r>
          </w:p>
        </w:tc>
      </w:tr>
      <w:tr>
        <w:trPr>
          <w:trHeight w:val="230"/>
        </w:trPr>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rPr>
              <w:t>kitchen, bath and shower faucets and plumbing products.</w:t>
            </w:r>
          </w:p>
        </w:tc>
      </w:tr>
      <w:tr>
        <w:trPr>
          <w:trHeight w:val="310"/>
        </w:trPr>
        <w:tc>
          <w:tcPr>
            <w:tcW w:w="1240" w:type="dxa"/>
            <w:vAlign w:val="bottom"/>
            <w:gridSpan w:val="2"/>
          </w:tcPr>
          <w:p>
            <w:pPr>
              <w:spacing w:after="0"/>
              <w:rPr>
                <w:sz w:val="20"/>
                <w:szCs w:val="20"/>
                <w:color w:val="auto"/>
              </w:rPr>
            </w:pPr>
            <w:r>
              <w:rPr>
                <w:rFonts w:ascii="Arial" w:cs="Arial" w:eastAsia="Arial" w:hAnsi="Arial"/>
                <w:sz w:val="18"/>
                <w:szCs w:val="18"/>
                <w:color w:val="auto"/>
              </w:rPr>
              <w:t>Global Pet</w:t>
            </w:r>
          </w:p>
        </w:tc>
        <w:tc>
          <w:tcPr>
            <w:tcW w:w="4840" w:type="dxa"/>
            <w:vAlign w:val="bottom"/>
            <w:gridSpan w:val="2"/>
          </w:tcPr>
          <w:p>
            <w:pPr>
              <w:ind w:left="260"/>
              <w:spacing w:after="0"/>
              <w:rPr>
                <w:sz w:val="20"/>
                <w:szCs w:val="20"/>
                <w:color w:val="auto"/>
              </w:rPr>
            </w:pPr>
            <w:r>
              <w:rPr>
                <w:rFonts w:ascii="Arial" w:cs="Arial" w:eastAsia="Arial" w:hAnsi="Arial"/>
                <w:sz w:val="18"/>
                <w:szCs w:val="18"/>
                <w:i w:val="1"/>
                <w:iCs w:val="1"/>
                <w:color w:val="auto"/>
                <w:w w:val="91"/>
              </w:rPr>
              <w:t xml:space="preserve">Pet supplies: </w:t>
            </w:r>
            <w:r>
              <w:rPr>
                <w:rFonts w:ascii="Arial" w:cs="Arial" w:eastAsia="Arial" w:hAnsi="Arial"/>
                <w:sz w:val="18"/>
                <w:szCs w:val="18"/>
                <w:color w:val="auto"/>
                <w:w w:val="91"/>
              </w:rPr>
              <w:t>Dog, cat and small animal food and treats; clean-</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w w:val="94"/>
              </w:rPr>
              <w:t>up and training aid products and accessories; pet health and</w:t>
            </w:r>
          </w:p>
        </w:tc>
      </w:tr>
      <w:tr>
        <w:trPr>
          <w:trHeight w:val="230"/>
        </w:trPr>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w w:val="96"/>
              </w:rPr>
              <w:t>grooming products; aquariums and aquatic health supplies.</w:t>
            </w:r>
          </w:p>
        </w:tc>
      </w:tr>
      <w:tr>
        <w:trPr>
          <w:trHeight w:val="526"/>
        </w:trPr>
        <w:tc>
          <w:tcPr>
            <w:tcW w:w="1240" w:type="dxa"/>
            <w:vAlign w:val="bottom"/>
            <w:gridSpan w:val="2"/>
          </w:tcPr>
          <w:p>
            <w:pPr>
              <w:spacing w:after="0"/>
              <w:rPr>
                <w:sz w:val="20"/>
                <w:szCs w:val="20"/>
                <w:color w:val="auto"/>
              </w:rPr>
            </w:pPr>
            <w:r>
              <w:rPr>
                <w:rFonts w:ascii="Arial" w:cs="Arial" w:eastAsia="Arial" w:hAnsi="Arial"/>
                <w:sz w:val="18"/>
                <w:szCs w:val="18"/>
                <w:color w:val="auto"/>
              </w:rPr>
              <w:t>Home and</w:t>
            </w:r>
          </w:p>
        </w:tc>
        <w:tc>
          <w:tcPr>
            <w:tcW w:w="4840" w:type="dxa"/>
            <w:vAlign w:val="bottom"/>
            <w:gridSpan w:val="2"/>
          </w:tcPr>
          <w:p>
            <w:pPr>
              <w:ind w:left="260"/>
              <w:spacing w:after="0"/>
              <w:rPr>
                <w:sz w:val="20"/>
                <w:szCs w:val="20"/>
                <w:color w:val="auto"/>
              </w:rPr>
            </w:pPr>
            <w:r>
              <w:rPr>
                <w:rFonts w:ascii="Arial" w:cs="Arial" w:eastAsia="Arial" w:hAnsi="Arial"/>
                <w:sz w:val="18"/>
                <w:szCs w:val="18"/>
                <w:i w:val="1"/>
                <w:iCs w:val="1"/>
                <w:color w:val="auto"/>
                <w:w w:val="93"/>
              </w:rPr>
              <w:t xml:space="preserve">Home and garden: </w:t>
            </w:r>
            <w:r>
              <w:rPr>
                <w:rFonts w:ascii="Arial" w:cs="Arial" w:eastAsia="Arial" w:hAnsi="Arial"/>
                <w:sz w:val="18"/>
                <w:szCs w:val="18"/>
                <w:color w:val="auto"/>
                <w:w w:val="93"/>
              </w:rPr>
              <w:t>Household insecticides; insect and animal</w:t>
            </w: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Garden</w:t>
            </w: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rPr>
              <w:t>repellent products; insect and weed control solutions.</w:t>
            </w:r>
          </w:p>
        </w:tc>
      </w:tr>
      <w:tr>
        <w:trPr>
          <w:trHeight w:val="526"/>
        </w:trPr>
        <w:tc>
          <w:tcPr>
            <w:tcW w:w="1240" w:type="dxa"/>
            <w:vAlign w:val="bottom"/>
            <w:gridSpan w:val="2"/>
          </w:tcPr>
          <w:p>
            <w:pPr>
              <w:spacing w:after="0"/>
              <w:rPr>
                <w:sz w:val="20"/>
                <w:szCs w:val="20"/>
                <w:color w:val="auto"/>
              </w:rPr>
            </w:pPr>
            <w:r>
              <w:rPr>
                <w:rFonts w:ascii="Arial" w:cs="Arial" w:eastAsia="Arial" w:hAnsi="Arial"/>
                <w:sz w:val="18"/>
                <w:szCs w:val="18"/>
                <w:color w:val="auto"/>
              </w:rPr>
              <w:t>Global Auto</w:t>
            </w:r>
          </w:p>
        </w:tc>
        <w:tc>
          <w:tcPr>
            <w:tcW w:w="4840" w:type="dxa"/>
            <w:vAlign w:val="bottom"/>
            <w:gridSpan w:val="2"/>
          </w:tcPr>
          <w:p>
            <w:pPr>
              <w:ind w:left="260"/>
              <w:spacing w:after="0"/>
              <w:rPr>
                <w:sz w:val="20"/>
                <w:szCs w:val="20"/>
                <w:color w:val="auto"/>
              </w:rPr>
            </w:pPr>
            <w:r>
              <w:rPr>
                <w:rFonts w:ascii="Arial" w:cs="Arial" w:eastAsia="Arial" w:hAnsi="Arial"/>
                <w:sz w:val="18"/>
                <w:szCs w:val="18"/>
                <w:i w:val="1"/>
                <w:iCs w:val="1"/>
                <w:color w:val="auto"/>
                <w:w w:val="98"/>
              </w:rPr>
              <w:t xml:space="preserve">Auto care: </w:t>
            </w:r>
            <w:r>
              <w:rPr>
                <w:rFonts w:ascii="Arial" w:cs="Arial" w:eastAsia="Arial" w:hAnsi="Arial"/>
                <w:sz w:val="18"/>
                <w:szCs w:val="18"/>
                <w:color w:val="auto"/>
                <w:w w:val="98"/>
              </w:rPr>
              <w:t>Aftermarket appearance products; performance</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Care</w:t>
            </w:r>
            <w:r>
              <w:rPr>
                <w:rFonts w:ascii="Arial" w:cs="Arial" w:eastAsia="Arial" w:hAnsi="Arial"/>
                <w:sz w:val="15"/>
                <w:szCs w:val="15"/>
                <w:color w:val="auto"/>
              </w:rPr>
              <w:t>(1)</w:t>
            </w: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w w:val="94"/>
              </w:rPr>
              <w:t>chemicals &amp; additives; do-it-yourself air conditioner recharge</w:t>
            </w:r>
          </w:p>
        </w:tc>
      </w:tr>
      <w:tr>
        <w:trPr>
          <w:trHeight w:val="230"/>
        </w:trPr>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rPr>
              <w:t>products.</w:t>
            </w:r>
          </w:p>
        </w:tc>
      </w:tr>
      <w:tr>
        <w:trPr>
          <w:trHeight w:val="581"/>
        </w:trPr>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gridSpan w:val="2"/>
          </w:tcPr>
          <w:p>
            <w:pPr>
              <w:ind w:left="4380"/>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Brands</w:t>
            </w:r>
          </w:p>
        </w:tc>
        <w:tc>
          <w:tcPr>
            <w:tcW w:w="200" w:type="dxa"/>
            <w:vAlign w:val="bottom"/>
          </w:tcPr>
          <w:p>
            <w:pPr>
              <w:spacing w:after="0"/>
              <w:rPr>
                <w:sz w:val="16"/>
                <w:szCs w:val="16"/>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Regions</w:t>
            </w:r>
          </w:p>
        </w:tc>
      </w:tr>
      <w:tr>
        <w:trPr>
          <w:trHeight w:val="195"/>
        </w:trPr>
        <w:tc>
          <w:tcPr>
            <w:tcW w:w="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i w:val="1"/>
                <w:iCs w:val="1"/>
                <w:color w:val="auto"/>
                <w:w w:val="93"/>
              </w:rPr>
              <w:t xml:space="preserve">Consumer batteries: </w:t>
            </w:r>
            <w:r>
              <w:rPr>
                <w:rFonts w:ascii="Arial" w:cs="Arial" w:eastAsia="Arial" w:hAnsi="Arial"/>
                <w:sz w:val="18"/>
                <w:szCs w:val="18"/>
                <w:color w:val="auto"/>
                <w:w w:val="93"/>
              </w:rPr>
              <w:t>Rayovac, VARTA.</w:t>
            </w:r>
            <w:r>
              <w:rPr>
                <w:rFonts w:ascii="Arial" w:cs="Arial" w:eastAsia="Arial" w:hAnsi="Arial"/>
                <w:sz w:val="18"/>
                <w:szCs w:val="18"/>
                <w:i w:val="1"/>
                <w:iCs w:val="1"/>
                <w:color w:val="auto"/>
                <w:w w:val="93"/>
              </w:rPr>
              <w:t xml:space="preserve"> Small</w:t>
            </w:r>
          </w:p>
        </w:tc>
        <w:tc>
          <w:tcPr>
            <w:tcW w:w="200" w:type="dxa"/>
            <w:vAlign w:val="bottom"/>
          </w:tcPr>
          <w:p>
            <w:pPr>
              <w:spacing w:after="0"/>
              <w:rPr>
                <w:sz w:val="16"/>
                <w:szCs w:val="16"/>
                <w:color w:val="auto"/>
              </w:rPr>
            </w:pPr>
          </w:p>
        </w:tc>
        <w:tc>
          <w:tcPr>
            <w:tcW w:w="1480" w:type="dxa"/>
            <w:vAlign w:val="bottom"/>
          </w:tcPr>
          <w:p>
            <w:pPr>
              <w:spacing w:after="0" w:line="195" w:lineRule="exact"/>
              <w:rPr>
                <w:sz w:val="20"/>
                <w:szCs w:val="20"/>
                <w:color w:val="auto"/>
              </w:rPr>
            </w:pPr>
            <w:r>
              <w:rPr>
                <w:rFonts w:ascii="Arial" w:cs="Arial" w:eastAsia="Arial" w:hAnsi="Arial"/>
                <w:sz w:val="18"/>
                <w:szCs w:val="18"/>
                <w:color w:val="auto"/>
              </w:rPr>
              <w:t>North America</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w w:val="92"/>
              </w:rPr>
              <w:t xml:space="preserve">appliances: </w:t>
            </w:r>
            <w:r>
              <w:rPr>
                <w:rFonts w:ascii="Arial" w:cs="Arial" w:eastAsia="Arial" w:hAnsi="Arial"/>
                <w:sz w:val="18"/>
                <w:szCs w:val="18"/>
                <w:color w:val="auto"/>
                <w:w w:val="92"/>
              </w:rPr>
              <w:t>Black &amp; Decker, George Foreman,</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9"/>
              </w:rPr>
              <w:t>Europe/MEA Latin</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Russell Hobbs, Juiceman, Breadman, and</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America Asia-</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Toastmaster. </w:t>
            </w:r>
            <w:r>
              <w:rPr>
                <w:rFonts w:ascii="Arial" w:cs="Arial" w:eastAsia="Arial" w:hAnsi="Arial"/>
                <w:sz w:val="18"/>
                <w:szCs w:val="18"/>
                <w:i w:val="1"/>
                <w:iCs w:val="1"/>
                <w:color w:val="auto"/>
              </w:rPr>
              <w:t>Personal care:</w:t>
            </w:r>
            <w:r>
              <w:rPr>
                <w:rFonts w:ascii="Arial" w:cs="Arial" w:eastAsia="Arial" w:hAnsi="Arial"/>
                <w:sz w:val="18"/>
                <w:szCs w:val="18"/>
                <w:color w:val="auto"/>
              </w:rPr>
              <w:t xml:space="preserve"> Remington.</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Pacific</w:t>
            </w:r>
          </w:p>
        </w:tc>
      </w:tr>
      <w:tr>
        <w:trPr>
          <w:trHeight w:val="877"/>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w w:val="97"/>
              </w:rPr>
              <w:t xml:space="preserve">Hardware and home improvement: </w:t>
            </w:r>
            <w:r>
              <w:rPr>
                <w:rFonts w:ascii="Arial" w:cs="Arial" w:eastAsia="Arial" w:hAnsi="Arial"/>
                <w:sz w:val="18"/>
                <w:szCs w:val="18"/>
                <w:color w:val="auto"/>
                <w:w w:val="97"/>
              </w:rPr>
              <w:t>Kwikset,</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North America</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w w:val="94"/>
              </w:rPr>
              <w:t>Weiser, Baldwin, National Hardware, Stanley,</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9"/>
              </w:rPr>
              <w:t>Europe/MEA Latin</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Tell, Pfister.</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America Asia-</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Pacific</w:t>
            </w:r>
          </w:p>
        </w:tc>
      </w:tr>
      <w:tr>
        <w:trPr>
          <w:trHeight w:val="526"/>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w w:val="95"/>
              </w:rPr>
              <w:t xml:space="preserve">Pet Supplies: </w:t>
            </w:r>
            <w:r>
              <w:rPr>
                <w:rFonts w:ascii="Arial" w:cs="Arial" w:eastAsia="Arial" w:hAnsi="Arial"/>
                <w:sz w:val="18"/>
                <w:szCs w:val="18"/>
                <w:color w:val="auto"/>
                <w:w w:val="95"/>
              </w:rPr>
              <w:t>8-in-1, Dingo, Nature’s Miracle,</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North America</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w w:val="98"/>
              </w:rPr>
              <w:t>Wild Harvest, Littermaid, Tetra, Marineland,</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9"/>
              </w:rPr>
              <w:t>Europe/MEA Latin</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w w:val="94"/>
              </w:rPr>
              <w:t>Whisper, Jungle, Instant Ocean, FURminator,</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America Asia-</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w w:val="94"/>
              </w:rPr>
              <w:t>IAMS, Eukanuba, Healthy-Hide, Digest-eeze.</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Pacific</w:t>
            </w:r>
          </w:p>
        </w:tc>
      </w:tr>
      <w:tr>
        <w:trPr>
          <w:trHeight w:val="310"/>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w w:val="92"/>
              </w:rPr>
              <w:t xml:space="preserve">Home and garden: </w:t>
            </w:r>
            <w:r>
              <w:rPr>
                <w:rFonts w:ascii="Arial" w:cs="Arial" w:eastAsia="Arial" w:hAnsi="Arial"/>
                <w:sz w:val="18"/>
                <w:szCs w:val="18"/>
                <w:color w:val="auto"/>
                <w:w w:val="92"/>
              </w:rPr>
              <w:t>Cutter, Repel, Spectracide,</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North America</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w w:val="97"/>
              </w:rPr>
              <w:t>Garden Safe, Liquid Fence, Hot Shot, Black</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Latin America</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Flag.</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0"/>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Auto care: </w:t>
            </w:r>
            <w:r>
              <w:rPr>
                <w:rFonts w:ascii="Arial" w:cs="Arial" w:eastAsia="Arial" w:hAnsi="Arial"/>
                <w:sz w:val="18"/>
                <w:szCs w:val="18"/>
                <w:color w:val="auto"/>
              </w:rPr>
              <w:t>Armor All, STP, A/C PRO.</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North America</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9"/>
              </w:rPr>
              <w:t>Europe/MEA Latin</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America Asia-</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Pacific</w:t>
            </w:r>
          </w:p>
        </w:tc>
      </w:tr>
    </w:tbl>
    <w:p>
      <w:pPr>
        <w:sectPr>
          <w:pgSz w:w="11900" w:h="16838" w:orient="portrait"/>
          <w:cols w:equalWidth="0" w:num="2">
            <w:col w:w="6080" w:space="220"/>
            <w:col w:w="5120"/>
          </w:cols>
          <w:pgMar w:left="240" w:top="45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77"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8"/>
          <w:szCs w:val="18"/>
          <w:color w:val="auto"/>
        </w:rPr>
        <w:t>On May 21, 2015, the Company acquired Armored AutoGroup Parent Inc. (“AAG”). For more information pertaining to the AAG acquisition, see Note 3, “Acquisitions” in the Notes to the Consolidated Financial Statements included elsewhere in this prospectus.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performance is influenced by a number of factors including: general economic conditions; foreign exchange fluctuations; trends in consumer markets; consumer confidence and preferences; our overall product line mix, including pricing and gross margin, which vary by product line and geographic market; pricing of certain raw materials and commodities; energy and fuel prices; and our general competitive position, especially as impacted by our competitors’ advertising and promotional activities and pricing strategies.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Net sales of each product category sold, as a percentage of net sales of our consolidated operations for the years ended September 30, 2015, 2014 and 2013,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6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Hardware and home improvement products</w:t>
            </w: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Consumer batteries</w:t>
            </w: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390"/>
              <w:spacing w:after="0"/>
              <w:rPr>
                <w:sz w:val="20"/>
                <w:szCs w:val="20"/>
                <w:color w:val="auto"/>
              </w:rPr>
            </w:pPr>
            <w:r>
              <w:rPr>
                <w:rFonts w:ascii="Arial" w:cs="Arial" w:eastAsia="Arial" w:hAnsi="Arial"/>
                <w:sz w:val="18"/>
                <w:szCs w:val="18"/>
                <w:color w:val="auto"/>
              </w:rPr>
              <w:t>22%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Small appliances</w:t>
            </w: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Pet supplies</w:t>
            </w: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ind w:right="39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Personal care products</w:t>
            </w: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Home and garden products</w:t>
            </w: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39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Auto care products</w:t>
            </w: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16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7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and Home Improvement Products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hardware and home improvement product category we market and sell a broad range of residential locksets and door hardware, including knobs, levers, deadbolts, handlesets and electronics. We offer our security hardware under three main brands, Kwikset, Weiser and Baldwin. On a global basis we are one of the largest producers of tubular residential locksets. Kwikset includes opening to mid-price point residential door hardware sold primarily in the U.S. retail and wholesale channels. Products are offered under the three brands Safe Lock, Kwikset and Kwikset Signature Series. Weiser offers opening to mid-price point residential door hardware sold primarily in the Canadian retail and wholesale channels. Baldwin offers high price point luxury hardware sold globally through the showroom and lumber yard channels.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a demonstration of our design and engineering team’s ability to innovate, our patented SmartKey technology enables consumers to easily rekey their locks without hiring a locksmith. SmartKey is sold across all channels of distribution and provides opportunities for further growth. Market share gains stemming from our SmartKey products further augment our overall market share in the residential lockset space. Also in security, we are capitalizing on the emerging trend in home automation and have developed further innovation in electronics where we utilize open-platform electronics to build scalable partnerships with technology and access control industry leaders.</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Kwikset brand has launched the Kevo Bluetooth enabled deadbolt. The Kevo Bluetooth deadbolt turns a smart phone into a key and allows authorized users to open their Kwikset deadbolt by simply touching the lock. Owners of Kevo can also send digital EKeys and monitor the use of their lock by downloading the Kevo app for Apple iPhone and Google Android phone users.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offer other hardware products that include hinges, security hardware, screen and storm door products, garage door hardware, window hardware and floor protection under the Stanley and National Hardware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brand names throughout the U.S. and Canada. Although the product line is largely harmonized between the brands, the dual branding approach has been utilized to protect legacy business with key customers and avoid channel conflict.</w:t>
      </w:r>
    </w:p>
    <w:p>
      <w:pPr>
        <w:spacing w:after="0" w:line="17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On October 1, 2014, the Company acquired privately owned Tell Manufacturing, Inc. (“Tell”), a leading U.S. manufacturer and distributor of commercial doors, locks and hardware. Tell provides the Hardware and Home Improvement segment with an established commercial security sales position through a high-quality and well recognized brand and a platform to expand our patented SmartKey and Kevo residential lock technologies into growing commercial channels. Tell also adds doors and hollow metal door manufacturing capabilities, a strategically important adjacent category.</w:t>
      </w:r>
    </w:p>
    <w:p>
      <w:pPr>
        <w:spacing w:after="0" w:line="17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Furthermore, we provide kitchen, bath and shower faucets as well as other plumbing products through our Pfister brand. Pfister is recognized for bringing showroom styles to the mass market at affordable prices and offers a lifetime warranty on all of its products. We have combined robust customer collaboration with consumer driven research to drive innovative products that are well-received by the market. With its affordable, quick-to-market and custom designed solutions, Pfister has an established capability to effectively service hospitality and international markets. Pfister seeks to differentiate itself from competition through its breadth of styles and finishes designed to meet consumer, plumber and builder needs.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Batteries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market and sell a full line of alkaline batteries to both retail and industrial customers. Our alkaline batteries are marketed and sold primarily under the Rayovac and VARTA brands. We also manufacture alkaline batteries for third parties who sell the batteries under their own private labels. Our zinc carbon batteries are also marketed and sold primarily under the Rayovac and VARTA brands and are designed for low and medium drain battery powered devices. We also sell Nickel Metal Hydride (NiMH) rechargeable batteries and a variety of battery chargers under the Rayovac and VARTA brands. Recently, Rayovac introduced its highest performing alkaline battery, FUSION. Rayovac’s FUSION features a slim seal technology and optimized chemistry.</w:t>
      </w:r>
    </w:p>
    <w:p>
      <w:pPr>
        <w:spacing w:after="0" w:line="15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believe that we are currently the largest worldwide marketer and distributor of hearing aid batteries. We sell our hearing aid batteries through retail trade channels and directly to professional audiologists under several brand names and private labels, including Beltone, Miracle Ear and Starkey. Our other specialty battery products include camera batteries, lithium batteries, silver oxide batteries, keyless entry batteries and coin cells for use in watches, cameras, calculators, communications equipment, medical instruments and on the go chargers.</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also offer a broad line of battery-powered, portable lighting products, including flashlights and lanterns for both retail and industrial markets. We sell our portable lighting products under the Rayovac and VARTA brand names, under other proprietary brand names and pursuant to licensing arrangements with third parties. Recently, Rayovac introduced an outdoor portable charging line including the Rescuer</w:t>
      </w:r>
      <w:r>
        <w:rPr>
          <w:rFonts w:ascii="Arial" w:cs="Arial" w:eastAsia="Arial" w:hAnsi="Arial"/>
          <w:sz w:val="14"/>
          <w:szCs w:val="14"/>
          <w:color w:val="auto"/>
        </w:rPr>
        <w:t>TM</w:t>
      </w:r>
      <w:r>
        <w:rPr>
          <w:rFonts w:ascii="Arial" w:cs="Arial" w:eastAsia="Arial" w:hAnsi="Arial"/>
          <w:sz w:val="17"/>
          <w:szCs w:val="17"/>
          <w:color w:val="auto"/>
        </w:rPr>
        <w:t>, the Adventurer</w:t>
      </w:r>
      <w:r>
        <w:rPr>
          <w:rFonts w:ascii="Arial" w:cs="Arial" w:eastAsia="Arial" w:hAnsi="Arial"/>
          <w:sz w:val="14"/>
          <w:szCs w:val="14"/>
          <w:color w:val="auto"/>
        </w:rPr>
        <w:t>TM</w:t>
      </w:r>
      <w:r>
        <w:rPr>
          <w:rFonts w:ascii="Arial" w:cs="Arial" w:eastAsia="Arial" w:hAnsi="Arial"/>
          <w:sz w:val="17"/>
          <w:szCs w:val="17"/>
          <w:color w:val="auto"/>
        </w:rPr>
        <w:t xml:space="preserve"> and the rechargeable Power Pack duo, consisting of the DayTripper</w:t>
      </w:r>
      <w:r>
        <w:rPr>
          <w:rFonts w:ascii="Arial" w:cs="Arial" w:eastAsia="Arial" w:hAnsi="Arial"/>
          <w:sz w:val="14"/>
          <w:szCs w:val="14"/>
          <w:color w:val="auto"/>
        </w:rPr>
        <w:t>TM</w:t>
      </w:r>
      <w:r>
        <w:rPr>
          <w:rFonts w:ascii="Arial" w:cs="Arial" w:eastAsia="Arial" w:hAnsi="Arial"/>
          <w:sz w:val="17"/>
          <w:szCs w:val="17"/>
          <w:color w:val="auto"/>
        </w:rPr>
        <w:t xml:space="preserve"> and Weekender</w:t>
      </w:r>
      <w:r>
        <w:rPr>
          <w:rFonts w:ascii="Arial" w:cs="Arial" w:eastAsia="Arial" w:hAnsi="Arial"/>
          <w:sz w:val="14"/>
          <w:szCs w:val="14"/>
          <w:color w:val="auto"/>
        </w:rPr>
        <w:t>TM</w:t>
      </w:r>
      <w:r>
        <w:rPr>
          <w:rFonts w:ascii="Arial" w:cs="Arial" w:eastAsia="Arial" w:hAnsi="Arial"/>
          <w:sz w:val="17"/>
          <w:szCs w:val="17"/>
          <w:color w:val="auto"/>
        </w:rPr>
        <w:t xml:space="preserve"> Power Packs. The featured portable chargers were designed for the outdoor enthusiast. Rayovac’s flagship chargers were named International CES Innovations 2014 Design and Engineering Award Honorees.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Appliances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market and sell a broad range of products in the branded small household appliances category under the George Foreman, Black &amp; Decker, Russell Hobbs, Juiceman and Breadman brands, including grills, bread makers, sandwich makers, kettles, toaster ovens, toasters, blenders, juicers, can openers, coffee grinders, coffeemakers, electric knives, deep fryers, food choppers, food processors, hand mixers, rice cookers and steamers. We also market small home product appliances, including hand-held irons, vacuum cleaners, air purifiers, clothes shavers and heaters, primarily under the Black &amp; Decker and Russell Hobbs brands.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Black and Decker brand debuted a new look in 2014 and continues to release new lines of products to meet customer needs. These items include FusionBlade Technology blenders, a variety of coffee makers, choppers and a new category for the brand, slow cookers. Black and Decker also premiered its 5 Minute Pizza Oven and Snack Maker, which cooks frozen or fresh pizzas, frozen snacks, baked goods and more. Additionally, the George Foreman brand continues to introduce new grilling systems, including its Evolve Grill System that comes with advanced ceramic and accessory plates such as baking dishes and muffin pans, the Camp &amp; Tailgate Propane Grill, the Dual Surface Friddle + Grill, and the Grill &amp; Broil which broils and top melts. The George Foreman iConnect Platform, a platform of smart device connected products, has also been introduced.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 Supplies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pet supplies product category we market and sell a variety of leading branded pet supplies for fish, dogs, cats, birds and other small domestic animals. We have a broad line of consumer and commercial aquatics products, including integrated aquarium kits, stand-alone tanks and stands, filtration systems, heaters, pumps, and other equipment, fish food and water treatment products. Our largest aquatics brands are Tetra, Marineland, Whisper, Jungle and Instant Ocean. We also sell a variety of specialty pet products, including dog and cat treats, small animal food and treats, clean up and training aid products, health and grooming aids, bedding products, and consumable accessories including privacy tents, litter carpets, crystal litter cartridges, charcoal filters, corn-based litter and replaceable waste receptacles. Our largest specialty pet brands include FURminator, 8-in-1, Dingo, Nature’s Miracle, Wild Harvest and Littermaid.</w:t>
      </w:r>
    </w:p>
    <w:p>
      <w:pPr>
        <w:spacing w:after="0" w:line="18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On December 31, 2014, we completed the acquisition of Procter &amp; Gamble’s European pet food business, consisting of the complementary IAMS and Eukanuba premium brands for dogs and cats, which are in an adjacent category to our global pet business. The acquired business provides access to the growing European dog and cat food market. Eukanuba, a premium brand in the pet specialty channel, is a popular brand with breeders and veterinarians in Europe. IAMS, a premium brand with broad consumer appeal, has a leadership share of the premium dry dog food market in the United Kingdom primarily through the food and mass merchandiser channel with opportunities to grow further across Europe. IAMS is positioned for consumers who treat their pets as family members and view the food they feed their pets as a way to make them happy.</w:t>
      </w:r>
    </w:p>
    <w:p>
      <w:pPr>
        <w:spacing w:after="0" w:line="17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On January 16, 2015, we acquired privately owned Salix Animal Health, a vertically integrated producer and distributor of premium, natural rawhide dog chews, treats and snacks, offering a comprehensive line of chews made from beef hides, pork, chicken, beef and other various proteins. Branded and private label products are sold to mass merchandisers, grocery stores, pet specialty stores and warehouse clubs. Its two flagship brands are Healthy-Hide that is marketed across the Good’n’Fun, Good’n’Fit, and Good’n’Tasty family of brands, and Digest-eeze. With a flexible supply chain, including multiple manufacturing plants in Ecuador, Mexico and two in Colombia, Salix will provide the Pet Supplies segment with increased optionality for a low-cost global rawhide production and supply; and expand our strong Dingo dog treats business with complementary product offerings.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Care Products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personal care products, marketed and sold under the Remington brand name, include hand-held dryers, curling irons, straightening irons, brush irons, hair setters, facial brushes, skin appliances, electric toothbrushes and hair accessories.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market and sell a broad line of electric shaving and grooming products under the Remington brand name, including men’s rotary and foil shavers, beard and mustache trimmers, body, nose and ear trimmers, women’s shavers, haircut kits and intense pulsed light hair removal systems. Recently, we introduced the Remington SmartEdge Foil Shaver. This shaving system combines the closeness of a foil and mobility of a rotary to create ActiveHybrid technology. Additionally, our Remington brand introduced other new personal care products such as the HyperFlex rotary shaver, Vacuum Beard and Grooming kit and Virtually Indestructible Hair Clipper.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and Garden Products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home, lawn and garden products category, we currently sell and market a variety of leading insect and weed control products, including household insecticides, insect repellents, and lawn insect and weed control solutions. We offer a broad array of household pest control solutions such as spider and scorpion killers; roach and ant killers; flying insect killers; insect foggers; wasp and hornet killers; bedbug, flea and tick control products; and roach and ant baits. We also offer powerful rodent traps and rodenticides with discreet designs that are easy to refill and reuse. Our largest brands in the household insect control and rodenticide category are Hot Shot and Black Flag. Recently we introduced our novel, award-winning Black Flag Refillable Rat Bait Station, a reusable rodenticide product that is easy to refill.</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segment also manufactures and markets a complete line of insect repellent products that provide protection from various outdoor nuisance pests, especially mosquitoes. These products include both personal repellents available in a variety of formulas (such as aerosols, lotions, pump sprays and wipes) to match consumers’ dynamic needs, as well as area repellents (such as yard sprays, citronella candles and patio lanterns) that let consumers enjoy the outdoors without bothersome pests. Our brands in the insect repellents category are Cutter and Repel. We have recently increased our pest repellent offerings with the Cutter Backwoods Dry Insect Repellent aerosol and the Repel Tick Defense aerosol.</w:t>
      </w:r>
    </w:p>
    <w:p>
      <w:pPr>
        <w:spacing w:after="0" w:line="173"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addition to providing pest solutions, our line of outdoor insect and weed control solutions allows consumers to conquer bugs and weeds, and tackle their biggest lawn and landscaping projects themselves. From selective and non-selective herbicides to pest-specific solutions, our outdoor products are available in easy-to-use formulations (such as aerosols, granules, ready-to-use or hose-end ready-to-sprays) designed to fulfill a variety of consumer needs. Our outdoor insecticide and herbicide brands include Spectracide, Garden Safe and Liquid Fence. Continuing our pursuit of innovation, we started offering the Mulch-Lock Ready-to-Use and Mulch-Lock Concentrate, which are versatile landscaping tools that can be used to eliminate frequent groundcover maintenance and help customers save time, effort and money. The Spectracide brand recently introduced the AccuShot Sprayer, which was recognized recently with a Gold Innovation Award from Home Improvement Executive magazine. The AccuShot Sprayer is a handheld applicator that allows for continuous spraying and precise application of product. It features a comfortable, ergonomic grip, and an extendable wand that makes it easier to target only the pests and weeds you want to kill. In addition, it features a one-touch continuous spray that requires no repetitive squeezing, pumping or pulling. Another key benefit for consumers is the fact that the AccuShot Sprayer is reusable with exclusive refill products available for purchase.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 Care Products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May 21, 2015, we completed the acquisition of AAG, a consumer products company consisting primarily of Armor All and STP products, two of the most recognizable brands in the automotive aftermarket appearance products and performance chemicals categories, respectively; and the A/C Pro Brand of do-it-yourself automotive air conditioner recharge products.</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Armor All is a leading automotive aftermarket appearance product brand in the United States with a comprehensive line of products. We believe that Armor All has distinguished itself as a leader in the automotive aftermarket appearance products category based upon its household name, high quality product formulations, convenient application methods and tradition of innovation. Armor All’s current product line of protectants, wipes, tire and wheel care products, glass cleaners, leather care products, air fresheners and washes is designed to clean, shine, refresh and protect interior and exterior automobile surfaces.</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STP brand has been characterized by a commitment to technology, performance and motor sports partnerships for over 60 years. We believe the STP brands’ fuel and oil additives, functional fluids and automotive appearance products benefit from a rich heritage in the car enthusiast and racing scenes. We believe that the strong brand equity of STP also provides for attractive licensing opportunities that augment our presence in our core performance categories.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results of AAG’s operations are included as a new segment, Global Auto Care, within the Company’s consolidated operating results from the acquisition date of May 21,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sell our products through a variety of trade channels, including retailers, wholesalers and distributors, hearing aid professionals, construction companies and OEMs. Our sales generally are made through the use of individual purchase orders, consistent with industry practice. Retail sales of the consumer products we market have been increasingly consolidated into a small number of regional and national mass merchandisers. This trend towards consolidation is occurring on a worldwide basis. As a result of this consolidation, a significant percentage of our sales are attributable to a very limited group of retailer customers, including Wal-Mart, The Home Depot, Lowe’s, Carrefour, Target, PetSmart, Canadian Tire, PetCo and Gigante. Our sales to our largest customer represented approximately 15% of our consolidated net sales for the fiscal year ended September 30, 2015. No other customer accounted for more than 10% of our consolidated net sales in the fiscal year ended September 30, 2015.</w:t>
      </w:r>
    </w:p>
    <w:p>
      <w:pPr>
        <w:spacing w:after="0" w:line="17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Segment information as it relates to revenues, profits and total assets as well as information concerning our revenues and long-lived assets by geographic location is set forth in Note 18, “Segment Information,” of Notes to Consolidated Financial Statements included elsewhere in this prospectus. Sales and distribution practices in each of our reportable segments are as set forth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Batteries &amp; Appliances</w:t>
      </w:r>
    </w:p>
    <w:p>
      <w:pPr>
        <w:spacing w:after="0" w:line="117"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We manage our Global Batteries &amp; Appliances sales force by geographic region and product group. Our sales team is divided into four major geographic territories: North America, Latin America, Europe and Asia-Pacific. Within each major geographic territory, we have additional subdivisions designed to meet our customers’ needs. We manage our sales force in North America by distribution channel. We maintain separate sales groups to service</w:t>
      </w:r>
    </w:p>
    <w:p>
      <w:pPr>
        <w:ind w:firstLine="8"/>
        <w:spacing w:after="0" w:line="268" w:lineRule="auto"/>
        <w:tabs>
          <w:tab w:leader="none" w:pos="2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retail sales and distribution channel, (ii) our hearing aid professionals channel and (iii) our industrial distributors and OEM sales and distribution channel. In addition, we utilize a network of independent brokers to service participants in selected distribution channels. We manage our sales force in Latin America by distribution channel and geographic territory. We sell primarily to large retailers, wholesalers, distributors, food and drug chains and retail outlets. In countries where we do not maintain a sales force, we sell to distributors who market our products through all channels in the market. The sales force serving our customers in Europe and Asia-Pacific is supplemented by an international network of distributors to promote the sale of our products. Our sales operations throughout Europe and Asia-Pacific are organized by geographic territory and the following sales channels: (i) food/retail, which includes mass merchandisers, discounters and drug and food stores; (ii) specialty trade, which includes clubs, consumer electronics stores, department stores, photography stores and wholesalers/distributors; and (iii) industrial, government, hearing aid professionals and OEMs.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Pet Supplies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Global Pet Supplies sales force is aligned by customer, geographic region and product group. We sell pet supply products to mass merchandisers, grocery and drug chains, pet superstores, independent pet stores and other retailers.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and Garden</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Home and Garden Business sales force is geographically aligned with our key customers. We sell primarily to home improvement centers, mass merchandisers, dollar stores, hardware stores, home and garden distributors, and food and drug retailers primarily in the 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&amp; Home Improvement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sales force of the Hardware &amp; Home Improvement business is aligned by customer and geographic region. We sell primarily to large retailers, non-retail distributors, home improvement centers, hardware stores, home builders and other retailers.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Auto Care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Global Auto Care business sales force is geographically aligned with key customers. We sell primarily to big box auto, auto specialty retail, mass retailers, food and drug retailers, and convenience retailers. We market our products in the U.S. through a number of channels and use a number of sales strategies. Sales personnel call directly on major accounts and have support teams for supply and marketing. Our small regional and convenience store customers are serviced by brokers and distributors. International distribution varies by region and is often executed on a country-by-country basis. A majority of international sales are completed using distributors.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Raw Materials and Suppliers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principal raw materials used in manufacturing our products are zinc, electrolytic manganese dioxide, brass and steel that are sourced either on a global or regional basis. The prices of these raw materials are susceptible to price fluctuations due to supply and demand trends, energy costs, transportation costs, government regulations and tariffs, changes in currency exchange rates, price controls, general economic conditions and other unforeseen circumstances. We have regularly engaged in forward purchase and hedging derivative transactions in an attempt to effectively manage the raw material costs we expect to incur over the next 12 to 24 months.</w:t>
      </w:r>
    </w:p>
    <w:p>
      <w:pPr>
        <w:spacing w:after="0" w:line="188"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Substantially all of our rechargeable batteries and chargers, portable lighting products, hair care and other personal care products and our electric shaving and grooming products and small appliances are manufactured by third party suppliers that are primarily located in the Asia-Pacific region. We maintain ownership of most of the tooling and molds used by our suppliers.</w:t>
      </w:r>
    </w:p>
    <w:p>
      <w:pPr>
        <w:spacing w:after="0" w:line="181"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We continually evaluate our manufacturing facilities’ capacity and related utilization. As a result of such analyses, we have closed a number of manufacturing facilities during the past five years. In general, we believe our existing facilities are adequate for our present and foreseeable needs.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research and development strategy is focused on new product development and performance enhancements of our existing products. We plan to continue to use our strong brand names, established customer relationships and significant research and development efforts to introduce innovative products that offer enhanced value to consumers through new designs and improved functionality.</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During the years ended September 30, 2015, 2014 and 2013, we invested $51.3 million, $47.9 million and $43.3 million, respectively, in product research and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use and maintain a number of trademarks in our business, including, among others, RAYOVAC, VARTA, REMINGTON, GEORGE FOREMAN, RUSSELL HOBBS, FARBERWARE, TOASTMASTER, BREADMAN, JUICEMAN, BLACK &amp; DECKER, TETRA, 8IN1, DINGO, NATURE’S MIRACLE, WILD HARVEST, MARINELAND, FURMINATOR, LITTERMAID, BIRDOLA, HEALTHY HIDE, DIGEST-EEZE, IAMS, EUKANUBA, SPECTRACIDE, CUTTER, HOT SHOT, REAL KILL, ULTRA KILL, BLACK FLAG, LIQUID FENCE, RID-A-BUG, TAT, GARDEN SAFE, REPEL, KWIKSET, WEISER, BALDWIN, NATIONAL HARDWARE, FANAL, PFISTER, TELL, ARMOR ALL, STP, and A/C PRO. We seek trademark protection in the U.S. and in foreign countries.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own or license from third parties a significant number of patents and patent applications throughout the world relating to products we sell and manufacturing equipment we use. We hold a license that expires in March 2022 for certain alkaline battery designs, technology and manufacturing equipment from Matsushita Electrical Industrial Co., Ltd. (“Matsushita”), to whom we pay a royalty.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the October 2002 sale by VARTA AG of substantially all of its consumer battery business to us and VARTA AG’s subsequent sale of its automotive battery business to Johnson Controls, Inc. (“Johnson Controls”), we acquired rights to the VARTA trademark in the consumer battery category and Johnson Controls acquired rights to the trademark in the automotive battery category. VARTA AG continues to have rights to use the trademark with travel guides and industrial batteries and VARTA Microbattery GmbH has the right to use the trade mark with micro batteries. We are party to a Trademark and Domain Names Protection and Delimitation Agreement that governs ownership and usage rights and obligations of the parties relative to the VARTA trademark.</w:t>
      </w:r>
    </w:p>
    <w:p>
      <w:pPr>
        <w:spacing w:after="0" w:line="1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result of the common origins of the Remington Products, L.L.C. (“Remington Products”) business we acquired in September 2003 and the Remington Arms Company, Inc. (“Remington Arms”), the REMINGTON trademark is owned by us and by Remington Arms each with respect to its principal products as well as associated products. Accordingly, we own the rights to use the REMINGTON trademark for electric shavers, shaver accessories, grooming products and personal care products, while Remington Arms owns the rights to use the trademark for firearms, sporting goods and products for industrial use, including industrial hand tools. In addition, the terms of a 1986 agreement between Remington Products and Remington Arms provides for the shared rights to use the REMINGTON trademark on products which are not considered “principal products of interest” for either company. We retain the REMINGTON trademark for nearly all products which we believe can benefit from the use of the brand name in our distribution channels.</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license the Black and Decker brand in North America, Latin America (excluding Brazil) and the Caribbean for four core categories of household appliances: beverage products, food preparation products, garment care products and cooking products. We have licensed the Black and Decker brand since 1998 for use in marketing various household small appliances. In July 2014, Spectrum Brands and The Black and Decker Corporation (“BDC”) extended the trademark license agreement through December 2018. Under the agreement as extended, Spectrum Brands agreed to pay BDC royalties based on a percentage of sales, with minimum annual royalty payments of $15.0 million through calendar year 2018. The agreement also requires us to comply with maximum annual return rates for products. If BDC does not agree to renew the license agreement, we have 18 months to transition out of the brand name. No minimum royalty payments will be due during such transition period. BDC has agreed not to compete in the four core product categories for a period of five years after the end of the transition period following termination of the license agreement. Upon request, BDC may elect to extend the license to use the Black &amp; Decker brand to certain additional product categories. BDC has approved several extensions of the license to additional categories and geographies.</w:t>
      </w:r>
    </w:p>
    <w:p>
      <w:pPr>
        <w:spacing w:after="0" w:line="16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Through the acquisition of the residential hardware and home improvement business (the “HHI Business”), we own the patented SmartKey technology, which enables customers to easily rekey their locks without hiring a locksmith.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own a 56% interest in Shaser, Inc. Through this ownership we have patented technology that is used in our i-Light and i-Light Reveal product line.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our retail markets, we compete for limited shelf space and consumer acceptance. Factors influencing product sales include brand name recognition, perceived quality, price, performance, product packaging, design innovation, and consumer confidence and preferences as well as creative marketing, promotion and distribution strategies.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contribute to our ability to succeed in these highly competitive product categories:</w:t>
      </w:r>
    </w:p>
    <w:p>
      <w:pPr>
        <w:spacing w:after="0" w:line="131" w:lineRule="exact"/>
        <w:rPr>
          <w:sz w:val="20"/>
          <w:szCs w:val="20"/>
          <w:color w:val="auto"/>
        </w:rPr>
      </w:pPr>
    </w:p>
    <w:p>
      <w:pPr>
        <w:ind w:left="900" w:right="80" w:hanging="325"/>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Strong Diversified Global Brand Portfolio</w:t>
      </w:r>
      <w:r>
        <w:rPr>
          <w:rFonts w:ascii="Arial" w:cs="Arial" w:eastAsia="Arial" w:hAnsi="Arial"/>
          <w:sz w:val="17"/>
          <w:szCs w:val="17"/>
          <w:color w:val="auto"/>
        </w:rPr>
        <w:t>. We have a global portfolio of well-recognized consumer product brands. We believe that the strength</w:t>
      </w:r>
      <w:r>
        <w:rPr>
          <w:rFonts w:ascii="Arial" w:cs="Arial" w:eastAsia="Arial" w:hAnsi="Arial"/>
          <w:sz w:val="17"/>
          <w:szCs w:val="17"/>
          <w:i w:val="1"/>
          <w:iCs w:val="1"/>
          <w:color w:val="auto"/>
        </w:rPr>
        <w:t xml:space="preserve"> </w:t>
      </w:r>
      <w:r>
        <w:rPr>
          <w:rFonts w:ascii="Arial" w:cs="Arial" w:eastAsia="Arial" w:hAnsi="Arial"/>
          <w:sz w:val="17"/>
          <w:szCs w:val="17"/>
          <w:color w:val="auto"/>
        </w:rPr>
        <w:t>of our brands positions us to extend our product lines and provide our retail customers with strong sell-through to consumers.</w:t>
      </w:r>
    </w:p>
    <w:p>
      <w:pPr>
        <w:spacing w:after="0" w:line="173" w:lineRule="exact"/>
        <w:rPr>
          <w:rFonts w:ascii="Arial" w:cs="Arial" w:eastAsia="Arial" w:hAnsi="Arial"/>
          <w:sz w:val="17"/>
          <w:szCs w:val="17"/>
          <w:color w:val="auto"/>
        </w:rPr>
      </w:pPr>
    </w:p>
    <w:p>
      <w:pPr>
        <w:ind w:left="900" w:right="560" w:hanging="325"/>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Strong Global Retail Relationships</w:t>
      </w:r>
      <w:r>
        <w:rPr>
          <w:rFonts w:ascii="Arial" w:cs="Arial" w:eastAsia="Arial" w:hAnsi="Arial"/>
          <w:sz w:val="17"/>
          <w:szCs w:val="17"/>
          <w:color w:val="auto"/>
        </w:rPr>
        <w:t>. We have well-established business relationships with many of the top global retailers, distributors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wholesalers, which have assisted us in our efforts to expand our overall market penetration and promote sales.</w:t>
      </w:r>
    </w:p>
    <w:p>
      <w:pPr>
        <w:spacing w:after="0" w:line="173" w:lineRule="exact"/>
        <w:rPr>
          <w:rFonts w:ascii="Arial" w:cs="Arial" w:eastAsia="Arial" w:hAnsi="Arial"/>
          <w:sz w:val="17"/>
          <w:szCs w:val="17"/>
          <w:color w:val="auto"/>
        </w:rPr>
      </w:pPr>
    </w:p>
    <w:p>
      <w:pPr>
        <w:ind w:left="900" w:right="580" w:hanging="325"/>
        <w:spacing w:after="0" w:line="34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Expansive Distribution Network</w:t>
      </w:r>
      <w:r>
        <w:rPr>
          <w:rFonts w:ascii="Arial" w:cs="Arial" w:eastAsia="Arial" w:hAnsi="Arial"/>
          <w:sz w:val="16"/>
          <w:szCs w:val="16"/>
          <w:color w:val="auto"/>
        </w:rPr>
        <w:t>. We distribute our products in approximately 160 countries through a variety of trade channels,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retailers, wholesalers and distributors, hearing aid professionals, construction companies and Original Equipment Manufacturers.</w:t>
      </w:r>
    </w:p>
    <w:p>
      <w:pPr>
        <w:spacing w:after="0" w:line="150" w:lineRule="exact"/>
        <w:rPr>
          <w:rFonts w:ascii="Arial" w:cs="Arial" w:eastAsia="Arial" w:hAnsi="Arial"/>
          <w:sz w:val="16"/>
          <w:szCs w:val="16"/>
          <w:color w:val="auto"/>
        </w:rPr>
      </w:pPr>
    </w:p>
    <w:p>
      <w:pPr>
        <w:ind w:left="900" w:right="320" w:hanging="325"/>
        <w:spacing w:after="0" w:line="34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Innovative New Products, Packaging and Technologies</w:t>
      </w:r>
      <w:r>
        <w:rPr>
          <w:rFonts w:ascii="Arial" w:cs="Arial" w:eastAsia="Arial" w:hAnsi="Arial"/>
          <w:sz w:val="16"/>
          <w:szCs w:val="16"/>
          <w:color w:val="auto"/>
        </w:rPr>
        <w:t>. We have a long history of product and packaging innovations in each of our seven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categories and continually seek to introduce new products both as extensions of existing product lines and as new product categories.</w:t>
      </w:r>
    </w:p>
    <w:p>
      <w:pPr>
        <w:spacing w:after="0" w:line="150" w:lineRule="exact"/>
        <w:rPr>
          <w:rFonts w:ascii="Arial" w:cs="Arial" w:eastAsia="Arial" w:hAnsi="Arial"/>
          <w:sz w:val="16"/>
          <w:szCs w:val="16"/>
          <w:color w:val="auto"/>
        </w:rPr>
      </w:pPr>
    </w:p>
    <w:p>
      <w:pPr>
        <w:ind w:left="900" w:right="6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Our management team has substantial consumer products experience. On average, each senior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 member has more than 20 years of experience at Spectrum Brands, VARTA, Remington, Russell Hobbs or other branded consumer product companies such as Newell Rubbermaid.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Batteries &amp; Appliances</w:t>
      </w:r>
    </w:p>
    <w:p>
      <w:pPr>
        <w:spacing w:after="0" w:line="11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consumer battery product category consists of non-rechargeable alkaline or zinc carbon batteries in cell sizes of AA, AAA, C, D and 9-volt, specialty batteries, which include rechargeable batteries, hearing aid batteries, photo batteries and watch/calculator batteries; and portable lighting products. The battery product category is highly competitive. Most consumer batteries manufactured throughout the world are sold by one of four global companies: Spectrum Brands (manufacturer/seller of Rayovac and VARTA brands); Energizer Holdings, Inc. (“Energizer”) (manufacturer/seller of the Energizer brand); The Procter &amp; Gamble Company (“Procter &amp; Gamble”) (manufacturer/seller of the Duracell brand); and Matsushita (manufacturer/seller of the Panasonic brand). We also face competition from the private label brands of major retailers, particularly in Europe. The offering of private-label batteries by retailers may create pricing pressure in the consumer battery market. Typically, private-label brands are not supported by advertising or promotion, and retailers sell these private label offerings at prices below competing name-brands. The main barriers to entry for new competitors are investment in technology research, cost of building manufacturing capacity and the expense of building retail distribution channels and consumer brands.</w:t>
      </w:r>
    </w:p>
    <w:p>
      <w:pPr>
        <w:spacing w:after="0" w:line="16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majority of consumers in North America and Europe purchase alkaline batteries. The Latin America market consists primarily of zinc carbon batteries but is gradually converting to higher-priced alkaline batteries as household disposable income grows. In the U.S. alkaline battery category, the Rayovac brand is positioned as a value brand, which is typically defined as a product that offers comparable performance at a lower price. In Europe, the VARTA brand is competitively priced with other premium brands. In Latin America, where zinc carbon batteries outsell alkaline batteries, the Rayovac brand is competitively priced.</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we are the largest worldwide marketer of hearing aid batteries and that we continue to maintain a leading global market position. We believe that our close relationship with hearing aid manufacturers and other customers, as well as our product performance improvements and packaging innovations, position us for continued success in this category.</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Products in our small appliances category consist of small electrical appliances primarily in the kitchen and home product categories. Primary competitive brands in the small appliance category include Hamilton Beach, Proctor Silex, Sunbeam, Mr. Coffee, Oster, General Electric, Rowenta, DeLonghi, Kitchen Aid, Cuisinart, Krups, Braun, Rival, Europro, Kenwood, Philips, Morphy Richards, Breville and Tefal. The key competitors in this market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U.S. and Canada include Jarden Corporation, DeLonghi America, Euro-Pro Operating LLC, Metro Thebe, Inc., d/b/a HWI Breville, NACCO Industries, Inc. (Hamilton Beach) and SEB S.A. In addition, we compete with retailers who use their own private label brands for household appliances (for example, Wal-Mart).</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also operate in the personal care product category, consisting of electric shavers and accessories, electric grooming products and hair care appliances and accessories. Electric shavers include men’s and women’s shavers (both rotary and foil design) and electric shaver accessories consisting of shaver replacement parts (primarily foils and cutters), pre-shave products and cleaning agents. Electric shavers are marketed primarily under our Remington brand. Electric grooming products include beard and mustache trimmers, nose and ear trimmers, body groomers and haircut kits and related accessories. Hair care appliances include hair dryers, straightening irons, styling irons and hair-setters. Europe and North America account for the majority of our worldwide personal care product category sales.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primary competitors in the personal products category are Norelco, a division of Koninklijke Philips Electronics NV (“Philips”), which sells and markets rotary shavers, and Braun, a division of Procter &amp; Gamble, which sells and markets foil shavers. Through our Remington brand, we sell both foil and rotary shavers. Other major competitors in the electric personal care product category are Conair Corporation, Wahl Clipper Corporation and Helen of Troy Limited (“Helen of Troy”).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Pet Supplies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global pet supplies segment comprises aquatics equipment (aquariums, filters, pumps, etc.), aquatics consumables (fish food, water treatments and conditioners, etc.) and specialty pet products for dogs, cats, birds and other small domestic animals. The pet supplies product category is highly fragmented with over 500 manufacturers in the U.S. alone, with no competitor holding a market share greater than twenty percent and consists primarily of small companies with limited product lines. We believe that our brand positioning, including the leading global aquatics brand in Tetra, our diverse array of innovative and attractive products and our strong retail relationships and global infrastructure will allow us to remain competitive in this fast growing industry.</w:t>
      </w:r>
    </w:p>
    <w:p>
      <w:pPr>
        <w:spacing w:after="0" w:line="193"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Our largest competitors in this category are Mars Corporation (“Mars”), The Hartz Mountain Corporation (“Hartz”) and Central Garden &amp; Pet Company (“Central Garden &amp; Pet”). Both Hartz and Central Garden &amp; Pet sell a comprehensive line of pet supplies and compete with a majority of the products we offer. Mars sells primarily aquatics products.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and Garden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Products in our home and garden segment are sold primarily in the U.S. market under the major brand names Spectracide, Hot Shot, Cutter, Repel, Black Flag, Garden Safe and Liquid Fence. We manufacture and market outdoor and indoor insect control products, rodenticides, herbicides, insect repellents and lawn maintenance products. In addition, we produce and market several private-label brands for many major retailers. Our marketing position is primarily that of a value brand, enhanced and supported by innovative products of outstanding quality and appealing packaging that is designed to drive sales at the point of purchase. Our commitment to quality and value has earned the trust of consumers and the confidence of retailers, who count on us to deliver the fast-selling products, merchandising solutions and quality service they require.</w:t>
      </w:r>
    </w:p>
    <w:p>
      <w:pPr>
        <w:spacing w:after="0" w:line="178"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Products we sell in the home and garden category face competition from The Scotts Miracle-Gro Company (“Scotts Company”), which markets lawn and garden products under the Scotts, Ortho, Roundup, Miracle-Gro, and Tomcat brand names; Central Garden &amp; Pet, which markets garden products under the AMDRO and Sevin brand names; and Bayer A.G., which markets home and garden products under the Bayer Advanced brand name.</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Products we sell in the household insect control product category face competition from S.C. Johnson &amp; Son, Inc. (“S.C. Johnson”), which markets insecticide and repellent products under the Raid and OFF! brands; Scotts Company, which markets household insect control products under the Ortho brand; and Henkel KGaA, which markets insect control products under the Combat brand.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&amp; Home Improvement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Hardware &amp; Home Improvement segment has developed a market-leading franchise with leading brands, making it a desired manufacturer among top home builders and major retailers. Hardware &amp; Home Improvement is acclaimed as a market leader in the U.S. and Canadian lockset business. Competition within the industry varies based on location as well as product segment.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main source of competition for residential locksets includes other third party manufacturers such as Schlage, a division of Allegion, and private label import brands such as Defiant and Gatehouse. Major competitors for hardware include The Hillman Group, Hampton Hardware, Crown Bolt and private label competitors. In plumbing, Pfister’s major U.S. competitors are Masco, Fortune Brands, Kohler, and American Standard, as well as Glacier Bay and AquaSource, and the private label brands of The Home Depot and Lowe’s.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Auto Care</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During the year ended September 30, 2015, we entered the Global Auto Care segment with our acquisition of AAG, which consists of Armor All and STP products, two of the most recognizable brands in the automotive aftermarket appearance products and performance chemicals categories, respectively, and the AC/PRO brand of do-it-yourself automotive air conditioner recharge products.</w:t>
      </w:r>
    </w:p>
    <w:p>
      <w:pPr>
        <w:spacing w:after="0" w:line="18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Products we sell in the auto care product category compete with other widely advertised brands and with private label brands, including Valvoline, Prestone, Turtle Wax, Black Magic and private label brands. We also encounter competition from similar and alternative products, many of which are produced and marketed by major multinational or national companies, including Mothers, Meguiars, Lucas, and Sea Foam.</w:t>
      </w:r>
    </w:p>
    <w:p>
      <w:pPr>
        <w:spacing w:after="0" w:line="166"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Some of our major competitors have greater resources and greater overall market share than we do. They have committed significant resources to protect their market shares or to capture market share from us and may continue to do so in the future. In some key product lines, our competitors may have lower production costs and higher profit margins than we do, which may enable them to compete more aggressively in advertising and in offering retail discounts and other promotional incentives to retailers, distributors, wholesalers and, ultimately, consumers.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a consolidated basis our financial results are approximately equally weighted among our quarters, however, sales of certain product categories tend to be seasonal. Sales in the consumer battery and electric personal care product categories, particularly in North America, tend to be concentrated in the December holiday season (the Company’s first fiscal quarter). Small appliances peak from July through December primarily due to the increased demand by customers in the late summer for “back-to-school” sales and in the fall for the holiday season. Sales for hardware and home improvement products increase during the spring and summer construction period (the Company’s third and fourth fiscal quarters). Sales for pet supplies products remain fairly constant throughout the year. Sales for home and garden control products typically peak during the first six months of the calendar year (the Company’s second and third fiscal quarters). Demand for auto care products is generally at its highest during the period from March to June (Spectrum’s second and third fiscal quarters) based upon historical customer seasonal purchasing patterns and timing of promotional activities. Information about our sales by quarter as a percentage of annual sales during the years ended September 30, 2015, 2014 and 2013 is as follows: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Quarter Ended</w:t>
            </w:r>
          </w:p>
        </w:tc>
        <w:tc>
          <w:tcPr>
            <w:tcW w:w="5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6"/>
                <w:szCs w:val="16"/>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Second Quarter</w:t>
            </w:r>
          </w:p>
        </w:tc>
        <w:tc>
          <w:tcPr>
            <w:tcW w:w="6740" w:type="dxa"/>
            <w:vAlign w:val="bottom"/>
            <w:gridSpan w:val="3"/>
          </w:tcPr>
          <w:p>
            <w:pPr>
              <w:jc w:val="right"/>
              <w:ind w:right="540"/>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23%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Fourth Quarter</w:t>
            </w:r>
          </w:p>
        </w:tc>
        <w:tc>
          <w:tcPr>
            <w:tcW w:w="6740" w:type="dxa"/>
            <w:vAlign w:val="bottom"/>
            <w:gridSpan w:val="3"/>
          </w:tcPr>
          <w:p>
            <w:pPr>
              <w:jc w:val="right"/>
              <w:ind w:right="540"/>
              <w:spacing w:after="0"/>
              <w:rPr>
                <w:sz w:val="20"/>
                <w:szCs w:val="20"/>
                <w:color w:val="auto"/>
              </w:rPr>
            </w:pPr>
            <w:r>
              <w:rPr>
                <w:rFonts w:ascii="Arial" w:cs="Arial" w:eastAsia="Arial" w:hAnsi="Arial"/>
                <w:sz w:val="18"/>
                <w:szCs w:val="18"/>
                <w:color w:val="auto"/>
              </w:rPr>
              <w:t>28%</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350"/>
        </w:trPr>
        <w:tc>
          <w:tcPr>
            <w:tcW w:w="1340" w:type="dxa"/>
            <w:vAlign w:val="bottom"/>
          </w:tcPr>
          <w:p>
            <w:pPr>
              <w:spacing w:after="0"/>
              <w:rPr>
                <w:sz w:val="24"/>
                <w:szCs w:val="24"/>
                <w:color w:val="auto"/>
              </w:rPr>
            </w:pPr>
          </w:p>
        </w:tc>
        <w:tc>
          <w:tcPr>
            <w:tcW w:w="5740" w:type="dxa"/>
            <w:vAlign w:val="bottom"/>
          </w:tcPr>
          <w:p>
            <w:pPr>
              <w:jc w:val="right"/>
              <w:ind w:right="211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 more detailed discussion of the seasonality of our product sales, see “Management’s Discussion and Analysis of Financial Condition and Results of Operations—Seasonality.”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and Environmental Matters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Due to the nature of our operations, our facilities are subject to a broad range of federal, state, local and foreign legal and regulatory provisions relating to the environment, including those regulating the discharge of materials into the environment, the handling and disposal of solid and hazardous substances and wastes and the remediation of contamination associated with the releases of hazardous substances at our facilities. We believe that compliance with the federal, state, local and foreign laws and regulations to which we are subject will not have a material effect upon our capital expenditures, financial condition, earnings or competitive position.</w:t>
      </w:r>
    </w:p>
    <w:p>
      <w:pPr>
        <w:spacing w:after="0" w:line="18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From time to time, we have been required to address the effect of historic activities on the environmental condition of our properties. We have not conducted invasive testing at all facilities to identify all potential environmental liability risks. Given the age of our facilities and the nature of our operations, it is possible that material liabilities may arise in the future in connection with our current or former facilities. If previously unknown contamination of property underlying or in the vicinity of our manufacturing facilities is discovered, we could incur material unforeseen expenses, which could have a material adverse effect on our financial condition, capital expenditures, earnings and competitive position. Although we are currently engaged in investigative or remedial projects at some of our facilities, we do not expect that such projects, taking into account established accruals, will cause us to incur expenditures that are material to our business, financial condition or results of operations; however, it is possible that our future liability could be material.</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been, and in the future may be, subject to proceedings related to our disposal of industrial and hazardous material at off-site disposal locations or similar disposals made by other parties for which we are held responsible as a result of our relationships with such other parties. In the U.S., these proceedings are under the Federal Comprehensive Environmental Response, Compensation and Liability Act of 1980 (“CERCLA”) or similar state laws that hold persons who “arranged for” the disposal or treatment of such substances strictly liable for costs incurred in responding to the release or threatened release of hazardous substances from such sites, regardless of fault or the lawfulness of the original disposal. Liability under CERCLA is typically joint and several, meaning that a liable party may be responsible for all costs incurred in investigating and remediating contamination at a site. As a practical matter, liability at CERCLA sites is shared by all of the viable responsible parties. We occasionally are identified by federal or state governmental agencies as being a potentially responsible party for response actions contemplated at an off-site facility. At the existing sites where we have been notified of our status as a potentially responsible party, it is either premature to determine whether our potential liability, if any, will be material or we do not believe that our liability, if any, will be material. We may be named as a potentially responsible party under CERCLA or similar state laws for other sites not currently known to us, and the costs and liabilities associated with these sites may be material.</w:t>
      </w:r>
    </w:p>
    <w:p>
      <w:pPr>
        <w:spacing w:after="0" w:line="1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It is difficult to quantify with certainty the potential financial impact of actions regarding expenditures for environmental matters, particularly remediation, and future capital expenditures for environmental control equipment. Nevertheless, based upon the information currently available, we believe that our ultimate liability arising from such environmental matters, taking into account established accruals of $4.4 million for estimated liabilities at September 30, 2015 should not be material to our business or financial condition.</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Electronic and electrical products that we sell in Europe, particularly products sold under the Remington brand name, VARTA battery chargers, certain portable lighting and all of our batteries, are subject to regulation in European Union (“EU”) markets under three key EU directives. The first directive is the Restriction of the Use of Hazardous Substances in Electrical and Electronic Equipment (“RoHS”) which took effect in EU member states beginning July 1, 2006. RoHS prohibits companies from selling products which contain certain specified hazardous materials in EU member states. We believe that compliance with RoHS will not have a material effect on our capital expenditures, financial condition, earnings or competitive position. The second directive is entitled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Waste of Electrical and Electronic Equipment (“WEEE”). WEEE makes producers or importers of particular classes of electrical goods financially responsible for specified collection, recycling, treatment and disposal of past and future covered products. WEEE assigns levels of responsibility to companies doing business in EU markets based on their relative market share. WEEE calls on each EU member state to enact enabling legislation to implement the directive. To comply with WEEE requirements, we have partnered with other companies to create a comprehensive collection, treatment, disposal and recycling program. As EU member states pass enabling legislation we currently expect our compliance system to be sufficient to meet such requirements. Our current estimated costs associated with compliance with WEEE are not significant based on our current market share. However, we continue to evaluate the impact of the WEEE legislation as EU member states implement guidance and as our market share changes and, as a result, actual costs to our company could differ from our current estimates and may be material to our business, financial condition or results of operations. The third directive is the Directive on Batteries and Accumulators and Waste Batteries, which was adopted in September 2006 and went into effect in September 2008 (the “Battery Directive”). The Battery Directive bans heavy metals in batteries by establishing maximum quantities of those heavy metals in batteries and mandates waste management of batteries, including collection, recycling and disposal systems. The Battery Directive places the costs of such waste management systems on producers and importers of batteries. The Battery Directive calls on each EU member state to enact enabling legislation to implement the directive. We currently believe that compliance with the Battery Directive will not have a material effect on our capital expenditures, financial condition, earnings or competitive position. However, until such time as the EU member states adopt enabling legislation, a full evaluation of these costs cannot be completed. We will continue to evaluate the impact of the Battery Directive and its enabling legislation as EU member states implement guidance.</w:t>
      </w:r>
    </w:p>
    <w:p>
      <w:pPr>
        <w:spacing w:after="0" w:line="16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Certain of our products and facilities in each of our business segments are regulated by the United States Environmental Protection Agency (the “EPA”) and the United States Food and Drug Administration (the “FDA”) or other federal consumer protection and product safety agencies and are subject to the regulations such agencies enforce, as well as by similar state, foreign and multinational agencies and regulations. For example, in the U.S., all products containing pesticides must be registered with the EPA and, in many cases, similar state and foreign agencies before they can be manufactured or sold. Our inability to obtain or the cancellation of any registration could have an adverse effect on our business, financial condition and results of operations.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and other ingredients. We may not always be able to avoid or minimize these risks.</w:t>
      </w:r>
    </w:p>
    <w:p>
      <w:pPr>
        <w:spacing w:after="0" w:line="17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Food Quality Protection Act (“FQPA”) established a standard for food-use pesticides, which is that a reasonable certainty of no harm will result from the cumulative effect of pesticide exposures. Under the FQPA, the EPA is evaluating the cumulative effects from dietary and non-dietary exposures to pesticides. The pesticides in certain of our products continue to be evaluated by the EPA as part of this program. It is possible that the EPA or a third party active ingredient registrant may decide that a pesticide we use in our products will be limited or made unavailable to us. We cannot predict the outcome or the severity of the effect of the EPA’s continuing evaluations of active ingredients used in our products.</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Certain of our products and packaging materials are subject to regulations administered by the FDA. Among other things, the FDA enforces statutory prohibitions against misbranded and adulterated products, establishes ingredients and manufacturing procedures for certain products, establishes standards of identity for certain products, determines the safety of products and establishes labeling standards and requirements. In addition, various states regulate these products by enforcing federal and state standards of identity for selected products, grading products, inspecting production facilities and imposing their own labeling requirements.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had approximately 15,500 full-time employees worldwide as of September 30, 2015. Approximately 16% of our total labor force is covered by collective bargaining agreements. There are 4 collective bargaining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agreements that will expire during our fiscal year ending September 30, 2016, which cover approximately 60% of the labor force under collective bargaining agreements, or approximately 10% of our total labor force. We believe that our overall relationship with our employees is good.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our principal owned or leased manufacturing, packaging and distribution facilities at September 30,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Batteries and Appliances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980" w:type="dxa"/>
            <w:vAlign w:val="bottom"/>
          </w:tcPr>
          <w:p>
            <w:pPr>
              <w:spacing w:after="0"/>
              <w:rPr>
                <w:sz w:val="16"/>
                <w:szCs w:val="16"/>
                <w:color w:val="auto"/>
              </w:rPr>
            </w:pPr>
          </w:p>
        </w:tc>
        <w:tc>
          <w:tcPr>
            <w:tcW w:w="3920" w:type="dxa"/>
            <w:vAlign w:val="bottom"/>
            <w:gridSpan w:val="2"/>
          </w:tcPr>
          <w:p>
            <w:pPr>
              <w:ind w:left="1340"/>
              <w:spacing w:after="0"/>
              <w:rPr>
                <w:sz w:val="20"/>
                <w:szCs w:val="20"/>
                <w:color w:val="auto"/>
              </w:rPr>
            </w:pPr>
            <w:r>
              <w:rPr>
                <w:rFonts w:ascii="Arial" w:cs="Arial" w:eastAsia="Arial" w:hAnsi="Arial"/>
                <w:sz w:val="14"/>
                <w:szCs w:val="14"/>
                <w:b w:val="1"/>
                <w:bCs w:val="1"/>
                <w:color w:val="auto"/>
              </w:rPr>
              <w:t>Function / Use</w:t>
            </w: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Owned / Leased</w:t>
            </w:r>
          </w:p>
        </w:tc>
      </w:tr>
      <w:tr>
        <w:trPr>
          <w:trHeight w:val="182"/>
        </w:trPr>
        <w:tc>
          <w:tcPr>
            <w:tcW w:w="920" w:type="dxa"/>
            <w:vAlign w:val="bottom"/>
          </w:tcPr>
          <w:p>
            <w:pPr>
              <w:spacing w:after="0"/>
              <w:rPr>
                <w:sz w:val="15"/>
                <w:szCs w:val="15"/>
                <w:color w:val="auto"/>
              </w:rPr>
            </w:pPr>
          </w:p>
        </w:tc>
        <w:tc>
          <w:tcPr>
            <w:tcW w:w="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U.S.</w:t>
            </w:r>
          </w:p>
        </w:tc>
        <w:tc>
          <w:tcPr>
            <w:tcW w:w="2780" w:type="dxa"/>
            <w:vAlign w:val="bottom"/>
          </w:tcPr>
          <w:p>
            <w:pPr>
              <w:spacing w:after="0" w:line="182" w:lineRule="exact"/>
              <w:rPr>
                <w:sz w:val="20"/>
                <w:szCs w:val="20"/>
                <w:color w:val="auto"/>
              </w:rPr>
            </w:pPr>
            <w:r>
              <w:rPr>
                <w:rFonts w:ascii="Arial" w:cs="Arial" w:eastAsia="Arial" w:hAnsi="Arial"/>
                <w:sz w:val="18"/>
                <w:szCs w:val="18"/>
                <w:b w:val="1"/>
                <w:bCs w:val="1"/>
                <w:color w:val="auto"/>
              </w:rPr>
              <w:t>Locations</w:t>
            </w:r>
          </w:p>
        </w:tc>
        <w:tc>
          <w:tcPr>
            <w:tcW w:w="980" w:type="dxa"/>
            <w:vAlign w:val="bottom"/>
          </w:tcPr>
          <w:p>
            <w:pPr>
              <w:spacing w:after="0"/>
              <w:rPr>
                <w:sz w:val="15"/>
                <w:szCs w:val="15"/>
                <w:color w:val="auto"/>
              </w:rPr>
            </w:pPr>
          </w:p>
        </w:tc>
        <w:tc>
          <w:tcPr>
            <w:tcW w:w="35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Fennimore, Wisconsin</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Battery Manufacturing</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Portage, Wisconsin</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Battery Manufacturing</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Dixon, Illinois</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2"/>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Redlands, California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20"/>
        </w:trPr>
        <w:tc>
          <w:tcPr>
            <w:tcW w:w="9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Non-U.S. Locations</w:t>
            </w:r>
          </w:p>
        </w:tc>
        <w:tc>
          <w:tcPr>
            <w:tcW w:w="9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Dischingen, Germany</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Battery 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Washington, UK</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Battery 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Guatemala City, Guatemala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Battery Manufacturing</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Jaboatao, Brazil</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Battery Manufacturing</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Ellwangen-Neunheim, Germany</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Manchester, England</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30"/>
        </w:trPr>
        <w:tc>
          <w:tcPr>
            <w:tcW w:w="9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Wolverhampton, England</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540"/>
        </w:trPr>
        <w:tc>
          <w:tcPr>
            <w:tcW w:w="4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Home &amp; Hardware Improvement</w:t>
            </w:r>
          </w:p>
        </w:tc>
        <w:tc>
          <w:tcPr>
            <w:tcW w:w="9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5"/>
        </w:trPr>
        <w:tc>
          <w:tcPr>
            <w:tcW w:w="92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980" w:type="dxa"/>
            <w:vAlign w:val="bottom"/>
          </w:tcPr>
          <w:p>
            <w:pPr>
              <w:spacing w:after="0"/>
              <w:rPr>
                <w:sz w:val="24"/>
                <w:szCs w:val="24"/>
                <w:color w:val="auto"/>
              </w:rPr>
            </w:pPr>
          </w:p>
        </w:tc>
        <w:tc>
          <w:tcPr>
            <w:tcW w:w="3920" w:type="dxa"/>
            <w:vAlign w:val="bottom"/>
            <w:gridSpan w:val="2"/>
          </w:tcPr>
          <w:p>
            <w:pPr>
              <w:ind w:left="1340"/>
              <w:spacing w:after="0"/>
              <w:rPr>
                <w:sz w:val="20"/>
                <w:szCs w:val="20"/>
                <w:color w:val="auto"/>
              </w:rPr>
            </w:pPr>
            <w:r>
              <w:rPr>
                <w:rFonts w:ascii="Arial" w:cs="Arial" w:eastAsia="Arial" w:hAnsi="Arial"/>
                <w:sz w:val="14"/>
                <w:szCs w:val="14"/>
                <w:b w:val="1"/>
                <w:bCs w:val="1"/>
                <w:color w:val="auto"/>
              </w:rPr>
              <w:t>Function / Use</w:t>
            </w: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Owned / Leased</w:t>
            </w:r>
          </w:p>
        </w:tc>
      </w:tr>
      <w:tr>
        <w:trPr>
          <w:trHeight w:val="182"/>
        </w:trPr>
        <w:tc>
          <w:tcPr>
            <w:tcW w:w="920" w:type="dxa"/>
            <w:vAlign w:val="bottom"/>
          </w:tcPr>
          <w:p>
            <w:pPr>
              <w:spacing w:after="0"/>
              <w:rPr>
                <w:sz w:val="15"/>
                <w:szCs w:val="15"/>
                <w:color w:val="auto"/>
              </w:rPr>
            </w:pPr>
          </w:p>
        </w:tc>
        <w:tc>
          <w:tcPr>
            <w:tcW w:w="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U.S.</w:t>
            </w:r>
          </w:p>
        </w:tc>
        <w:tc>
          <w:tcPr>
            <w:tcW w:w="2780" w:type="dxa"/>
            <w:vAlign w:val="bottom"/>
          </w:tcPr>
          <w:p>
            <w:pPr>
              <w:spacing w:after="0" w:line="182" w:lineRule="exact"/>
              <w:rPr>
                <w:sz w:val="20"/>
                <w:szCs w:val="20"/>
                <w:color w:val="auto"/>
              </w:rPr>
            </w:pPr>
            <w:r>
              <w:rPr>
                <w:rFonts w:ascii="Arial" w:cs="Arial" w:eastAsia="Arial" w:hAnsi="Arial"/>
                <w:sz w:val="18"/>
                <w:szCs w:val="18"/>
                <w:b w:val="1"/>
                <w:bCs w:val="1"/>
                <w:color w:val="auto"/>
              </w:rPr>
              <w:t>Locations</w:t>
            </w:r>
          </w:p>
        </w:tc>
        <w:tc>
          <w:tcPr>
            <w:tcW w:w="980" w:type="dxa"/>
            <w:vAlign w:val="bottom"/>
          </w:tcPr>
          <w:p>
            <w:pPr>
              <w:spacing w:after="0"/>
              <w:rPr>
                <w:sz w:val="15"/>
                <w:szCs w:val="15"/>
                <w:color w:val="auto"/>
              </w:rPr>
            </w:pPr>
          </w:p>
        </w:tc>
        <w:tc>
          <w:tcPr>
            <w:tcW w:w="35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Charlotte, North Carolina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 &amp; 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Denison, Texas</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 &amp; Distribution</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Mira Loma, California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Houston, Texas</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 &amp; 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Lititz, Pennsylvania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 &amp; 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Elkhart, Indiana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Birmingham, Alabama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2"/>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Dallas, Texas</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20"/>
        </w:trPr>
        <w:tc>
          <w:tcPr>
            <w:tcW w:w="9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Non-U.S. Locations</w:t>
            </w:r>
          </w:p>
        </w:tc>
        <w:tc>
          <w:tcPr>
            <w:tcW w:w="9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Brockville, Canada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Cobourg, Canada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Mexicali, Mexico</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Nogales, Mexico</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Shenzhen, China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Chia-Yi, Taiwan</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Subic Bay, Philippines</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Xiamen, China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30"/>
        </w:trPr>
        <w:tc>
          <w:tcPr>
            <w:tcW w:w="9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Xiolan, China</w:t>
            </w:r>
          </w:p>
        </w:tc>
        <w:tc>
          <w:tcPr>
            <w:tcW w:w="4900" w:type="dxa"/>
            <w:vAlign w:val="bottom"/>
            <w:gridSpan w:val="3"/>
          </w:tcPr>
          <w:p>
            <w:pPr>
              <w:ind w:left="98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365"/>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520" w:type="dxa"/>
            <w:vAlign w:val="bottom"/>
            <w:gridSpan w:val="2"/>
          </w:tcPr>
          <w:p>
            <w:pPr>
              <w:jc w:val="right"/>
              <w:ind w:right="2908"/>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 Supplies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3"/>
          </w:tcPr>
          <w:p>
            <w:pPr>
              <w:ind w:left="1380"/>
              <w:spacing w:after="0"/>
              <w:rPr>
                <w:sz w:val="20"/>
                <w:szCs w:val="20"/>
                <w:color w:val="auto"/>
              </w:rPr>
            </w:pPr>
            <w:r>
              <w:rPr>
                <w:rFonts w:ascii="Arial" w:cs="Arial" w:eastAsia="Arial" w:hAnsi="Arial"/>
                <w:sz w:val="14"/>
                <w:szCs w:val="14"/>
                <w:b w:val="1"/>
                <w:bCs w:val="1"/>
                <w:color w:val="auto"/>
              </w:rPr>
              <w:t>Function / Use</w:t>
            </w: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Owned / Leased</w:t>
            </w:r>
          </w:p>
        </w:tc>
      </w:tr>
      <w:tr>
        <w:trPr>
          <w:trHeight w:val="182"/>
        </w:trPr>
        <w:tc>
          <w:tcPr>
            <w:tcW w:w="920" w:type="dxa"/>
            <w:vAlign w:val="bottom"/>
          </w:tcPr>
          <w:p>
            <w:pPr>
              <w:spacing w:after="0"/>
              <w:rPr>
                <w:sz w:val="15"/>
                <w:szCs w:val="15"/>
                <w:color w:val="auto"/>
              </w:rPr>
            </w:pPr>
          </w:p>
        </w:tc>
        <w:tc>
          <w:tcPr>
            <w:tcW w:w="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U.S.</w:t>
            </w:r>
          </w:p>
        </w:tc>
        <w:tc>
          <w:tcPr>
            <w:tcW w:w="2480" w:type="dxa"/>
            <w:vAlign w:val="bottom"/>
          </w:tcPr>
          <w:p>
            <w:pPr>
              <w:spacing w:after="0" w:line="182" w:lineRule="exact"/>
              <w:rPr>
                <w:sz w:val="20"/>
                <w:szCs w:val="20"/>
                <w:color w:val="auto"/>
              </w:rPr>
            </w:pPr>
            <w:r>
              <w:rPr>
                <w:rFonts w:ascii="Arial" w:cs="Arial" w:eastAsia="Arial" w:hAnsi="Arial"/>
                <w:sz w:val="18"/>
                <w:szCs w:val="18"/>
                <w:b w:val="1"/>
                <w:bCs w:val="1"/>
                <w:color w:val="auto"/>
              </w:rPr>
              <w:t>Locations</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Noblesville, Indiana</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Bridgeton, Missouri</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Blacksburg, Virginia</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Edwardsville, Illinois</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2"/>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Daleville, Virginia</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20"/>
        </w:trPr>
        <w:tc>
          <w:tcPr>
            <w:tcW w:w="9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Non-U.S. Locations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Melle, Germany</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Melle, Germany</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Phnom Penh, Cambodia</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Coevorden, Netherlands</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Bogota, Colombia</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Leon, Mexico</w:t>
            </w:r>
          </w:p>
        </w:tc>
        <w:tc>
          <w:tcPr>
            <w:tcW w:w="1280" w:type="dxa"/>
            <w:vAlign w:val="bottom"/>
          </w:tcPr>
          <w:p>
            <w:pPr>
              <w:spacing w:after="0"/>
              <w:rPr>
                <w:sz w:val="18"/>
                <w:szCs w:val="18"/>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30"/>
        </w:trPr>
        <w:tc>
          <w:tcPr>
            <w:tcW w:w="9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Ambato, Ecuador</w:t>
            </w:r>
          </w:p>
        </w:tc>
        <w:tc>
          <w:tcPr>
            <w:tcW w:w="1280" w:type="dxa"/>
            <w:vAlign w:val="bottom"/>
          </w:tcPr>
          <w:p>
            <w:pPr>
              <w:spacing w:after="0"/>
              <w:rPr>
                <w:sz w:val="20"/>
                <w:szCs w:val="20"/>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540"/>
        </w:trPr>
        <w:tc>
          <w:tcPr>
            <w:tcW w:w="3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Home &amp; Garden</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5"/>
        </w:trPr>
        <w:tc>
          <w:tcPr>
            <w:tcW w:w="9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3"/>
          </w:tcPr>
          <w:p>
            <w:pPr>
              <w:ind w:left="1240"/>
              <w:spacing w:after="0"/>
              <w:rPr>
                <w:sz w:val="20"/>
                <w:szCs w:val="20"/>
                <w:color w:val="auto"/>
              </w:rPr>
            </w:pPr>
            <w:r>
              <w:rPr>
                <w:rFonts w:ascii="Arial" w:cs="Arial" w:eastAsia="Arial" w:hAnsi="Arial"/>
                <w:sz w:val="14"/>
                <w:szCs w:val="14"/>
                <w:b w:val="1"/>
                <w:bCs w:val="1"/>
                <w:color w:val="auto"/>
              </w:rPr>
              <w:t>Function / Use</w:t>
            </w: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Owned / Leased</w:t>
            </w:r>
          </w:p>
        </w:tc>
      </w:tr>
      <w:tr>
        <w:trPr>
          <w:trHeight w:val="182"/>
        </w:trPr>
        <w:tc>
          <w:tcPr>
            <w:tcW w:w="920" w:type="dxa"/>
            <w:vAlign w:val="bottom"/>
          </w:tcPr>
          <w:p>
            <w:pPr>
              <w:spacing w:after="0"/>
              <w:rPr>
                <w:sz w:val="15"/>
                <w:szCs w:val="15"/>
                <w:color w:val="auto"/>
              </w:rPr>
            </w:pPr>
          </w:p>
        </w:tc>
        <w:tc>
          <w:tcPr>
            <w:tcW w:w="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U.S.</w:t>
            </w:r>
          </w:p>
        </w:tc>
        <w:tc>
          <w:tcPr>
            <w:tcW w:w="2480" w:type="dxa"/>
            <w:vAlign w:val="bottom"/>
          </w:tcPr>
          <w:p>
            <w:pPr>
              <w:spacing w:after="0" w:line="182" w:lineRule="exact"/>
              <w:rPr>
                <w:sz w:val="20"/>
                <w:szCs w:val="20"/>
                <w:color w:val="auto"/>
              </w:rPr>
            </w:pPr>
            <w:r>
              <w:rPr>
                <w:rFonts w:ascii="Arial" w:cs="Arial" w:eastAsia="Arial" w:hAnsi="Arial"/>
                <w:sz w:val="18"/>
                <w:szCs w:val="18"/>
                <w:b w:val="1"/>
                <w:bCs w:val="1"/>
                <w:color w:val="auto"/>
              </w:rPr>
              <w:t>Locations</w:t>
            </w:r>
          </w:p>
        </w:tc>
        <w:tc>
          <w:tcPr>
            <w:tcW w:w="1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16"/>
        </w:trPr>
        <w:tc>
          <w:tcPr>
            <w:tcW w:w="9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St. Louis, Missouri</w:t>
            </w:r>
          </w:p>
        </w:tc>
        <w:tc>
          <w:tcPr>
            <w:tcW w:w="5200" w:type="dxa"/>
            <w:vAlign w:val="bottom"/>
            <w:gridSpan w:val="5"/>
          </w:tcPr>
          <w:p>
            <w:pPr>
              <w:ind w:left="1280"/>
              <w:spacing w:after="0"/>
              <w:rPr>
                <w:sz w:val="20"/>
                <w:szCs w:val="20"/>
                <w:color w:val="auto"/>
              </w:rPr>
            </w:pPr>
            <w:r>
              <w:rPr>
                <w:rFonts w:ascii="Arial" w:cs="Arial" w:eastAsia="Arial" w:hAnsi="Arial"/>
                <w:sz w:val="18"/>
                <w:szCs w:val="18"/>
                <w:color w:val="auto"/>
              </w:rPr>
              <w:t>Manufacturing</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r>
        <w:trPr>
          <w:trHeight w:val="230"/>
        </w:trPr>
        <w:tc>
          <w:tcPr>
            <w:tcW w:w="9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Edwardsville, Illinois</w:t>
            </w:r>
          </w:p>
        </w:tc>
        <w:tc>
          <w:tcPr>
            <w:tcW w:w="5200" w:type="dxa"/>
            <w:vAlign w:val="bottom"/>
            <w:gridSpan w:val="5"/>
          </w:tcPr>
          <w:p>
            <w:pPr>
              <w:ind w:left="1280"/>
              <w:spacing w:after="0"/>
              <w:rPr>
                <w:sz w:val="20"/>
                <w:szCs w:val="20"/>
                <w:color w:val="auto"/>
              </w:rPr>
            </w:pPr>
            <w:r>
              <w:rPr>
                <w:rFonts w:ascii="Arial" w:cs="Arial" w:eastAsia="Arial" w:hAnsi="Arial"/>
                <w:sz w:val="18"/>
                <w:szCs w:val="18"/>
                <w:color w:val="auto"/>
              </w:rPr>
              <w:t>Distribution</w:t>
            </w:r>
          </w:p>
        </w:tc>
        <w:tc>
          <w:tcPr>
            <w:tcW w:w="1340" w:type="dxa"/>
            <w:vAlign w:val="bottom"/>
          </w:tcPr>
          <w:p>
            <w:pPr>
              <w:spacing w:after="0"/>
              <w:rPr>
                <w:sz w:val="20"/>
                <w:szCs w:val="20"/>
                <w:color w:val="auto"/>
              </w:rPr>
            </w:pPr>
            <w:r>
              <w:rPr>
                <w:rFonts w:ascii="Arial" w:cs="Arial" w:eastAsia="Arial" w:hAnsi="Arial"/>
                <w:sz w:val="18"/>
                <w:szCs w:val="18"/>
                <w:color w:val="auto"/>
              </w:rPr>
              <w:t>Leased</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Auto Care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4080" w:type="dxa"/>
            <w:vAlign w:val="bottom"/>
            <w:gridSpan w:val="2"/>
          </w:tcPr>
          <w:p>
            <w:pPr>
              <w:ind w:left="1260"/>
              <w:spacing w:after="0"/>
              <w:rPr>
                <w:sz w:val="20"/>
                <w:szCs w:val="20"/>
                <w:color w:val="auto"/>
              </w:rPr>
            </w:pPr>
            <w:r>
              <w:rPr>
                <w:rFonts w:ascii="Arial" w:cs="Arial" w:eastAsia="Arial" w:hAnsi="Arial"/>
                <w:sz w:val="14"/>
                <w:szCs w:val="14"/>
                <w:b w:val="1"/>
                <w:bCs w:val="1"/>
                <w:color w:val="auto"/>
              </w:rPr>
              <w:t>Function / Use</w:t>
            </w:r>
          </w:p>
        </w:tc>
        <w:tc>
          <w:tcPr>
            <w:tcW w:w="980" w:type="dxa"/>
            <w:vAlign w:val="bottom"/>
          </w:tcPr>
          <w:p>
            <w:pPr>
              <w:spacing w:after="0"/>
              <w:rPr>
                <w:sz w:val="20"/>
                <w:szCs w:val="20"/>
                <w:color w:val="auto"/>
              </w:rPr>
            </w:pPr>
            <w:r>
              <w:rPr>
                <w:rFonts w:ascii="Arial" w:cs="Arial" w:eastAsia="Arial" w:hAnsi="Arial"/>
                <w:sz w:val="14"/>
                <w:szCs w:val="14"/>
                <w:b w:val="1"/>
                <w:bCs w:val="1"/>
                <w:color w:val="auto"/>
                <w:w w:val="90"/>
              </w:rPr>
              <w:t>Owned / Leased</w:t>
            </w:r>
          </w:p>
        </w:tc>
      </w:tr>
      <w:tr>
        <w:trPr>
          <w:trHeight w:val="182"/>
        </w:trPr>
        <w:tc>
          <w:tcPr>
            <w:tcW w:w="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U.S.</w:t>
            </w:r>
          </w:p>
        </w:tc>
        <w:tc>
          <w:tcPr>
            <w:tcW w:w="3960" w:type="dxa"/>
            <w:vAlign w:val="bottom"/>
          </w:tcPr>
          <w:p>
            <w:pPr>
              <w:spacing w:after="0" w:line="182" w:lineRule="exact"/>
              <w:rPr>
                <w:sz w:val="20"/>
                <w:szCs w:val="20"/>
                <w:color w:val="auto"/>
              </w:rPr>
            </w:pPr>
            <w:r>
              <w:rPr>
                <w:rFonts w:ascii="Arial" w:cs="Arial" w:eastAsia="Arial" w:hAnsi="Arial"/>
                <w:sz w:val="18"/>
                <w:szCs w:val="18"/>
                <w:b w:val="1"/>
                <w:bCs w:val="1"/>
                <w:color w:val="auto"/>
              </w:rPr>
              <w:t>Locations</w:t>
            </w:r>
          </w:p>
        </w:tc>
        <w:tc>
          <w:tcPr>
            <w:tcW w:w="342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Garland, Texas</w:t>
            </w:r>
          </w:p>
        </w:tc>
        <w:tc>
          <w:tcPr>
            <w:tcW w:w="4080" w:type="dxa"/>
            <w:vAlign w:val="bottom"/>
            <w:gridSpan w:val="2"/>
          </w:tcPr>
          <w:p>
            <w:pPr>
              <w:spacing w:after="0"/>
              <w:rPr>
                <w:sz w:val="20"/>
                <w:szCs w:val="20"/>
                <w:color w:val="auto"/>
              </w:rPr>
            </w:pPr>
            <w:r>
              <w:rPr>
                <w:rFonts w:ascii="Arial" w:cs="Arial" w:eastAsia="Arial" w:hAnsi="Arial"/>
                <w:sz w:val="18"/>
                <w:szCs w:val="18"/>
                <w:color w:val="auto"/>
              </w:rPr>
              <w:t>Manufacturing &amp; Distribution</w:t>
            </w:r>
          </w:p>
        </w:tc>
        <w:tc>
          <w:tcPr>
            <w:tcW w:w="98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Mentor, Ohio</w:t>
            </w:r>
          </w:p>
        </w:tc>
        <w:tc>
          <w:tcPr>
            <w:tcW w:w="4080" w:type="dxa"/>
            <w:vAlign w:val="bottom"/>
            <w:gridSpan w:val="2"/>
          </w:tcPr>
          <w:p>
            <w:pPr>
              <w:spacing w:after="0"/>
              <w:rPr>
                <w:sz w:val="20"/>
                <w:szCs w:val="20"/>
                <w:color w:val="auto"/>
              </w:rPr>
            </w:pPr>
            <w:r>
              <w:rPr>
                <w:rFonts w:ascii="Arial" w:cs="Arial" w:eastAsia="Arial" w:hAnsi="Arial"/>
                <w:sz w:val="18"/>
                <w:szCs w:val="18"/>
                <w:color w:val="auto"/>
              </w:rPr>
              <w:t>Manufacturing &amp; Distribution</w:t>
            </w:r>
          </w:p>
        </w:tc>
        <w:tc>
          <w:tcPr>
            <w:tcW w:w="980" w:type="dxa"/>
            <w:vAlign w:val="bottom"/>
          </w:tcPr>
          <w:p>
            <w:pPr>
              <w:spacing w:after="0"/>
              <w:rPr>
                <w:sz w:val="20"/>
                <w:szCs w:val="20"/>
                <w:color w:val="auto"/>
              </w:rPr>
            </w:pPr>
            <w:r>
              <w:rPr>
                <w:rFonts w:ascii="Arial" w:cs="Arial" w:eastAsia="Arial" w:hAnsi="Arial"/>
                <w:sz w:val="18"/>
                <w:szCs w:val="18"/>
                <w:color w:val="auto"/>
              </w:rPr>
              <w:t>Leased</w:t>
            </w:r>
          </w:p>
        </w:tc>
      </w:tr>
      <w:tr>
        <w:trPr>
          <w:trHeight w:val="212"/>
        </w:trPr>
        <w:tc>
          <w:tcPr>
            <w:tcW w:w="4520" w:type="dxa"/>
            <w:vAlign w:val="bottom"/>
            <w:gridSpan w:val="2"/>
          </w:tcPr>
          <w:p>
            <w:pPr>
              <w:spacing w:after="0"/>
              <w:rPr>
                <w:sz w:val="20"/>
                <w:szCs w:val="20"/>
                <w:color w:val="auto"/>
              </w:rPr>
            </w:pPr>
            <w:r>
              <w:rPr>
                <w:rFonts w:ascii="Arial" w:cs="Arial" w:eastAsia="Arial" w:hAnsi="Arial"/>
                <w:sz w:val="18"/>
                <w:szCs w:val="18"/>
                <w:color w:val="auto"/>
              </w:rPr>
              <w:t>Painesville, Ohio</w:t>
            </w:r>
          </w:p>
        </w:tc>
        <w:tc>
          <w:tcPr>
            <w:tcW w:w="4080" w:type="dxa"/>
            <w:vAlign w:val="bottom"/>
            <w:gridSpan w:val="2"/>
          </w:tcPr>
          <w:p>
            <w:pPr>
              <w:spacing w:after="0"/>
              <w:rPr>
                <w:sz w:val="20"/>
                <w:szCs w:val="20"/>
                <w:color w:val="auto"/>
              </w:rPr>
            </w:pPr>
            <w:r>
              <w:rPr>
                <w:rFonts w:ascii="Arial" w:cs="Arial" w:eastAsia="Arial" w:hAnsi="Arial"/>
                <w:sz w:val="18"/>
                <w:szCs w:val="18"/>
                <w:color w:val="auto"/>
              </w:rPr>
              <w:t>Manufacturing &amp; Distribution</w:t>
            </w:r>
          </w:p>
        </w:tc>
        <w:tc>
          <w:tcPr>
            <w:tcW w:w="980" w:type="dxa"/>
            <w:vAlign w:val="bottom"/>
          </w:tcPr>
          <w:p>
            <w:pPr>
              <w:spacing w:after="0"/>
              <w:rPr>
                <w:sz w:val="20"/>
                <w:szCs w:val="20"/>
                <w:color w:val="auto"/>
              </w:rPr>
            </w:pPr>
            <w:r>
              <w:rPr>
                <w:rFonts w:ascii="Arial" w:cs="Arial" w:eastAsia="Arial" w:hAnsi="Arial"/>
                <w:sz w:val="18"/>
                <w:szCs w:val="18"/>
                <w:color w:val="auto"/>
              </w:rPr>
              <w:t>Owned</w:t>
            </w:r>
          </w:p>
        </w:tc>
      </w:tr>
      <w:tr>
        <w:trPr>
          <w:trHeight w:val="220"/>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Non-U.S. Locations</w:t>
            </w:r>
          </w:p>
        </w:tc>
        <w:tc>
          <w:tcPr>
            <w:tcW w:w="3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Ebbw Vale, Gwent, Wales</w:t>
            </w:r>
          </w:p>
        </w:tc>
        <w:tc>
          <w:tcPr>
            <w:tcW w:w="4080" w:type="dxa"/>
            <w:vAlign w:val="bottom"/>
            <w:gridSpan w:val="2"/>
          </w:tcPr>
          <w:p>
            <w:pPr>
              <w:spacing w:after="0"/>
              <w:rPr>
                <w:sz w:val="20"/>
                <w:szCs w:val="20"/>
                <w:color w:val="auto"/>
              </w:rPr>
            </w:pPr>
            <w:r>
              <w:rPr>
                <w:rFonts w:ascii="Arial" w:cs="Arial" w:eastAsia="Arial" w:hAnsi="Arial"/>
                <w:sz w:val="18"/>
                <w:szCs w:val="18"/>
                <w:color w:val="auto"/>
              </w:rPr>
              <w:t>Manufacturing &amp; Distribution</w:t>
            </w:r>
          </w:p>
        </w:tc>
        <w:tc>
          <w:tcPr>
            <w:tcW w:w="98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Brentford, Middlesex, England</w:t>
            </w:r>
          </w:p>
        </w:tc>
        <w:tc>
          <w:tcPr>
            <w:tcW w:w="40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980" w:type="dxa"/>
            <w:vAlign w:val="bottom"/>
          </w:tcPr>
          <w:p>
            <w:pPr>
              <w:spacing w:after="0"/>
              <w:rPr>
                <w:sz w:val="20"/>
                <w:szCs w:val="20"/>
                <w:color w:val="auto"/>
              </w:rPr>
            </w:pPr>
            <w:r>
              <w:rPr>
                <w:rFonts w:ascii="Arial" w:cs="Arial" w:eastAsia="Arial" w:hAnsi="Arial"/>
                <w:sz w:val="18"/>
                <w:szCs w:val="18"/>
                <w:color w:val="auto"/>
              </w:rPr>
              <w:t>Leased</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Tonbridge, Kent, England</w:t>
            </w:r>
          </w:p>
        </w:tc>
        <w:tc>
          <w:tcPr>
            <w:tcW w:w="40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980" w:type="dxa"/>
            <w:vAlign w:val="bottom"/>
          </w:tcPr>
          <w:p>
            <w:pPr>
              <w:spacing w:after="0"/>
              <w:rPr>
                <w:sz w:val="20"/>
                <w:szCs w:val="20"/>
                <w:color w:val="auto"/>
              </w:rPr>
            </w:pPr>
            <w:r>
              <w:rPr>
                <w:rFonts w:ascii="Arial" w:cs="Arial" w:eastAsia="Arial" w:hAnsi="Arial"/>
                <w:sz w:val="18"/>
                <w:szCs w:val="18"/>
                <w:color w:val="auto"/>
              </w:rPr>
              <w:t>Leased</w:t>
            </w: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own, operate or contract with third parties to operate distribution centers, sales offices and administrative offices throughout the world in support of our business. We lease our administrative headquarters and primary research and development facility located in Middleton, Wisconsin. We believe that our existing facilities are suitable and adequate for our present purposes and that the productive capacity in such facilities is substantially being utilized or we have plans to utilize 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defendant in various matters of litigation generally arising out of the ordinary course of business.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do not believe that any matters or proceedings presently pending will have a material adverse effect on our results of operations, financial condition, liquidity or cash flows.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have provided for the estimated costs associated with environmental remediation activities at some of our current and former manufacturing sites. We believe that any additional liability that may result from the resolution of these matters in excess of the amounts provided of approximately $4.4 million will not have a material adverse effect on our financial condition, results of operations or cash flows.</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We are subject to various federal, state and local environmental laws and regulations. We believe we are in substantial compliance with all such environmental laws that are applicable to our operations. See also the discussion captioned “—Governmental Regulations and Environmental Matters.”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Board of Directors of Spectrum Brands consists of Nathan Fagre and John Beattie. Mr. Fagre has served as one of Spectrum Brands’ directors since April 2012. Mr. Fagre has also served as Spectrum Brands’ Senior Vice President, General Counsel and Secretary since May 2012, and Spectrum Brands’ Vice President, General Counsel and Secretary since January 2011. Mr. Beattie has served as one of Spectrum Brands’ directors since April 2012. Mr. Beattie has also served as Spectrum Brands’ Vice President and Treasurer since 2004 and as Division Vice President and Treasurer since 2000. Neither Mr. Fagre nor Mr. Beattie is independent.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directors named above, Spectrum Brands’ executive officers consist of the following persons: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1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380" w:type="dxa"/>
            <w:vAlign w:val="bottom"/>
            <w:vMerge w:val="restart"/>
          </w:tcPr>
          <w:p>
            <w:pPr>
              <w:spacing w:after="0" w:line="201" w:lineRule="exact"/>
              <w:rPr>
                <w:sz w:val="20"/>
                <w:szCs w:val="20"/>
                <w:color w:val="auto"/>
              </w:rPr>
            </w:pPr>
            <w:r>
              <w:rPr>
                <w:rFonts w:ascii="Arial" w:cs="Arial" w:eastAsia="Arial" w:hAnsi="Arial"/>
                <w:sz w:val="18"/>
                <w:szCs w:val="18"/>
                <w:color w:val="auto"/>
              </w:rPr>
              <w:t>Executive Officer and President</w:t>
            </w:r>
          </w:p>
        </w:tc>
        <w:tc>
          <w:tcPr>
            <w:tcW w:w="0" w:type="dxa"/>
            <w:vAlign w:val="bottom"/>
          </w:tcPr>
          <w:p>
            <w:pPr>
              <w:spacing w:after="0" w:line="20" w:lineRule="exact"/>
              <w:rPr>
                <w:sz w:val="1"/>
                <w:szCs w:val="1"/>
                <w:color w:val="auto"/>
              </w:rPr>
            </w:pPr>
          </w:p>
        </w:tc>
      </w:tr>
      <w:tr>
        <w:trPr>
          <w:trHeight w:val="182"/>
        </w:trPr>
        <w:tc>
          <w:tcPr>
            <w:tcW w:w="2260" w:type="dxa"/>
            <w:vAlign w:val="bottom"/>
            <w:gridSpan w:val="2"/>
          </w:tcPr>
          <w:p>
            <w:pPr>
              <w:spacing w:after="0" w:line="182" w:lineRule="exact"/>
              <w:rPr>
                <w:sz w:val="20"/>
                <w:szCs w:val="20"/>
                <w:color w:val="auto"/>
              </w:rPr>
            </w:pPr>
            <w:r>
              <w:rPr>
                <w:rFonts w:ascii="Arial" w:cs="Arial" w:eastAsia="Arial" w:hAnsi="Arial"/>
                <w:sz w:val="18"/>
                <w:szCs w:val="18"/>
                <w:color w:val="auto"/>
              </w:rPr>
              <w:t>Andreas Rouvé</w:t>
            </w:r>
          </w:p>
        </w:tc>
        <w:tc>
          <w:tcPr>
            <w:tcW w:w="900" w:type="dxa"/>
            <w:vAlign w:val="bottom"/>
            <w:vMerge w:val="continue"/>
          </w:tcPr>
          <w:p>
            <w:pPr>
              <w:spacing w:after="0"/>
              <w:rPr>
                <w:sz w:val="15"/>
                <w:szCs w:val="15"/>
                <w:color w:val="auto"/>
              </w:rPr>
            </w:pPr>
          </w:p>
        </w:tc>
        <w:tc>
          <w:tcPr>
            <w:tcW w:w="500" w:type="dxa"/>
            <w:vAlign w:val="bottom"/>
          </w:tcPr>
          <w:p>
            <w:pPr>
              <w:spacing w:after="0" w:line="182" w:lineRule="exact"/>
              <w:rPr>
                <w:sz w:val="20"/>
                <w:szCs w:val="20"/>
                <w:color w:val="auto"/>
              </w:rPr>
            </w:pPr>
            <w:r>
              <w:rPr>
                <w:rFonts w:ascii="Arial" w:cs="Arial" w:eastAsia="Arial" w:hAnsi="Arial"/>
                <w:sz w:val="18"/>
                <w:szCs w:val="18"/>
                <w:color w:val="auto"/>
              </w:rPr>
              <w:t>Chief</w:t>
            </w:r>
          </w:p>
        </w:tc>
        <w:tc>
          <w:tcPr>
            <w:tcW w:w="3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4780" w:type="dxa"/>
            <w:vAlign w:val="bottom"/>
            <w:gridSpan w:val="3"/>
          </w:tcPr>
          <w:p>
            <w:pPr>
              <w:ind w:left="900"/>
              <w:spacing w:after="0"/>
              <w:rPr>
                <w:sz w:val="20"/>
                <w:szCs w:val="20"/>
                <w:color w:val="auto"/>
              </w:rPr>
            </w:pPr>
            <w:r>
              <w:rPr>
                <w:rFonts w:ascii="Arial" w:cs="Arial" w:eastAsia="Arial" w:hAnsi="Arial"/>
                <w:sz w:val="18"/>
                <w:szCs w:val="18"/>
                <w:color w:val="auto"/>
                <w:w w:val="88"/>
              </w:rPr>
              <w:t>Senior Vice President, General Counsel and Secretary</w:t>
            </w: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4780" w:type="dxa"/>
            <w:vAlign w:val="bottom"/>
            <w:gridSpan w:val="3"/>
          </w:tcPr>
          <w:p>
            <w:pPr>
              <w:ind w:left="900"/>
              <w:spacing w:after="0"/>
              <w:rPr>
                <w:sz w:val="20"/>
                <w:szCs w:val="20"/>
                <w:color w:val="auto"/>
              </w:rPr>
            </w:pPr>
            <w:r>
              <w:rPr>
                <w:rFonts w:ascii="Arial" w:cs="Arial" w:eastAsia="Arial" w:hAnsi="Arial"/>
                <w:sz w:val="18"/>
                <w:szCs w:val="18"/>
                <w:color w:val="auto"/>
                <w:w w:val="92"/>
              </w:rPr>
              <w:t>Executive Vice President and Chief Financial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Andreas Rouvé </w:t>
      </w:r>
      <w:r>
        <w:rPr>
          <w:rFonts w:ascii="Arial" w:cs="Arial" w:eastAsia="Arial" w:hAnsi="Arial"/>
          <w:sz w:val="17"/>
          <w:szCs w:val="17"/>
          <w:color w:val="auto"/>
        </w:rPr>
        <w:t>(age 54) was appointed as Spectrum Brands, Chief Executive Officer, effective April 1, 2015, and he previously held the position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Operating Officer, effective February 2014, until his appointment to Chief Executive Officer. Mr. Rouvé previously held the position of President of Spectrum Brands international activities beginning in January 2013. Previously, commencing in 2007, he served as Senior Vice President and Managing Director of Spectrum Brands’ European Battery and Personal Care business and subsequently led the integration of the Home Appliances and Pet Supplies European businesses in 2010-2011. Mr. Rouvé joined Spectrum Brands in 2002 as Chief Financial Officer of the European Battery division. Prior to that, he worked 13 years with VARTA AG in a variety of management positions, including Chief Financial Officer of VARTA Portable Batteries from 1999 to 2002, Managing Director Asia from 1997 to 1999, and Director of Finance of 3C Alliance L.L.P., a U.S. joint venture of VARTA, Duracell, and Toshiba, from 1995 to 1997. Mr. Rouvé holds a Master’s of Business Administration (Diplom-Kaufmann) from the University of Mannheim (Germany) and a Doctor of Economics and Social Science (Dr. rer. soc. oec.) from the University of Linz (Austria).</w:t>
      </w:r>
    </w:p>
    <w:p>
      <w:pPr>
        <w:spacing w:after="0" w:line="18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John Beattie </w:t>
      </w:r>
      <w:r>
        <w:rPr>
          <w:rFonts w:ascii="Arial" w:cs="Arial" w:eastAsia="Arial" w:hAnsi="Arial"/>
          <w:sz w:val="18"/>
          <w:szCs w:val="18"/>
          <w:color w:val="auto"/>
        </w:rPr>
        <w:t>(age 61) has served as Spectrum Brands’ Vice President and Treasurer since 2004 and as Division Vice President and Treasurer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 Mr. Beattie joined us in 1980 and has held numerous other positions with us. Mr. Beattie started his career at the Coca-Cola Bottling Company of Mid-America. Mr. Beattie holds a Bachelor of Arts degree in political science, a Bachelor of Business Administration degree in accounting and a Master of Business Administration degree in finance from the University of Wisconsin. Mr. Beattie’s experience with the operations of Spectrum Brands has led us to conclude that he should be a member of the board of directors of Spectrum Brands.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Nathan Fagre </w:t>
      </w:r>
      <w:r>
        <w:rPr>
          <w:rFonts w:ascii="Arial" w:cs="Arial" w:eastAsia="Arial" w:hAnsi="Arial"/>
          <w:sz w:val="17"/>
          <w:szCs w:val="17"/>
          <w:color w:val="auto"/>
        </w:rPr>
        <w:t>(age 60) was appointed Spectrum Brands’ Vice President, General Counsel and Secretary in January 2011, and was promoted to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General Counsel and Secretary in May 2012. He previously had served as Senior Vice President, General Counsel and Secretary for ValueVision Media, Inc. from May 2000 until January 2011. Prior to that time, he had served as Senior Vice President, General Counsel and Secretary for the exploration and production division of Occidental Petroleum Corporation, from May 1995 until April 2000. Before joining Occidental Petroleum Corporation, Mr. Fagre had been in private law practice with Sullivan &amp; Cromwell, LLP and Gibson, Dunn &amp; Crutcher, LLP. Mr. Fagre graduated with a bachelor’s degree from Harvard College in 1977, received a master of philosophy (M.Phil.) degree in international relations from Oxford University in 1979, and received a J.D. from Harvard Law School in 1982. Mr. Fagre served as chairman of the Electronic Retailing Association from 2008-2009 after becoming a director of the association in 2004. Mr. Fagre currently serves as a member of the board of directors of the Greater Madison Chamber of Commerce since 2012, and as a director of Shaser, Inc., a medical device company, since 2013. Mr. Fagre’s experience with the operations of Spectrum Brands has led us to conclude that he should be a member of the board of directors of Spectrum Brands.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Douglas Martin </w:t>
      </w:r>
      <w:r>
        <w:rPr>
          <w:rFonts w:ascii="Arial" w:cs="Arial" w:eastAsia="Arial" w:hAnsi="Arial"/>
          <w:sz w:val="17"/>
          <w:szCs w:val="17"/>
          <w:color w:val="auto"/>
        </w:rPr>
        <w:t>(age 53) was appointed Spectrum Brands’ Executive Vice President and Chief Financial Officer in September 2014. Prior to joining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Mr. Martin served from September 2012 to August 2014 as Executive Vice President and Chief Financial Officer of Newell Rubbermaid Inc., a global marketer of consumer and commercial products, including writing, home solutions, tools, commercial products, and baby &amp; parenting brands. Mr. Martin was employed by Newell Rubbermaid Inc. since 1987, serving in a variety of senior financial roles, including Deputy Chief Financial Officer from February 2012 to September 2012, Vice President of Finance—Newell Consumer from November 2011 to February 2012, Vice President of Finance—Office Products from December 2007 to November 2011, and Vice President and Treasurer from June 2002 to December 2007. Mr. Martin began his career with KPMG LLP, holds a bachelor’s degree in accounting from Rockford College, Illinois, and is a Certified Public Accountant.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compensation programs are administered by the Compensation Committee of SB Holdings. Solely for the purposes of this section, unless otherwise indicated, references to the “Compensation Committee” refer to such committee and references to the “Company” refer to SB Holdings and “we” and “us” and “our” refer to SB Holdings and its consolidated subsidiaries.</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Our compensation programs are designed to attract and retain highly qualified executives, to align the compensation paid to executives with the business strategies of our Company, and to align the interests of our executives with the interests of our stockholders. These programs are based on our “pay-for-performance” philosophy in which variable compensation represents a majority of an executive’s potential compensation.</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terms of our Fiscal 2015 performance, we nearly achieved our Company-wide adjusted EBITDA target as determined for our performance plans and slightly over-achieved our Company-wide adjusted free cash flow target as determined for our performance plans. Management maintained its disciplined focus on cost controls during the year, while working to integrate four acquisitions, invest for future growth, and overcome significant negative foreign exchange trends.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Compensation decisions for the named executive officers (“NEOs”) in Fiscal 2015 continued our philosophy of pay-for-performance and our focus on the corporate goals of increased growth, free cash flow generation, and building for superior long-term shareholder returns. During the year, our former chief executive officer departed our Company and the Compensation Committee negotiated a new employment agreement and compensation terms with Andreas Rouvé, who was internally promoted from his previous position as Chief Operating Officer. The Compensation Committee’s compensation philosophy guided the compensation arrangements for Mr. Rouvé, with a strong weighting of total compensation on performance-based incentives. During the time periods of Fiscal 2014 and Fiscal 2015, the overall levels of executive compensation have been reduced from previous levels.</w:t>
      </w:r>
    </w:p>
    <w:p>
      <w:pPr>
        <w:spacing w:after="0" w:line="16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Fiscal 2015, the Compensation Committee established the following incentive programs for the named executive officers and other officers and key employees:</w:t>
      </w:r>
    </w:p>
    <w:p>
      <w:pPr>
        <w:spacing w:after="0" w:line="76"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annual cash incentive bonus plan, tied to Board-approved adjusted EBITDA and free cash flow targets;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annual equity incentive plan, tied to the same Board-approved targets for adjusted EBITDA and free cash flow; and</w:t>
      </w:r>
    </w:p>
    <w:p>
      <w:pPr>
        <w:spacing w:after="0" w:line="130"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Spectrum $2B Plan, a two-year superior achievement incentive program for Fiscal 2015 and 2016, designed to provide incentives for the NEOs and key members of management to achieve stretch goals over the two years in the areas of adjusted EBITDA, adjusted free cash flow and adjusted earnings per share.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establishing our compensation programs, our Compensation Committee obtains the advice of its independent compensation consultant, Lyons, Benenson &amp; Company Inc. (“LB &amp; Co.”), and evaluates the Company’s programs with reference to a peer group of 15 companies, as specified in the section titled “</w:t>
      </w:r>
      <w:r>
        <w:rPr>
          <w:rFonts w:ascii="Arial" w:cs="Arial" w:eastAsia="Arial" w:hAnsi="Arial"/>
          <w:sz w:val="18"/>
          <w:szCs w:val="18"/>
          <w:i w:val="1"/>
          <w:iCs w:val="1"/>
          <w:color w:val="auto"/>
        </w:rPr>
        <w:t>Role of Committee-Retained Consultants</w:t>
      </w:r>
      <w:r>
        <w:rPr>
          <w:rFonts w:ascii="Arial" w:cs="Arial" w:eastAsia="Arial" w:hAnsi="Arial"/>
          <w:sz w:val="18"/>
          <w:szCs w:val="18"/>
          <w:color w:val="auto"/>
        </w:rPr>
        <w:t>.”</w:t>
      </w:r>
    </w:p>
    <w:p>
      <w:pPr>
        <w:spacing w:after="0" w:line="181"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At our 2014 Annual Meeting of Stockholders (the “2014 Annual Meeting”), our stockholders approved, on an advisory basis, the compensation of the Company’s named executive officers as disclosed in the Executive Compensation tables, and related narrative disclosure in the proxy statement for the 2014 Annual Meeting. Our compensation practices as discussed herein are materially consistent with those discussed in the proxy statement for the 2014 Annual Meeting. Additionally, at our 2011 Annual Meeting of Stockholders, our stockholders held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separate vote, on an advisory basis, relating to the frequency of the advisory vote on the compensation of the Company’s named executive officers, pursuant to which our stockholders indicated their preference that such vote be held every three years, which was the frequency recommended by the Board of Directors. The next stockholder advisory vote on executive compensation, as well as the next advisory vote relating to the frequency of the advisory vote on executive compensation, will be held at the Company’s 2017 Annual Meeting of Stockholders.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Named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named executive officers during Fiscal 2015 consisted of the following persons: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1560" w:type="dxa"/>
            <w:vAlign w:val="bottom"/>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900" w:type="dxa"/>
            <w:vAlign w:val="bottom"/>
            <w:gridSpan w:val="3"/>
          </w:tcPr>
          <w:p>
            <w:pPr>
              <w:ind w:left="1320"/>
              <w:spacing w:after="0"/>
              <w:rPr>
                <w:sz w:val="20"/>
                <w:szCs w:val="20"/>
                <w:color w:val="auto"/>
              </w:rPr>
            </w:pPr>
            <w:r>
              <w:rPr>
                <w:rFonts w:ascii="Arial" w:cs="Arial" w:eastAsia="Arial" w:hAnsi="Arial"/>
                <w:sz w:val="14"/>
                <w:szCs w:val="14"/>
                <w:b w:val="1"/>
                <w:bCs w:val="1"/>
                <w:color w:val="auto"/>
              </w:rPr>
              <w:t>Position</w:t>
            </w:r>
          </w:p>
        </w:tc>
      </w:tr>
      <w:tr>
        <w:trPr>
          <w:trHeight w:val="182"/>
        </w:trPr>
        <w:tc>
          <w:tcPr>
            <w:tcW w:w="1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Andreas Rouvé</w:t>
            </w:r>
          </w:p>
        </w:tc>
        <w:tc>
          <w:tcPr>
            <w:tcW w:w="1320" w:type="dxa"/>
            <w:vAlign w:val="bottom"/>
          </w:tcPr>
          <w:p>
            <w:pPr>
              <w:spacing w:after="0"/>
              <w:rPr>
                <w:sz w:val="15"/>
                <w:szCs w:val="15"/>
                <w:color w:val="auto"/>
              </w:rPr>
            </w:pPr>
          </w:p>
        </w:tc>
        <w:tc>
          <w:tcPr>
            <w:tcW w:w="5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Chief</w:t>
            </w:r>
          </w:p>
        </w:tc>
        <w:tc>
          <w:tcPr>
            <w:tcW w:w="4080" w:type="dxa"/>
            <w:vAlign w:val="bottom"/>
          </w:tcPr>
          <w:p>
            <w:pPr>
              <w:spacing w:after="0" w:line="182" w:lineRule="exact"/>
              <w:rPr>
                <w:sz w:val="20"/>
                <w:szCs w:val="20"/>
                <w:color w:val="auto"/>
              </w:rPr>
            </w:pPr>
            <w:r>
              <w:rPr>
                <w:rFonts w:ascii="Arial" w:cs="Arial" w:eastAsia="Arial" w:hAnsi="Arial"/>
                <w:sz w:val="18"/>
                <w:szCs w:val="18"/>
                <w:color w:val="auto"/>
              </w:rPr>
              <w:t>Executive Officer and President</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Douglas L. Martin</w:t>
            </w:r>
          </w:p>
        </w:tc>
        <w:tc>
          <w:tcPr>
            <w:tcW w:w="5900" w:type="dxa"/>
            <w:vAlign w:val="bottom"/>
            <w:gridSpan w:val="3"/>
          </w:tcPr>
          <w:p>
            <w:pPr>
              <w:ind w:left="13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Nathan E. Fagre</w:t>
            </w:r>
          </w:p>
        </w:tc>
        <w:tc>
          <w:tcPr>
            <w:tcW w:w="5900" w:type="dxa"/>
            <w:vAlign w:val="bottom"/>
            <w:gridSpan w:val="3"/>
          </w:tcPr>
          <w:p>
            <w:pPr>
              <w:ind w:left="132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Stacey L. Neu</w:t>
            </w:r>
          </w:p>
        </w:tc>
        <w:tc>
          <w:tcPr>
            <w:tcW w:w="5900" w:type="dxa"/>
            <w:vAlign w:val="bottom"/>
            <w:gridSpan w:val="3"/>
          </w:tcPr>
          <w:p>
            <w:pPr>
              <w:ind w:left="1320"/>
              <w:spacing w:after="0"/>
              <w:rPr>
                <w:sz w:val="20"/>
                <w:szCs w:val="20"/>
                <w:color w:val="auto"/>
              </w:rPr>
            </w:pPr>
            <w:r>
              <w:rPr>
                <w:rFonts w:ascii="Arial" w:cs="Arial" w:eastAsia="Arial" w:hAnsi="Arial"/>
                <w:sz w:val="18"/>
                <w:szCs w:val="18"/>
                <w:color w:val="auto"/>
              </w:rPr>
              <w:t>Senior Vice President of Human Resources</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David R. Lumley</w:t>
            </w:r>
          </w:p>
        </w:tc>
        <w:tc>
          <w:tcPr>
            <w:tcW w:w="5900" w:type="dxa"/>
            <w:vAlign w:val="bottom"/>
            <w:gridSpan w:val="3"/>
          </w:tcPr>
          <w:p>
            <w:pPr>
              <w:ind w:left="1320"/>
              <w:spacing w:after="0"/>
              <w:rPr>
                <w:sz w:val="20"/>
                <w:szCs w:val="20"/>
                <w:color w:val="auto"/>
              </w:rPr>
            </w:pPr>
            <w:r>
              <w:rPr>
                <w:rFonts w:ascii="Arial" w:cs="Arial" w:eastAsia="Arial" w:hAnsi="Arial"/>
                <w:sz w:val="18"/>
                <w:szCs w:val="18"/>
                <w:color w:val="auto"/>
              </w:rPr>
              <w:t>Former Chief Executive Officer and President</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Anthony L. Genito</w:t>
            </w:r>
          </w:p>
        </w:tc>
        <w:tc>
          <w:tcPr>
            <w:tcW w:w="5900" w:type="dxa"/>
            <w:vAlign w:val="bottom"/>
            <w:gridSpan w:val="3"/>
          </w:tcPr>
          <w:p>
            <w:pPr>
              <w:ind w:left="1320"/>
              <w:spacing w:after="0"/>
              <w:rPr>
                <w:sz w:val="20"/>
                <w:szCs w:val="20"/>
                <w:color w:val="auto"/>
              </w:rPr>
            </w:pPr>
            <w:r>
              <w:rPr>
                <w:rFonts w:ascii="Arial" w:cs="Arial" w:eastAsia="Arial" w:hAnsi="Arial"/>
                <w:sz w:val="18"/>
                <w:szCs w:val="18"/>
                <w:color w:val="auto"/>
                <w:w w:val="91"/>
              </w:rPr>
              <w:t>Former Executive Vice President and Chief Accounting Officer</w:t>
            </w:r>
          </w:p>
        </w:tc>
      </w:tr>
    </w:tbl>
    <w:p>
      <w:pPr>
        <w:spacing w:after="0" w:line="20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During Fiscal 2015, two of the named executive officers, Mr. Lumley and Mr. Genito, left the Company but because of their positions and overall compensation levels, they remained as named executive officers for the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Committee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Compensation Committee is responsible for developing, adopting, reviewing, and maintaining the Company’s executive compensation programs in order to ensure that they continue to benefit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Compensation Considerations</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Company pursues several objectives in determining its executive compensation programs. It seeks to attract and retain highly qualified executives and ensure continuity of senior management for the Company as a whole and for each of the Company’s business segments, to the extent consistent with the overall objectives and circumstances of the Company. It seeks to align the compensation paid to our executives with the overall business strategies of the Company while leaving the flexibility necessary to respond to changing business priorities and circumstances. It also seeks to align the interests of our executives with those of our stockholders and seeks to reward our executives when they perform in a manner that creates value for our stockholders. In order to carry out this function, the Compensation Committee:</w:t>
      </w:r>
    </w:p>
    <w:p>
      <w:pPr>
        <w:spacing w:after="0" w:line="84" w:lineRule="exact"/>
        <w:rPr>
          <w:sz w:val="20"/>
          <w:szCs w:val="20"/>
          <w:color w:val="auto"/>
        </w:rPr>
      </w:pPr>
    </w:p>
    <w:p>
      <w:pPr>
        <w:ind w:left="900" w:right="46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Considers the advice of the independent compensation consultant engaged to advise on executive compensation issues and program design, including advising on the Company’s compensation program as it compares to similar companies;</w:t>
      </w:r>
    </w:p>
    <w:p>
      <w:pPr>
        <w:spacing w:after="0" w:line="75"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Reviews compensation summaries for each named executive officer at least once a year, including the compensation and benefit values offered to each executive, accumulated value of equity and other past compensation awards, and other contributors to compensation;</w:t>
      </w:r>
    </w:p>
    <w:p>
      <w:pPr>
        <w:spacing w:after="0" w:line="51"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Consults with our Chief Executive Officer and other management personnel and Company consultants, including our Senior Vice President of Human Resources, in regards to compensation matters and periodically meets in executive session without management to evaluate management’s input; and</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Solicits comments and concurrence from other board members regarding its recommendations and actions at the Company’s regularly scheduled board meetings.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on Performance Based Compensation</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Compensation Committee has designed the Company’s executive compensation programs so that, at target levels of performance, a significant portion of the value of each executive’s annual compensation (consisting of salary and incentive awards) is based on the Company’s achievement of performance objectives set by the Compensation Committee. We believe that a combination of annual fixed base pay and incentive performance-based pay provides our named executive officers with an appropriate mix of current cash compensation and performance compensation. However, in applying these compensation programs to both individual and Company circumstances, the percentage of annual compensation based on the Company’s achievement of performance objectives set by the Compensation Committee varies by individual, and the Compensation Committee is free to design compensation programs that provide for target-level performance-based compensation to be an amount greater than, equal to, or less than 50% of total annual compensation. For example, for Fiscal 2016, the percentage of annual compensation based on the Company’s achievement of performance objectives (set by the Compensation Committee) for the named executive officers is expected to range from 83% to 90%. In addition, to highlight the alignment of the incentive plans with stockholder interests, all of the Company’s equity-based incentive programs are completely performance-based plans.</w:t>
      </w:r>
    </w:p>
    <w:p>
      <w:pPr>
        <w:spacing w:after="0" w:line="16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remainder of each executive’s compensation is made up of amounts that do not vary based on performance. For all named executive officers, these non-performance based amounts are set forth in such executive’s employment agreement or written terms of employment, as described below, subject to annual review and potential increase by the Compensation Committee. These amounts are determined by the Compensation Committee taking into account current market conditions, the Company’s financial condition at the time such compensation levels are determined, compensation levels for similarly situated executives with other companies, experience level, and the duties and responsibilities of such executive’s position.</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 component of incentive compensation also consists of multi-year programs. We believe that awards that have multi-year performance periods and that vest over time enhance the stability of our senior management team and provide greater incentives for our named executive officers to remain at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Committee-Retained Consultants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Fiscal 2015, our Compensation Committee retained an outside consultant, LB &amp; Co., to assist us in formulating and evaluating executive and director compensation programs. During the past year, the Compensation Committee, directly or through our Senior Vice President of Human Resources, periodically requested LB &amp; Co. to:</w:t>
      </w:r>
    </w:p>
    <w:p>
      <w:pPr>
        <w:spacing w:after="0" w:line="87"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comparative market data for our peer group, and other groups on request, with respect to compensation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Analyze our compensation and benefit programs relative to our peer group;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Advise the Compensation Committee on compensation matters and management proposals with respect to compensation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Assist in the preparation of this report and the compensation tables provided herewith;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request, participate in meetings of the Compensation Committee.</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order to encourage an independent view point, the Compensation Committee and its members had access to LB &amp; Co. at any time without management present and have consulted from time to time with LB &amp; Co. without management present.</w:t>
      </w:r>
    </w:p>
    <w:p>
      <w:pPr>
        <w:spacing w:after="0" w:line="170"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LB &amp; Co., with input from management and the Compensation Committee, developed a peer group of companies based on a variety of criteria, including type of business, revenue, assets and market capitalization. The composition of this peer group is reviewed annually by the Compensation Committee and the compensation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consultant and, if appropriate, revised, based on changes in business orientation of peer group companies, changes in financial size or performance of the Company and the peer group companies, and merger, acquisition, spin-off or bankruptcy of companies in the peer group. At the end of Fiscal 2015, the peer group utilized consisted of 15 companies, comprised of Central Garden &amp; Pet Company, Church &amp; Dwight Co., Inc., The Clorox Company, Edgewell Personal Care Company, Energizer Holdings, Inc. (“Energizer”), Fortune Brands Home &amp; Security, Inc., Hanesbrands Inc., Hasbro, Inc., Jarden Corporation, Mattel, Inc., Newell Rubbermaid Inc., Nu Skin Enterprises, Inc., The Scotts Miracle-Gro Company, Stanley Black &amp; Decker, Inc., and Tupperware Brands Corporation. During 2015, the peer group was revised to delete Exide Technologies because it is no longer a public company. Additionally, the peer group was revised to add Edgewell Personal Care Company (“Edgewell”) because of its personal care products industry focus, comparable annual revenues to the Company, and comparable market capitalization to the Company. Edgewell was formerly part of Energizer and is one of the two resulting entities from the spin-off of the personal care products business from the batteries business of Energizer into two separate, publicly traded companies in July 2015; the resulting entities from the spin-off are Edgewell and Energizer. Energizer is remaining in the peer group for 2015 because of its continuing focus on the batteries and lighting business. While the Compensation Committee does not target a particular range for total compensation as compared to our peer group, it does take this information into account when establishing compensation programs.</w:t>
      </w:r>
    </w:p>
    <w:p>
      <w:pPr>
        <w:spacing w:after="0" w:line="18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 fees were paid to LB &amp; Co. for services other than executive and director compensation consulting during Fiscal 2015. In accordance with SEC rules, our Compensation Committee considered the independence of LB &amp; Co., including an assessment of the following factors: (i) other services provided to the Company by the consultant; (ii) fees paid as a percentage of the consulting firm’s total revenue; (iii) policies or procedures maintained by the consulting firm that are designed to prevent a conflict of interest; (iv) any business or personal relationships between the individual consultants involved in the engagement and any member of our Compensation Committee; (v) any Company stock owned by individual consultants involved in the engagement; and</w:t>
      </w:r>
    </w:p>
    <w:p>
      <w:pPr>
        <w:spacing w:after="0" w:line="2" w:lineRule="exact"/>
        <w:rPr>
          <w:sz w:val="20"/>
          <w:szCs w:val="20"/>
          <w:color w:val="auto"/>
        </w:rPr>
      </w:pPr>
    </w:p>
    <w:p>
      <w:pPr>
        <w:jc w:val="both"/>
        <w:ind w:right="180" w:firstLine="8"/>
        <w:spacing w:after="0" w:line="255" w:lineRule="auto"/>
        <w:tabs>
          <w:tab w:leader="none" w:pos="3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business or personal relationships between our executive officers and the consulting firm or the individual consultants involved in the engagement. Our Compensation Committee has concluded that no conflict of interest exists that prevented LB &amp; Co. from independently representing our Compensation Committee during Fiscal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Employment and Severance Agreements</w:t>
      </w:r>
    </w:p>
    <w:p>
      <w:pPr>
        <w:spacing w:after="0" w:line="11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Compensation Committee periodically evaluates the appropriateness of entering into employment agreements or other written agreements with members of the Company’s senior management to govern compensation and other aspects of the employment relationship. The Company limits the use of employment agreements and instead uses severance agreements for most executives. With respect to the named executive officers, at the direction of the Compensation Committee, the Company has entered into written employment agreements with the following executive officers who were serving at the end of Fiscal 2015: (i) an Employment Agreement dated March 16, 2015 with Mr. Rouvé (the “Rouvé Employment Agreement”); and (ii) an Employment Agreement dated September 1, 2014 with Mr. Martin (the “Martin Employment Agreement”). The Rouvé and Martin Employment Agreements are with both SBI and the Company. In addition, Mr. Rouvé continues to be a party to a Pension Agreement between VARTA Gerätebatterie GMBH and Mr. Rouvé dated May 17, 1989, including the supplement of July 1, 1999, which was assumed by the Company and governs certain pension payments Mr. Rouvé is entitled to receive. See “</w:t>
      </w:r>
      <w:r>
        <w:rPr>
          <w:rFonts w:ascii="Arial" w:cs="Arial" w:eastAsia="Arial" w:hAnsi="Arial"/>
          <w:sz w:val="16"/>
          <w:szCs w:val="16"/>
          <w:i w:val="1"/>
          <w:iCs w:val="1"/>
          <w:color w:val="auto"/>
        </w:rPr>
        <w:t>Termination and Change in Control Provisions—Andreas Rouvé</w:t>
      </w:r>
      <w:r>
        <w:rPr>
          <w:rFonts w:ascii="Arial" w:cs="Arial" w:eastAsia="Arial" w:hAnsi="Arial"/>
          <w:sz w:val="16"/>
          <w:szCs w:val="16"/>
          <w:color w:val="auto"/>
        </w:rPr>
        <w:t>”. Finally, SBI is a party to Severance Agreements with each of Mr. Fagre and Ms. Neu dated as of November 19, 2012 and September 1, 2009, respectively, which govern severance, confidentially, non-competition, and certain other post-employment matters in connection with termination of Mr. Fagre’s and Ms. Neu’s respective employment. The Severance Agreement with Mr. Fagre is referred to herein as the “Fagre Severance Agreement” and the Severance Agreement with Ms. Neu is referred to herein as the “Neu Severance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and Renewal</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current term of the Rouvé Employment Agreement expires on April 1, 2018, and the term of the Martin Employment Agreement expires on March 1, 2016. The Rouvé Employment Agreement provides that upon the expiration of the initial term of the agreement (any subsequent renewal term), the term of the agreement will automatically be extended for successive one year renewal periods, unless either party provides the other with notice of non-renewal at least 90 days prior to the commencement of the applicable renewal term. The Martin Employment Agreement provides that upon expiration of the current term (and any subsequent renewal term), unless earlier terminated in accordance with such agreement, the agreement will automatically renew for an additional one-year period on March 1</w:t>
      </w:r>
      <w:r>
        <w:rPr>
          <w:rFonts w:ascii="Arial" w:cs="Arial" w:eastAsia="Arial" w:hAnsi="Arial"/>
          <w:sz w:val="15"/>
          <w:szCs w:val="15"/>
          <w:color w:val="auto"/>
        </w:rPr>
        <w:t>st</w:t>
      </w:r>
      <w:r>
        <w:rPr>
          <w:rFonts w:ascii="Arial" w:cs="Arial" w:eastAsia="Arial" w:hAnsi="Arial"/>
          <w:sz w:val="18"/>
          <w:szCs w:val="18"/>
          <w:color w:val="auto"/>
        </w:rPr>
        <w:t xml:space="preserve"> of each year.</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Termination of Agreements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Rouvé and Martin Employment Agreements each permit the Company to terminate the executive’s employment upon written notice in the event of “cause” (as defined below under the heading “</w:t>
      </w:r>
      <w:r>
        <w:rPr>
          <w:rFonts w:ascii="Arial" w:cs="Arial" w:eastAsia="Arial" w:hAnsi="Arial"/>
          <w:sz w:val="17"/>
          <w:szCs w:val="17"/>
          <w:i w:val="1"/>
          <w:iCs w:val="1"/>
          <w:color w:val="auto"/>
        </w:rPr>
        <w:t>Termination and Change in Control Provisions</w:t>
      </w:r>
      <w:r>
        <w:rPr>
          <w:rFonts w:ascii="Arial" w:cs="Arial" w:eastAsia="Arial" w:hAnsi="Arial"/>
          <w:sz w:val="17"/>
          <w:szCs w:val="17"/>
          <w:color w:val="auto"/>
        </w:rPr>
        <w:t>”). In the case of both Mr. Rouvé and Mr. Martin, if the behavior giving rise to “cause” is the executive’s willful failure or refusal to perform his duties or refusal to follow the direction of the Board of Directors (and, in the case of Mr. Martin, the direction of the Chief Executive Officer), or the executive’s material breach of his employment agreement or any other agreement with the Company, then Mr. Rouvé and Mr. Martin, as applicable, will have 30 days to cure such behavior following notice.</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Each of the Rouvé and Martin Employment Agreements permit the Company to terminate the applicable executive’s employment without “cause” for any reason upon 90 days’ prior written notice or immediately with payment of base salary in lieu of notice thereof.</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Rouvé and Martin Employment Agreements each permit the Company to terminate the executive’s employment upon 30 days’ written notice in the event that the executive is unable to perform his duties for a period of at least six consecutive months by reason of any mental, physical, or other disability. Each agreement also terminates immediately upon the death of the executive.</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Both the Rouvé and Martin Employment Agreements allows the applicable executive to voluntarily terminate his employment for any reason upon 90 days’ prior written notice.</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Rouvé and Martin Employment Agreements also provide that if the applicable executive resigns upon the occurrence of specified circumstances that would constitute “good reason” (as defined below under the heading “</w:t>
      </w:r>
      <w:r>
        <w:rPr>
          <w:rFonts w:ascii="Arial" w:cs="Arial" w:eastAsia="Arial" w:hAnsi="Arial"/>
          <w:sz w:val="18"/>
          <w:szCs w:val="18"/>
          <w:i w:val="1"/>
          <w:iCs w:val="1"/>
          <w:color w:val="auto"/>
        </w:rPr>
        <w:t>Termination and Change in Control Provisions</w:t>
      </w:r>
      <w:r>
        <w:rPr>
          <w:rFonts w:ascii="Arial" w:cs="Arial" w:eastAsia="Arial" w:hAnsi="Arial"/>
          <w:sz w:val="18"/>
          <w:szCs w:val="18"/>
          <w:color w:val="auto"/>
        </w:rPr>
        <w:t>”), the executive’s resignation will be treated as a termination by the Company without “cause” and entitle the executive to the payments and benefits due with respect to a termination without “cause” under his respective employment agreement. In order to constitute “good reason” under the respective employment agreements, certain specific notice requirements and cure periods must be satisfied. In this regard, each of Mr. Rouvé and Mr. Martin would have 90 days following the occurrence of the facts or circumstances giving rise to “good reason” to give written notice to the Company of his intent to terminate for “good reason,” and the Company will have 30 days thereafter to cure such facts or circumstances.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Both the Fagre and Neu Severance Agreements permit the Company to terminate Mr. Fagre’s or Ms. Neu’s employment, as applicable, at any time upon written notice for any reason. However, in order for such termination by the Company to be treated as a termination for “cause” (as defined below under the heading “</w:t>
      </w:r>
      <w:r>
        <w:rPr>
          <w:rFonts w:ascii="Arial" w:cs="Arial" w:eastAsia="Arial" w:hAnsi="Arial"/>
          <w:sz w:val="18"/>
          <w:szCs w:val="18"/>
          <w:i w:val="1"/>
          <w:iCs w:val="1"/>
          <w:color w:val="auto"/>
        </w:rPr>
        <w:t>Termination and Change in Control Provisions</w:t>
      </w:r>
      <w:r>
        <w:rPr>
          <w:rFonts w:ascii="Arial" w:cs="Arial" w:eastAsia="Arial" w:hAnsi="Arial"/>
          <w:sz w:val="18"/>
          <w:szCs w:val="18"/>
          <w:color w:val="auto"/>
        </w:rPr>
        <w:t>”) as a result of Mr. Fagre’s or Ms. Neu’s, as applicable, (i) willful failure or refusal to perform his or her duties and responsibilities to the Company or any of its affiliates, or (ii) breach of any of the terms of his or her severance agreement or any other agreement between Mr. Fagre or Ms. Neu, on the one hand, and the Company on the other, Mr. Fagre or Ms. Neu, as applicable, must not have remedied or cured such failure, refusal, or breach within a 30-day cure period. Mr. Fagre and Ms. Neu, as applicable, may also terminate his or her respective employment with the Company at any time upon written notice.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amounts and benefits payable to each such executive upon the termination of such executive’s employment in accordance with their employment or severance agreements, as applicable, are further described under the heading “</w:t>
      </w:r>
      <w:r>
        <w:rPr>
          <w:rFonts w:ascii="Arial" w:cs="Arial" w:eastAsia="Arial" w:hAnsi="Arial"/>
          <w:sz w:val="17"/>
          <w:szCs w:val="17"/>
          <w:i w:val="1"/>
          <w:iCs w:val="1"/>
          <w:color w:val="auto"/>
        </w:rPr>
        <w:t>Termination and Change in Control Provisions</w:t>
      </w:r>
      <w:r>
        <w:rPr>
          <w:rFonts w:ascii="Arial" w:cs="Arial" w:eastAsia="Arial" w:hAnsi="Arial"/>
          <w:sz w:val="17"/>
          <w:szCs w:val="17"/>
          <w:color w:val="auto"/>
        </w:rPr>
        <w: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Grants of Restricted Stock Units to Andreas Rouvé</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connection with Mr. Rouvé’s appointment as the Chief Executive Officer and President of the Company and entering into the Rouvé Employment Agreement, on April 1, 2015 the Company made a one-time grant to Mr. Rouvé of 15,074 performance-based restricted stock units (“RSUs”) pursuant to the 2015 EIP (defined below). This grant and the issuance of the RSUs were made under the Spectrum Brands Holdings, Inc. 2011 Omnibus Equity Award Plan (the “2011 Plan”). The grant was part of an overall award valued at $3,000,000 at the times the two components of the award were made in accordance with the Rouvé Employment Agreement, consisting of an RSU grant having a value of a $2,000,000 originally awarded to Mr. Rouvé on December 15, 2014 and an award of RSUs made on April 1, 2015 valued at $1,000,000. The performance goals for the award were as follows: (i) fifty percent of the award was payable if the Company achieved adjusted EBITDA of at least $760 million for Fiscal 2015; and (ii) fifty percent was payable if the Company achieved free cash flow of at least $400 million for Fiscal 2015. Each of the foregoing performance goals was determined within 74 days following the end of Fiscal 2015, and as of such date, the adjusted EBITDA goal was achieved at a 93.2% rate and the adjusted free cash flow goal was achieved at a 109.5% rate. On such date, 50% of the earned RSUs became vested, with the remaining 50% of the RSUs vesting on the first anniversary of the original vesting date if Mr. Rouvé remains employed by the Company on such first anniversary. In addition, Mr. Rouvé was awarded 1,561 RSUs as an additional award for the over-achievement of the adjusted free cash flow target for Fiscal 2015. This additional award has a performance period extending through the end of Fiscal 2016, because in order to earn the award, the adjusted EBITDA and adjusted free cash flow results for Fiscal 2016 must be greater than the applicable results for Fiscal 2015.</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on April 1, 2015 the Company made a one-time grant to Mr. Rouvé of performance-based RSUs pursuant to the Spectrum $2B Plan (defined below). This grant and the issuance of the RSUs also were made under the 2011 Plan. The grant was part of an overall award denominated in dollars and valued at $3,000,000 at the times the two components of the award were made in accordance with the Rouvé Employment Agreement, consisting of a $2,000,000 grant originally awarded to Mr. Rouvé on February 2, 2015 and the award made on April 1, 2015 valued at $1,000,000. The performance goals and vesting provisions for this award are as outlined below in the section entitled “Spectrum $2B Plan”. As per the terms of the Spectrum $2B Plan, the award was denominated in dollars but will be payable in RSUs or shares of restricted stock based on the fair market value of the Company’s shares as of the last day of the performance period.</w:t>
      </w:r>
    </w:p>
    <w:p>
      <w:pPr>
        <w:spacing w:after="0" w:line="189"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With respect to both awards described above, if a change in control (as defined in the 2011 Plan) occurs within 24 months of April 1, 2015, than all of Mr. Rouvé’s outstanding and unvested equity awards will vest in full at 100% of the target level of performance upon the earlier of (i) the first anniversary of the change in control, or (ii) the date Mr. Rouvé’s employment is terminated by the Company without “cause” or by Mr. Rouvé for “good reason.”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above-described awards made to Mr. Rouvé are reflected in the “Stock Awards” column in the Summary Compensation Table.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2015, the basic elements of our executive compensation program, as designed by the Compensation Committee, were:</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performance-based annual cash incentive program tied to achievement of performance goals in Fiscal 2015, referred to as our Management Incentive Plan (“MIP”);</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325"/>
        <w:spacing w:after="0" w:line="308"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two-year performance based equity incentive program tied to achievement of superior results by the end of Fiscal 2016 and, with respect to 50% of any award earned, continued employment through the end of Fiscal 2017, referred to as the Spectrum $2B Plan; and</w:t>
      </w:r>
    </w:p>
    <w:p>
      <w:pPr>
        <w:spacing w:after="0" w:line="51" w:lineRule="exact"/>
        <w:rPr>
          <w:rFonts w:ascii="Arial" w:cs="Arial" w:eastAsia="Arial" w:hAnsi="Arial"/>
          <w:sz w:val="17"/>
          <w:szCs w:val="17"/>
          <w:color w:val="auto"/>
        </w:rPr>
      </w:pPr>
    </w:p>
    <w:p>
      <w:pPr>
        <w:ind w:left="900" w:right="1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performance based equity incentive program tied to achievement of performance goals in Fiscal 2015 and, with respect to 50% of any award earned, continued employment through the end of Fiscal 2016, referred to as the Equity Incentive Plan (“EIP”).</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based on individual circumstances, title, position, and responsibilities, each named executive officer received certain other compensation components and perquisites as described herein.</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Fiscal 2016, the basic elements of our executive compensation program, as designed by our Compensation Committee, remain consistent with those outlined above for Fiscal 2015. The Compensation Committee has established an annual MIP and EIP for Fiscal 2016, with the performance targets and potential award amounts for the named executive officers as described below. In Fiscal 2015, the Compensation Committee also established the Spectrum $2B Plan, which covers a two-year performance period from October 1, 2014 to September 30,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annual base salaries for Messrs. Rouvé and Martin were initially set forth in each executive’s employment agreement, subject to subsequent increases by the Compensation Committee. Mr. Fagre’s base salary was initially set by the Chief Executive Officer at the time he joined the Company in January 2011. Ms. Neu’s base salary was initially set by the Chief Executive Officer at the time of her appointment as the head of Human Resources. In determining the initial annual base salary for each named executive officer or in making any subsequent increases, the Compensation Committee considered current market conditions, the Company’s financial condition at the time such compensation levels were determined, compensation levels for similarly situated executives at other companies, experience level, and the duties and responsibilities of such executive’s position. Base salary level is subject to evaluation from time to time by the Compensation Committee to determine whether any increase is appropriate. As of the end of Fiscal 2015, the annual base salaries for the named executive officers serving at the end of Fiscal 2015 were as follows:</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Annual Base Salary</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at FYE $</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Andreas Rouvé</w:t>
            </w:r>
          </w:p>
        </w:tc>
        <w:tc>
          <w:tcPr>
            <w:tcW w:w="5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1220" w:type="dxa"/>
            <w:vAlign w:val="bottom"/>
          </w:tcPr>
          <w:p>
            <w:pPr>
              <w:jc w:val="right"/>
              <w:spacing w:after="0"/>
              <w:rPr>
                <w:sz w:val="20"/>
                <w:szCs w:val="20"/>
                <w:color w:val="auto"/>
              </w:rPr>
            </w:pPr>
            <w:r>
              <w:rPr>
                <w:rFonts w:ascii="Arial" w:cs="Arial" w:eastAsia="Arial" w:hAnsi="Arial"/>
                <w:sz w:val="18"/>
                <w:szCs w:val="18"/>
                <w:color w:val="auto"/>
              </w:rPr>
              <w:t>550,000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E. Fagre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Stacey L. Neu</w:t>
            </w:r>
          </w:p>
        </w:tc>
        <w:tc>
          <w:tcPr>
            <w:tcW w:w="1220" w:type="dxa"/>
            <w:vAlign w:val="bottom"/>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340" w:hanging="452"/>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in the table above for Mr. Rouvé with respect to the portion of his Fiscal 2015 base salary payable in Euros (which was €362,600) was converted to U.S. dollars at the rate of $1.12432 per Euro, which was the published rate from the OANDA Corporation currency database as of September 30, 2015.</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October 2014, the Compensation Committee, with the assistance of LB &amp; Co., conducted a review of the compensation of the named executive officers. As a result of this review, the annual base salaries for Mr. Martin, Mr. Fagre, and Ms. Neu did not change from their annual base salaries in effect as of the end of Fiscal 2014. Effective April 1, 2015, upon Mr. Rouvé’s promotion to Chief Executive Officer and President, his annual base salary increased from $407,678 (or €362,600 when converted to Euros based on the September 30, 2015 exchange rate disclosed above) to $735,000. On November 16, 2015 the Compensation Committee approved an increase of Ms. Neu’s annual base salary to a level of $275,000, effective as of November 1, 2015.</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Incentive Plan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Description</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management personnel, including our named executive officers, participate in the Company’s annual performance-based cash bonus program referred to as the Management Incentive Plan (or the “MIP”), which is designed to compensate executives and other managers based on achievement of annual corporate, business segment, and/or divisional financial goals. Under the MIP, each participant has the opportunity to earn a threshold, target, or maximum bonus amount that is contingent upon achieving the performance goals set by the Compensation Committee and reviewed by the Board of Directors. Particular performance objectives (such as increasing adjusted EBITDA) are established prior to or during the first quarter of the relevant fiscal year and reflect the Compensation Committee’s views at that time of the critical indicators of Company success in light of the Company’s primary business priorities.</w:t>
      </w:r>
    </w:p>
    <w:p>
      <w:pPr>
        <w:spacing w:after="0" w:line="18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specific financial targets with respect to performance goals are then set by the Compensation Committee based on the Company’s annual operating plan, as approved by our Board of Directors. The annual operating plan includes performance targets for the Company as a whole as well as for each business segment. In the case of divisional managers within those business segments, divisional level performance targets have also been established.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2015 MIP Program</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Fiscal 2015 MIP program supported the corporate goals of increasing EBITDA growth and free cash flow generation described above under the heading “</w:t>
      </w:r>
      <w:r>
        <w:rPr>
          <w:rFonts w:ascii="Arial" w:cs="Arial" w:eastAsia="Arial" w:hAnsi="Arial"/>
          <w:sz w:val="18"/>
          <w:szCs w:val="18"/>
          <w:i w:val="1"/>
          <w:iCs w:val="1"/>
          <w:color w:val="auto"/>
        </w:rPr>
        <w:t>Philosophy on Performance Based Compensation</w:t>
      </w:r>
      <w:r>
        <w:rPr>
          <w:rFonts w:ascii="Arial" w:cs="Arial" w:eastAsia="Arial" w:hAnsi="Arial"/>
          <w:sz w:val="18"/>
          <w:szCs w:val="18"/>
          <w:color w:val="auto"/>
        </w:rPr>
        <w:t>.” The performance goals for Fiscal 2015 were adjusted EBITDA and Free Cash Flow (as defined below), with the performance targets for each of Messrs. Rouvé, Martin, Fagre, and Lumley and for Ms. Neu equal to those established for the Company as a whole and were not subdivided with regard to the performance of specific business segments or units. Mr. Genito did not participate in the Fiscal 2015 MIP due to his departure from the Company during Fiscal 2015.</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For Fiscal 2015, “adjusted EBITDA” was defined as earnings (defined as operating income (loss) of the Company plus other income less other expenses) before interest, taxes, depreciation, and amortization and excluding restructuring, acquisition, and integration charges, and other one-time charges. The result of the formula in the preceding sentence was then adjusted so as to negate the effects of acquisitions or dispositions; however, the Compensation Committee had the discretion to determine to include EBITDA from Board-approved acquisitions during the performance period on a case-by-case basis. “Free Cash Flow” meant adjusted EBITDA plus or minus changes in current and long term assets and liabilities, less cash payments for taxes, restructuring and interest, but excluding proceeds from acquisitions or dispositions. Any reductions in Free Cash Flow resulting from transaction costs or financing fees incurred in connection with any acquisition or refinancing approved by the Board of Directors (in each case during the performance period) was added back to Free Cash Flow.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target Fiscal 2015 MIP award levels achievable at target for each participating named executive officer were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Named Executive</w:t>
            </w:r>
          </w:p>
        </w:tc>
        <w:tc>
          <w:tcPr>
            <w:tcW w:w="2840" w:type="dxa"/>
            <w:vAlign w:val="bottom"/>
            <w:vMerge w:val="restart"/>
          </w:tcPr>
          <w:p>
            <w:pPr>
              <w:spacing w:after="0"/>
              <w:rPr>
                <w:sz w:val="14"/>
                <w:szCs w:val="14"/>
                <w:color w:val="auto"/>
              </w:rPr>
            </w:pPr>
          </w:p>
        </w:tc>
        <w:tc>
          <w:tcPr>
            <w:tcW w:w="3840" w:type="dxa"/>
            <w:vAlign w:val="bottom"/>
            <w:gridSpan w:val="3"/>
          </w:tcPr>
          <w:p>
            <w:pPr>
              <w:jc w:val="center"/>
              <w:ind w:left="2273"/>
              <w:spacing w:after="0"/>
              <w:rPr>
                <w:sz w:val="20"/>
                <w:szCs w:val="20"/>
                <w:color w:val="auto"/>
              </w:rPr>
            </w:pPr>
            <w:r>
              <w:rPr>
                <w:rFonts w:ascii="Arial" w:cs="Arial" w:eastAsia="Arial" w:hAnsi="Arial"/>
                <w:sz w:val="14"/>
                <w:szCs w:val="14"/>
                <w:b w:val="1"/>
                <w:bCs w:val="1"/>
                <w:color w:val="auto"/>
                <w:w w:val="96"/>
              </w:rPr>
              <w:t>MIP Target as %</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2840" w:type="dxa"/>
            <w:vAlign w:val="bottom"/>
            <w:tcBorders>
              <w:bottom w:val="single" w:sz="8" w:color="CCEEFF"/>
            </w:tcBorders>
            <w:vMerge w:val="continue"/>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Annual Base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85"/>
              </w:rPr>
              <w:t>Andreas Rouvé</w:t>
            </w:r>
          </w:p>
        </w:tc>
        <w:tc>
          <w:tcPr>
            <w:tcW w:w="2840" w:type="dxa"/>
            <w:vAlign w:val="bottom"/>
            <w:shd w:val="clear" w:color="auto" w:fill="CCEEFF"/>
          </w:tcPr>
          <w:p>
            <w:pPr>
              <w:jc w:val="right"/>
              <w:ind w:right="2543"/>
              <w:spacing w:after="0"/>
              <w:rPr>
                <w:sz w:val="20"/>
                <w:szCs w:val="20"/>
                <w:color w:val="auto"/>
              </w:rPr>
            </w:pPr>
            <w:r>
              <w:rPr>
                <w:rFonts w:ascii="Arial" w:cs="Arial" w:eastAsia="Arial" w:hAnsi="Arial"/>
                <w:sz w:val="15"/>
                <w:szCs w:val="15"/>
                <w:color w:val="auto"/>
              </w:rPr>
              <w:t>(1)</w:t>
            </w:r>
          </w:p>
        </w:tc>
        <w:tc>
          <w:tcPr>
            <w:tcW w:w="2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Andreas Rouvé</w:t>
            </w:r>
            <w:r>
              <w:rPr>
                <w:rFonts w:ascii="Arial" w:cs="Arial" w:eastAsia="Arial" w:hAnsi="Arial"/>
                <w:sz w:val="15"/>
                <w:szCs w:val="15"/>
                <w:color w:val="auto"/>
              </w:rPr>
              <w:t>(2)</w:t>
            </w:r>
          </w:p>
        </w:tc>
        <w:tc>
          <w:tcPr>
            <w:tcW w:w="384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Martin</w:t>
            </w:r>
          </w:p>
        </w:tc>
        <w:tc>
          <w:tcPr>
            <w:tcW w:w="3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384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Stacey L. Neu</w:t>
            </w:r>
          </w:p>
        </w:tc>
        <w:tc>
          <w:tcPr>
            <w:tcW w:w="3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David R. Lumley</w:t>
            </w:r>
          </w:p>
        </w:tc>
        <w:tc>
          <w:tcPr>
            <w:tcW w:w="384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160" w:hanging="452"/>
        <w:spacing w:after="0" w:line="277" w:lineRule="auto"/>
        <w:tabs>
          <w:tab w:leader="none" w:pos="460" w:val="left"/>
        </w:tabs>
        <w:numPr>
          <w:ilvl w:val="0"/>
          <w:numId w:val="58"/>
        </w:numPr>
        <w:rPr>
          <w:rFonts w:ascii="Arial" w:cs="Arial" w:eastAsia="Arial" w:hAnsi="Arial"/>
          <w:sz w:val="15"/>
          <w:szCs w:val="15"/>
          <w:color w:val="auto"/>
        </w:rPr>
      </w:pPr>
      <w:r>
        <w:rPr>
          <w:rFonts w:ascii="Arial" w:cs="Arial" w:eastAsia="Arial" w:hAnsi="Arial"/>
          <w:sz w:val="18"/>
          <w:szCs w:val="18"/>
          <w:color w:val="auto"/>
        </w:rPr>
        <w:t>Applicable with respect to Mr. Rouvé’s base salary level from October 1, 2014 through March 31, 2015 when he held the position of Chief Operating Officer.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77"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8"/>
          <w:szCs w:val="18"/>
          <w:color w:val="auto"/>
        </w:rPr>
        <w:t>Applicable with respect to Mr. Rouvé’s base salary level from April 1, 2015 through September 30, 2015 in his position as Chief Executive Officer and President.</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Fiscal 2015 MIP plan design had a minimum financial threshold for each of adjusted EBITDA and Free Cash Flow, below which no payout would be earned with respect to that objective. The achievement of the goals of adjusted EBITDA and Free Cash Flow were determined and earned independently of one another. The named executive officer must have been an active employee of the Company on the payout date in order to receive any earned awards. In addition, the Compensation Committee provided the Chief Executive Officer with the discretionary authority to issue up to a total of $10 million in equity awards to designated participants in lieu of any cash bonuses earned under the Fiscal 2015 MIP. The table below reflects for each named executive officer the percentage of his or her target award achievable pursuant to the performance goals, the performance required to achieve the threshold, target, and maximum payouts based on those performance goals, and the actual 2015 payout achieved.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Performance Required to</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80" w:type="dxa"/>
            <w:vAlign w:val="bottom"/>
            <w:gridSpan w:val="6"/>
          </w:tcPr>
          <w:p>
            <w:pPr>
              <w:jc w:val="center"/>
              <w:spacing w:after="0" w:line="158" w:lineRule="exact"/>
              <w:rPr>
                <w:sz w:val="20"/>
                <w:szCs w:val="20"/>
                <w:color w:val="auto"/>
              </w:rPr>
            </w:pPr>
            <w:r>
              <w:rPr>
                <w:rFonts w:ascii="Arial" w:cs="Arial" w:eastAsia="Arial" w:hAnsi="Arial"/>
                <w:sz w:val="14"/>
                <w:szCs w:val="14"/>
                <w:b w:val="1"/>
                <w:bCs w:val="1"/>
                <w:color w:val="auto"/>
                <w:w w:val="94"/>
              </w:rPr>
              <w:t>Achieve Bonus % Indicated</w:t>
            </w:r>
          </w:p>
        </w:tc>
        <w:tc>
          <w:tcPr>
            <w:tcW w:w="44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Calculated 2015</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9"/>
              <w:spacing w:after="0"/>
              <w:rPr>
                <w:sz w:val="20"/>
                <w:szCs w:val="20"/>
                <w:color w:val="auto"/>
              </w:rPr>
            </w:pPr>
            <w:r>
              <w:rPr>
                <w:rFonts w:ascii="Arial" w:cs="Arial" w:eastAsia="Arial" w:hAnsi="Arial"/>
                <w:sz w:val="14"/>
                <w:szCs w:val="14"/>
                <w:b w:val="1"/>
                <w:bCs w:val="1"/>
                <w:color w:val="auto"/>
                <w:w w:val="93"/>
              </w:rPr>
              <w:t>($ in millions)</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Payout Factor</w:t>
            </w:r>
          </w:p>
        </w:tc>
        <w:tc>
          <w:tcPr>
            <w:tcW w:w="0" w:type="dxa"/>
            <w:vAlign w:val="bottom"/>
          </w:tcPr>
          <w:p>
            <w:pPr>
              <w:spacing w:after="0"/>
              <w:rPr>
                <w:sz w:val="1"/>
                <w:szCs w:val="1"/>
                <w:color w:val="auto"/>
              </w:rPr>
            </w:pPr>
          </w:p>
        </w:tc>
      </w:tr>
      <w:tr>
        <w:trPr>
          <w:trHeight w:val="11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880" w:type="dxa"/>
            <w:vAlign w:val="bottom"/>
            <w:vMerge w:val="restart"/>
          </w:tcPr>
          <w:p>
            <w:pPr>
              <w:spacing w:after="0"/>
              <w:rPr>
                <w:sz w:val="10"/>
                <w:szCs w:val="10"/>
                <w:color w:val="auto"/>
              </w:rPr>
            </w:pPr>
          </w:p>
        </w:tc>
        <w:tc>
          <w:tcPr>
            <w:tcW w:w="23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Performance Metric</w:t>
            </w:r>
          </w:p>
        </w:tc>
        <w:tc>
          <w:tcPr>
            <w:tcW w:w="44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Weight (% of</w:t>
            </w:r>
          </w:p>
        </w:tc>
        <w:tc>
          <w:tcPr>
            <w:tcW w:w="440" w:type="dxa"/>
            <w:vAlign w:val="bottom"/>
          </w:tcPr>
          <w:p>
            <w:pPr>
              <w:spacing w:after="0"/>
              <w:rPr>
                <w:sz w:val="10"/>
                <w:szCs w:val="10"/>
                <w:color w:val="auto"/>
              </w:rPr>
            </w:pPr>
          </w:p>
        </w:tc>
        <w:tc>
          <w:tcPr>
            <w:tcW w:w="640" w:type="dxa"/>
            <w:vAlign w:val="bottom"/>
          </w:tcPr>
          <w:p>
            <w:pPr>
              <w:spacing w:after="0" w:line="119" w:lineRule="exact"/>
              <w:rPr>
                <w:sz w:val="20"/>
                <w:szCs w:val="20"/>
                <w:color w:val="auto"/>
              </w:rPr>
            </w:pPr>
            <w:r>
              <w:rPr>
                <w:rFonts w:ascii="Arial" w:cs="Arial" w:eastAsia="Arial" w:hAnsi="Arial"/>
                <w:sz w:val="13"/>
                <w:szCs w:val="13"/>
                <w:b w:val="1"/>
                <w:bCs w:val="1"/>
                <w:color w:val="auto"/>
                <w:w w:val="98"/>
              </w:rPr>
              <w:t>Threshold</w:t>
            </w:r>
          </w:p>
        </w:tc>
        <w:tc>
          <w:tcPr>
            <w:tcW w:w="440" w:type="dxa"/>
            <w:vAlign w:val="bottom"/>
          </w:tcPr>
          <w:p>
            <w:pPr>
              <w:spacing w:after="0"/>
              <w:rPr>
                <w:sz w:val="10"/>
                <w:szCs w:val="10"/>
                <w:color w:val="auto"/>
              </w:rPr>
            </w:pPr>
          </w:p>
        </w:tc>
        <w:tc>
          <w:tcPr>
            <w:tcW w:w="8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Target</w:t>
            </w:r>
          </w:p>
        </w:tc>
        <w:tc>
          <w:tcPr>
            <w:tcW w:w="120" w:type="dxa"/>
            <w:vAlign w:val="bottom"/>
          </w:tcPr>
          <w:p>
            <w:pPr>
              <w:spacing w:after="0"/>
              <w:rPr>
                <w:sz w:val="10"/>
                <w:szCs w:val="10"/>
                <w:color w:val="auto"/>
              </w:rPr>
            </w:pPr>
          </w:p>
        </w:tc>
        <w:tc>
          <w:tcPr>
            <w:tcW w:w="6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Maximum</w:t>
            </w:r>
          </w:p>
        </w:tc>
        <w:tc>
          <w:tcPr>
            <w:tcW w:w="44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Target</w:t>
            </w:r>
          </w:p>
        </w:tc>
        <w:tc>
          <w:tcPr>
            <w:tcW w:w="0" w:type="dxa"/>
            <w:vAlign w:val="bottom"/>
          </w:tcPr>
          <w:p>
            <w:pPr>
              <w:spacing w:after="0"/>
              <w:rPr>
                <w:sz w:val="1"/>
                <w:szCs w:val="1"/>
                <w:color w:val="auto"/>
              </w:rPr>
            </w:pPr>
          </w:p>
        </w:tc>
      </w:tr>
      <w:tr>
        <w:trPr>
          <w:trHeight w:val="171"/>
        </w:trPr>
        <w:tc>
          <w:tcPr>
            <w:tcW w:w="320" w:type="dxa"/>
            <w:vAlign w:val="bottom"/>
            <w:tcBorders>
              <w:bottom w:val="single" w:sz="8" w:color="auto"/>
            </w:tcBorders>
            <w:vMerge w:val="continue"/>
          </w:tcPr>
          <w:p>
            <w:pPr>
              <w:spacing w:after="0"/>
              <w:rPr>
                <w:sz w:val="14"/>
                <w:szCs w:val="14"/>
                <w:color w:val="auto"/>
              </w:rPr>
            </w:pPr>
          </w:p>
        </w:tc>
        <w:tc>
          <w:tcPr>
            <w:tcW w:w="2880" w:type="dxa"/>
            <w:vAlign w:val="bottom"/>
            <w:tcBorders>
              <w:bottom w:val="single" w:sz="8" w:color="CCEEFF"/>
            </w:tcBorders>
            <w:vMerge w:val="continue"/>
          </w:tcPr>
          <w:p>
            <w:pPr>
              <w:spacing w:after="0"/>
              <w:rPr>
                <w:sz w:val="14"/>
                <w:szCs w:val="14"/>
                <w:color w:val="auto"/>
              </w:rPr>
            </w:pPr>
          </w:p>
        </w:tc>
        <w:tc>
          <w:tcPr>
            <w:tcW w:w="23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Target Bonus)</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(50%)</w:t>
            </w:r>
          </w:p>
        </w:tc>
        <w:tc>
          <w:tcPr>
            <w:tcW w:w="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w:t>
            </w:r>
          </w:p>
        </w:tc>
        <w:tc>
          <w:tcPr>
            <w:tcW w:w="4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Bonus)</w:t>
            </w: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Andreas Rouvé</w:t>
            </w: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3"/>
              </w:rPr>
              <w:t>Consolidated Adjusted EBITDA</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w w:val="83"/>
              </w:rPr>
              <w:t>50%</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$724.2</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$798.0</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w w:val="84"/>
              </w:rPr>
              <w:t>46.60</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E. Fagre</w:t>
            </w: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8"/>
              </w:rPr>
              <w:t>Consolidated Free Cash Flow</w:t>
            </w:r>
          </w:p>
        </w:tc>
        <w:tc>
          <w:tcPr>
            <w:tcW w:w="130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50%</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$360.0</w:t>
            </w:r>
          </w:p>
        </w:tc>
        <w:tc>
          <w:tcPr>
            <w:tcW w:w="940" w:type="dxa"/>
            <w:vAlign w:val="bottom"/>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90"/>
              </w:rPr>
              <w:t>$400.0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$436.0</w:t>
            </w:r>
          </w:p>
        </w:tc>
        <w:tc>
          <w:tcPr>
            <w:tcW w:w="144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David R. Lumley</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Stacey L. Neu</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250% for Mr. Rouvé and Mr. Lumley</w:t>
      </w:r>
    </w:p>
    <w:p>
      <w:pPr>
        <w:spacing w:after="0" w:line="33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Fiscal 2016 MIP Program</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Fiscal 2016 MIP program continues to follow the plan design from previous years, with the same corporate goals of increasing adjusted EBITDA growth and Free Cash Flow generation. The Committee changed the weighting of the adjusted EBITDA and Free Cash Flow performance measures for Fiscal 2016, with adjusted EBITDA having a weighting of 75% and Free Cash Flow having a weighting of 25%. The primary purpose of this change is to provide more incentives for individual business unit success, since for the management of the business units the adjusted EBITDA measure is based on that particular business unit’s performance, while the Free Cash Flow measure is based on Company-wide performance. The performance targets for each of the named executive officers will equal those established for the Company as a whole and will not be subdivided with regard to the performance of specific business segments or units. The definitions of adjusted EBITDA and Free Cash Flow are generally the same as described above for the Fiscal 2015 MIP, with the exception that for the Fiscal 2016 MIP the financial results of the Global Auto Care segment (resulting from the acquisition of Armored AutoGroup in May of Fiscal 2015) will be included with the results of the Company operations.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Fiscal 2016 MIP award levels achievable at target for the continuing named executive officers are as follows (Mr. Lumley is not participating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2016 MIP due to his departure from the Company):</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Named Executive</w:t>
            </w:r>
          </w:p>
        </w:tc>
        <w:tc>
          <w:tcPr>
            <w:tcW w:w="2800" w:type="dxa"/>
            <w:vAlign w:val="bottom"/>
            <w:vMerge w:val="restart"/>
          </w:tcPr>
          <w:p>
            <w:pPr>
              <w:spacing w:after="0"/>
              <w:rPr>
                <w:sz w:val="14"/>
                <w:szCs w:val="14"/>
                <w:color w:val="auto"/>
              </w:rPr>
            </w:pPr>
          </w:p>
        </w:tc>
        <w:tc>
          <w:tcPr>
            <w:tcW w:w="256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MIP Target as</w:t>
            </w:r>
          </w:p>
        </w:tc>
        <w:tc>
          <w:tcPr>
            <w:tcW w:w="0" w:type="dxa"/>
            <w:vAlign w:val="bottom"/>
          </w:tcPr>
          <w:p>
            <w:pPr>
              <w:spacing w:after="0"/>
              <w:rPr>
                <w:sz w:val="1"/>
                <w:szCs w:val="1"/>
                <w:color w:val="auto"/>
              </w:rPr>
            </w:pPr>
          </w:p>
        </w:tc>
      </w:tr>
      <w:tr>
        <w:trPr>
          <w:trHeight w:val="171"/>
        </w:trPr>
        <w:tc>
          <w:tcPr>
            <w:tcW w:w="1080" w:type="dxa"/>
            <w:vAlign w:val="bottom"/>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3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 of Annual Base</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800" w:type="dxa"/>
            <w:vAlign w:val="bottom"/>
            <w:vMerge w:val="restart"/>
            <w:shd w:val="clear" w:color="auto" w:fill="CCEEFF"/>
          </w:tcPr>
          <w:p>
            <w:pPr>
              <w:spacing w:after="0" w:line="20" w:lineRule="exact"/>
              <w:rPr>
                <w:sz w:val="1"/>
                <w:szCs w:val="1"/>
                <w:color w:val="auto"/>
              </w:rPr>
            </w:pPr>
          </w:p>
        </w:tc>
        <w:tc>
          <w:tcPr>
            <w:tcW w:w="25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85"/>
              </w:rPr>
              <w:t>Andreas Rouvé</w:t>
            </w:r>
          </w:p>
        </w:tc>
        <w:tc>
          <w:tcPr>
            <w:tcW w:w="2800" w:type="dxa"/>
            <w:vAlign w:val="bottom"/>
            <w:vMerge w:val="continue"/>
            <w:shd w:val="clear" w:color="auto" w:fill="CCEEFF"/>
          </w:tcPr>
          <w:p>
            <w:pPr>
              <w:spacing w:after="0"/>
              <w:rPr>
                <w:sz w:val="18"/>
                <w:szCs w:val="18"/>
                <w:color w:val="auto"/>
              </w:rPr>
            </w:pPr>
          </w:p>
        </w:tc>
        <w:tc>
          <w:tcPr>
            <w:tcW w:w="256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388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E. Fagre</w:t>
            </w:r>
          </w:p>
        </w:tc>
        <w:tc>
          <w:tcPr>
            <w:tcW w:w="3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Stacey L. Neu</w:t>
            </w:r>
          </w:p>
        </w:tc>
        <w:tc>
          <w:tcPr>
            <w:tcW w:w="388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Fiscal 2016 MIP plan design has a minimum financial threshold for each of adjusted EBITDA and Free Cash Flow, below which there will be no payout with respect to that objective. The achievement of the goals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adjusted EBITDA and Free Cash Flow are determined and earned independently of one another. The named executive officer must be an active employee of the Company on the payout date in order to receive any earned awards. In addition, in the discretion of the Chief Executive Officer, the Company may issue up to a total of $10 million in equity awards to designated participants in lieu of any cash bonuses earned under the Fiscal 2016 MIP. Acquisitions by the Company may be included in the adjusted EBITDA calculations subject to approval by the board of directors. The table below reflects for each named executive officer the percentage of his or her target award achievable pursuant to the performance goals applicable to his or her award, and the performance required to achieve the threshold, target, and maximum payouts based on those performance goals.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Performance Required to</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Achieve Bonus % Indicated</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6"/>
              </w:rPr>
              <w:t>Weight (% of</w:t>
            </w: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5"/>
              </w:rPr>
              <w:t>($ in millions)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44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23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Performance Metric</w:t>
            </w:r>
          </w:p>
        </w:tc>
        <w:tc>
          <w:tcPr>
            <w:tcW w:w="420" w:type="dxa"/>
            <w:vAlign w:val="bottom"/>
            <w:vMerge w:val="restart"/>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Threshold</w:t>
            </w:r>
          </w:p>
        </w:tc>
        <w:tc>
          <w:tcPr>
            <w:tcW w:w="480" w:type="dxa"/>
            <w:vAlign w:val="bottom"/>
          </w:tcPr>
          <w:p>
            <w:pPr>
              <w:spacing w:after="0"/>
              <w:rPr>
                <w:sz w:val="10"/>
                <w:szCs w:val="10"/>
                <w:color w:val="auto"/>
              </w:rPr>
            </w:pPr>
          </w:p>
        </w:tc>
        <w:tc>
          <w:tcPr>
            <w:tcW w:w="112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Target</w:t>
            </w:r>
          </w:p>
        </w:tc>
        <w:tc>
          <w:tcPr>
            <w:tcW w:w="640" w:type="dxa"/>
            <w:vAlign w:val="bottom"/>
          </w:tcPr>
          <w:p>
            <w:pP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 w:type="dxa"/>
            <w:vAlign w:val="bottom"/>
            <w:tcBorders>
              <w:bottom w:val="single" w:sz="8" w:color="auto"/>
            </w:tcBorders>
            <w:vMerge w:val="continue"/>
          </w:tcPr>
          <w:p>
            <w:pPr>
              <w:spacing w:after="0"/>
              <w:rPr>
                <w:sz w:val="14"/>
                <w:szCs w:val="14"/>
                <w:color w:val="auto"/>
              </w:rPr>
            </w:pPr>
          </w:p>
        </w:tc>
        <w:tc>
          <w:tcPr>
            <w:tcW w:w="244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23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 Bonus)</w:t>
            </w:r>
          </w:p>
        </w:tc>
        <w:tc>
          <w:tcPr>
            <w:tcW w:w="6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(50%)</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(200%)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Andreas Rouvé</w:t>
            </w:r>
          </w:p>
        </w:tc>
        <w:tc>
          <w:tcPr>
            <w:tcW w:w="14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3"/>
              </w:rPr>
              <w:t>Consolidated Adjusted EBITDA</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$ 897.10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$935.00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$ 981.75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E. Fagre</w:t>
            </w:r>
          </w:p>
        </w:tc>
        <w:tc>
          <w:tcPr>
            <w:tcW w:w="418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Consolidated Free Cash Flow</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6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$ 453.60</w:t>
            </w:r>
          </w:p>
        </w:tc>
        <w:tc>
          <w:tcPr>
            <w:tcW w:w="16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2"/>
              </w:rPr>
              <w:t>$510.00</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$ 552.50</w:t>
            </w: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Stacey L. Neu</w:t>
            </w:r>
          </w:p>
        </w:tc>
        <w:tc>
          <w:tcPr>
            <w:tcW w:w="1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$2B Plan</w:t>
      </w:r>
    </w:p>
    <w:p>
      <w:pPr>
        <w:spacing w:after="0" w:line="1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During 2015, the Compensation Committee, in consultation with members of management, its independent compensation consultant, and outside counsel for the Compensation Committee, designed a two-year superior achievement incentive compensation program for the Company’s named executive officers and other members of the Company’s management team and key employees. The program, which is a successor to the Company’s earlier Spectrum 750 Plan, is referred to as the “Spectrum $2B Plan” or “Spectrum $2B,” because the program reflects a strategy to achieve an additional $2 billion of value creation (as measured by stock market capitalization of the Company) by the end of Fiscal 2016. The purpose of the Spectrum $2B Plan is to incentivize senior management to drive the Company’s performance in excess of key financial performance metrics over a two-year performance period consisting of Fiscal 2015 and Fiscal 2016. Awards under the Spectrum $2B Plan are granted pursuant to the Company’s 2011 Plan.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Spectrum $2B Plan has the following key performance targets: (1) achieving adjusted EBITDA of at least $800 million in Fiscal 2016;</w:t>
      </w:r>
    </w:p>
    <w:p>
      <w:pPr>
        <w:spacing w:after="0" w:line="23" w:lineRule="exact"/>
        <w:rPr>
          <w:sz w:val="20"/>
          <w:szCs w:val="20"/>
          <w:color w:val="auto"/>
        </w:rPr>
      </w:pPr>
    </w:p>
    <w:p>
      <w:pPr>
        <w:ind w:right="160" w:firstLine="8"/>
        <w:spacing w:after="0" w:line="254"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achieving cumulative free cash flow during Fiscal 2015 and 2016 of at least $800 million; and (3) achieving adjusted diluted earnings per share (EPS) in Fiscal 2016 of at least $5.00 per share. In terms of potential award payouts for plan participants, 40% of the award is based on adjusted EBITDA, 40% on cumulative free cash flow, and 20% on adjusted diluted EPS. In addition, there is no payout with respect to a given metric if the performance target is not fully achieved as of September 30, 2016.</w:t>
      </w:r>
    </w:p>
    <w:p>
      <w:pPr>
        <w:spacing w:after="0" w:line="1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Participants in the Spectrum $2B Plan have the opportunity to earn additional award amounts based on achievement in excess of the performance targets. The overachievement performance targets and weighting are as follows: (1) 40% of the overachievement award is based on adjusted EBITDA of $835 million as of September 30, 2016, with linear interpolation of the award if adjusted EBITDA is between $800 million and $835 million for Fiscal 2016;</w:t>
      </w:r>
    </w:p>
    <w:p>
      <w:pPr>
        <w:ind w:left="260" w:hanging="252"/>
        <w:spacing w:after="0"/>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40% is based on cumulative free cash flow of $875 million for Fiscal 2015 and 2016 combined, with linear interpolation of the award if such metric is</w:t>
      </w:r>
    </w:p>
    <w:p>
      <w:pPr>
        <w:spacing w:after="0" w:line="20" w:lineRule="exact"/>
        <w:rPr>
          <w:rFonts w:ascii="Arial" w:cs="Arial" w:eastAsia="Arial" w:hAnsi="Arial"/>
          <w:sz w:val="17"/>
          <w:szCs w:val="17"/>
          <w:color w:val="auto"/>
        </w:rPr>
      </w:pPr>
    </w:p>
    <w:p>
      <w:pPr>
        <w:ind w:right="60"/>
        <w:spacing w:after="0" w:line="277" w:lineRule="auto"/>
        <w:rPr>
          <w:rFonts w:ascii="Arial" w:cs="Arial" w:eastAsia="Arial" w:hAnsi="Arial"/>
          <w:sz w:val="17"/>
          <w:szCs w:val="17"/>
          <w:color w:val="auto"/>
        </w:rPr>
      </w:pPr>
      <w:r>
        <w:rPr>
          <w:rFonts w:ascii="Arial" w:cs="Arial" w:eastAsia="Arial" w:hAnsi="Arial"/>
          <w:sz w:val="17"/>
          <w:szCs w:val="17"/>
          <w:color w:val="auto"/>
        </w:rPr>
        <w:t>between $800 million and $875 million for Fiscal 2015 and 2016 combined; and (3) 20% is based on adjusted diluted EPS of $5.25 per share for Fiscal 2016, with linear interpolation of the award if such metric is between $5.00 and $5.25 per share for Fiscal 2016. The maximum payout under each of the performance measures will be reduced by 50% if the performance on the remaining measures is less than 90% of target on each.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For purposes of determining achievement of the targets under the Spectrum $2B Plan, the Compensation Committee established the following definitions:</w:t>
      </w:r>
    </w:p>
    <w:p>
      <w:pPr>
        <w:spacing w:after="0" w:line="6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Diluted EPS</w:t>
      </w:r>
      <w:r>
        <w:rPr>
          <w:rFonts w:ascii="Arial" w:cs="Arial" w:eastAsia="Arial" w:hAnsi="Arial"/>
          <w:sz w:val="18"/>
          <w:szCs w:val="18"/>
          <w:color w:val="auto"/>
        </w:rPr>
        <w:t>” means GAAP diluted income per share adjusted for the following items as they relate to the calculation of net income: acquisition and integration related charges, restructuring and related charges, one-time debt refinancing costs, inventory fair-value adjustments related to acquisitions, discontinued operations, stock-based compensation amortization related to the Spectrum $2B Plan, the 2015 EIP, and the 2016 EIP, and normalizing the consolidated tax rate at 35 percent.</w:t>
      </w:r>
    </w:p>
    <w:p>
      <w:pPr>
        <w:spacing w:after="0" w:line="18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EBITDA</w:t>
      </w:r>
      <w:r>
        <w:rPr>
          <w:rFonts w:ascii="Arial" w:cs="Arial" w:eastAsia="Arial" w:hAnsi="Arial"/>
          <w:sz w:val="17"/>
          <w:szCs w:val="17"/>
          <w:color w:val="auto"/>
        </w:rPr>
        <w:t>” means earnings (defined as operating income (loss) of the Company plus other income less other expenses) before interest, taxes, depreciation, and amortization and excluding restructuring, acquisition, and integration charges, discontinued operations, and other one-time charges. The result of the formula in the preceding sentence was then adjusted so as to negate the effects of acquisitions or dispositions; provided, however that Adjusted EBITDA resulting from businesses or products lines acquired (in Board-approved transactions) during the Spectrum $2B performance period are subject to inclusion in the calculation from the date of acquisition subject to Compensation Committee approval.</w:t>
      </w:r>
    </w:p>
    <w:p>
      <w:pPr>
        <w:spacing w:after="0" w:line="17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Cumulative Free Cash Flow</w:t>
      </w:r>
      <w:r>
        <w:rPr>
          <w:rFonts w:ascii="Arial" w:cs="Arial" w:eastAsia="Arial" w:hAnsi="Arial"/>
          <w:sz w:val="18"/>
          <w:szCs w:val="18"/>
          <w:color w:val="auto"/>
        </w:rPr>
        <w:t>” means the cumulative amount during the Spectrum $2B performance period of Adjusted EBITDA plus or minus changes in current and long term assets and liabilities, less cash payments for taxes, restructuring, and interest, but excluding proceeds from acquisitions or dispositions. Any reductions in Cumulative Free Cash Flow resulting from transaction costs or financing fees incurred in connection with any Board-approved acquisition, disposition, or refinancing (in each case during the Spectrum $2B performance period) could be added back to Cumulative Free Cash Flow.</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 and Vesting; Eligibility</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plan design, awards are denominated in dollars for achieving 100% of the performance goals, but will be payable in RSUs or shares of restricted stock based on the fair market value of the Company’s shares as of the last day of the performance period. Accordingly, each participant is granted a target dollar value, as set forth in the table below. If the above performance criteria are satisfied as of September 30, 2016, then 50% of the award will be paid in RSUs or restricted stock within 74 days after the end of Fiscal 2016, and 50% will be paid in RSUs or restricted stock which vest one year after the first vesting date, subject to continued employment and any other applicable terms in the underlying award agreement. The Company’s named executive officers are required to retain at least 50% of the shares they receive upon vesting (net of any shares withheld by the Company upon vesting for tax purposes) for two years after vesting. There are approximately 175 participants in the Spectrum $2B Plan.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Awards Under the Spectrum $2B Plan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Fiscal 2015, the Company’s Board of Directors, upon the recommendation of the Compensation Committee, approved the following award opportunities under the Spectrum $2B Plan for the Company’s continuing named executive officers. No award was made to Mr. Lumley under the Spectrum $2B Plan.</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Value of RSUs or Restricted Stock Granted (in $)</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4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Award at</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2"/>
          </w:tcPr>
          <w:p>
            <w:pPr>
              <w:jc w:val="center"/>
              <w:ind w:right="920"/>
              <w:spacing w:after="0" w:line="119" w:lineRule="exact"/>
              <w:rPr>
                <w:sz w:val="20"/>
                <w:szCs w:val="20"/>
                <w:color w:val="auto"/>
              </w:rPr>
            </w:pPr>
            <w:r>
              <w:rPr>
                <w:rFonts w:ascii="Arial" w:cs="Arial" w:eastAsia="Arial" w:hAnsi="Arial"/>
                <w:sz w:val="13"/>
                <w:szCs w:val="13"/>
                <w:b w:val="1"/>
                <w:bCs w:val="1"/>
                <w:color w:val="auto"/>
              </w:rPr>
              <w:t>Additional Award at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Maximum Overachievement</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Andreas Rouvé</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2,000,000</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840,000</w:t>
            </w:r>
          </w:p>
        </w:tc>
        <w:tc>
          <w:tcPr>
            <w:tcW w:w="7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E. Fagre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w:t>
            </w: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Stacey L. Neu</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140,000</w:t>
            </w:r>
          </w:p>
        </w:tc>
        <w:tc>
          <w:tcPr>
            <w:tcW w:w="7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540,000</w:t>
            </w:r>
          </w:p>
        </w:tc>
        <w:tc>
          <w:tcPr>
            <w:tcW w:w="0" w:type="dxa"/>
            <w:vAlign w:val="bottom"/>
          </w:tcPr>
          <w:p>
            <w:pPr>
              <w:spacing w:after="0"/>
              <w:rPr>
                <w:sz w:val="1"/>
                <w:szCs w:val="1"/>
                <w:color w:val="auto"/>
              </w:rPr>
            </w:pPr>
          </w:p>
        </w:tc>
      </w:tr>
      <w:tr>
        <w:trPr>
          <w:trHeight w:val="350"/>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right="16"/>
              <w:spacing w:after="0"/>
              <w:rPr>
                <w:sz w:val="20"/>
                <w:szCs w:val="20"/>
                <w:color w:val="auto"/>
              </w:rPr>
            </w:pPr>
            <w:r>
              <w:rPr>
                <w:rFonts w:ascii="Arial" w:cs="Arial" w:eastAsia="Arial" w:hAnsi="Arial"/>
                <w:sz w:val="18"/>
                <w:szCs w:val="18"/>
                <w:color w:val="auto"/>
                <w:w w:val="86"/>
              </w:rPr>
              <w:t>103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 Background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 EIP</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2015 EIP program is consistent with the design of our prior years’ EIP programs. As with prior years, awards under the 2015 EIP for all participants are made in the form of performance-based RSUs and the award agreements provide that RSUs will vest based on the achievement of the performance goals set for the Company for Fiscal 2015 and on the continued employment of the participant through the fiscal year performance cycle. For the 2015 EIP the Company performance goals are adjusted EBITDA and Free Cash Flow, and the targets are as set forth in the Company’s Annual Operating Plan approved by the Board of Directors. The weighting of these two goals is 50% for adjusted EBITDA and 50% for Free Cash Flow.</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2015 EIP the two performance goals are earned independently of one another. The achievement of the performance goals for each of Messrs. Rouvé, Martin, and Fagre and for Ms. Neu are measured on a consolidated Company-wide basis and are not subdivided with regard to the performance of specific business segments or units.</w:t>
      </w:r>
    </w:p>
    <w:p>
      <w:pPr>
        <w:spacing w:after="0" w:line="18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potential RSUs that could be earned by each participating named executive officer, for the 50% of the award based on adjusted EBITDA, expressed as a percentage of that portion of the award amount, ranged from 50% for achievement of the threshold adjusted EBITDA performance level established by the Compensation Committee of $724.2 million, 100% for achieving the performance goal in full at the target performance level of $760.0 million, and up to a maximum of 135% of the target award if performance reached or exceeded the upper achievement threshold of $798.0 million. For the 50% of the award based on Free Cash Flow, the named executive officers could achieve 50% of this portion of the award for achievement of the threshold Free Cash Flow performance level of $360.0 million, 100% for achieving the performance goal in full at the target performance level of $400.0 million, and up to a maximum of 135% of the target award if performance reached or exceeded the upper achievement threshold of $424.0 million.</w:t>
      </w:r>
    </w:p>
    <w:p>
      <w:pPr>
        <w:spacing w:after="0" w:line="16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2015 EIP design had a minimum financial threshold for each of adjusted EBITDA and Free Cash Flow, set at the level of greater than the prior year’s actual performance, below which there was no payout with respect to that objective. The award agreements for the 2015 EIP provided that if an award was earned for Fiscal 2015, then 50% of the RSUs awarded would vest as soon as practicable after certification of the results by the Compensation Committee, but no later than 74 days following the end of Fiscal 2015, and 50% would vest on the first anniversary of the initial vesting date, subject to continued employment on such anniversary. Awards for performance between threshold and target levels, and between target and maximum levels, could be earned based on a linear curve between the various levels. The 2015 EIP design has a two-year performance period for any additional awards, requiring that the Fiscal 2016 performance in adjusted EBITDA and Free Cash Flow must be greater than such performance for Fiscal 2015, before any over-achievement awards would be paid to participants. This is referred to as the plan’s “consistency contingency provision.” If both applicable threshold performances were not achieved, then no RSUs were earned. The Compensation Committee also provided in the award agreements for the named executive officers that such officers are required to hold at least 25% of the net shares they receive (after any shares withheld by the Company for tax purposes) for at least one year following the vesting date. In addition, the named executive officers, and all other officers at the Vice President level or higher, are subject to the share ownership guidelines discussed below.</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table below reflects for each participating named executive officer the RSU award amount, the performance metrics established by the Compensation Committee, the weighting of each performance metric, the percentage of his or her target award achievable pursuant to the performance goals applicable to his or her award, the performance required to achieve the threshold, target, and maximum vesting eligibility based on those performance goals, and the percentage payout factor actually achieved (Mr. Genito is not included in this table because he was not a participant in the 2015 EIP):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Calculated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w:t>
            </w:r>
          </w:p>
        </w:tc>
        <w:tc>
          <w:tcPr>
            <w:tcW w:w="120" w:type="dxa"/>
            <w:vAlign w:val="bottom"/>
          </w:tcPr>
          <w:p>
            <w:pPr>
              <w:spacing w:after="0"/>
              <w:rPr>
                <w:sz w:val="12"/>
                <w:szCs w:val="12"/>
                <w:color w:val="auto"/>
              </w:rPr>
            </w:pPr>
          </w:p>
        </w:tc>
        <w:tc>
          <w:tcPr>
            <w:tcW w:w="1880" w:type="dxa"/>
            <w:vAlign w:val="bottom"/>
            <w:gridSpan w:val="7"/>
          </w:tcPr>
          <w:p>
            <w:pPr>
              <w:jc w:val="center"/>
              <w:ind w:left="256"/>
              <w:spacing w:after="0" w:line="149" w:lineRule="exact"/>
              <w:rPr>
                <w:sz w:val="20"/>
                <w:szCs w:val="20"/>
                <w:color w:val="auto"/>
              </w:rPr>
            </w:pPr>
            <w:r>
              <w:rPr>
                <w:rFonts w:ascii="Arial" w:cs="Arial" w:eastAsia="Arial" w:hAnsi="Arial"/>
                <w:sz w:val="14"/>
                <w:szCs w:val="14"/>
                <w:b w:val="1"/>
                <w:bCs w:val="1"/>
                <w:color w:val="auto"/>
                <w:w w:val="92"/>
              </w:rPr>
              <w:t>Required to Be Eligible</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7"/>
          </w:tcPr>
          <w:p>
            <w:pPr>
              <w:jc w:val="center"/>
              <w:ind w:left="256"/>
              <w:spacing w:after="0" w:line="149" w:lineRule="exact"/>
              <w:rPr>
                <w:sz w:val="20"/>
                <w:szCs w:val="20"/>
                <w:color w:val="auto"/>
              </w:rPr>
            </w:pPr>
            <w:r>
              <w:rPr>
                <w:rFonts w:ascii="Arial" w:cs="Arial" w:eastAsia="Arial" w:hAnsi="Arial"/>
                <w:sz w:val="14"/>
                <w:szCs w:val="14"/>
                <w:b w:val="1"/>
                <w:bCs w:val="1"/>
                <w:color w:val="auto"/>
                <w:w w:val="94"/>
              </w:rPr>
              <w:t>To Vest—Indicated %</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 of</w:t>
            </w: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ind w:left="256"/>
              <w:spacing w:after="0"/>
              <w:rPr>
                <w:sz w:val="20"/>
                <w:szCs w:val="20"/>
                <w:color w:val="auto"/>
              </w:rPr>
            </w:pPr>
            <w:r>
              <w:rPr>
                <w:rFonts w:ascii="Arial" w:cs="Arial" w:eastAsia="Arial" w:hAnsi="Arial"/>
                <w:sz w:val="14"/>
                <w:szCs w:val="14"/>
                <w:b w:val="1"/>
                <w:bCs w:val="1"/>
                <w:color w:val="auto"/>
                <w:w w:val="92"/>
              </w:rPr>
              <w:t>of RSUs ($ in millions)</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Factor (%</w:t>
            </w:r>
          </w:p>
        </w:tc>
        <w:tc>
          <w:tcPr>
            <w:tcW w:w="0" w:type="dxa"/>
            <w:vAlign w:val="bottom"/>
          </w:tcPr>
          <w:p>
            <w:pPr>
              <w:spacing w:after="0"/>
              <w:rPr>
                <w:sz w:val="1"/>
                <w:szCs w:val="1"/>
                <w:color w:val="auto"/>
              </w:rPr>
            </w:pPr>
          </w:p>
        </w:tc>
      </w:tr>
      <w:tr>
        <w:trPr>
          <w:trHeight w:val="119"/>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4"/>
              </w:rPr>
              <w:t>NEO (# of RSUs Awarded)</w:t>
            </w:r>
          </w:p>
        </w:tc>
        <w:tc>
          <w:tcPr>
            <w:tcW w:w="2540" w:type="dxa"/>
            <w:vAlign w:val="bottom"/>
            <w:vMerge w:val="restart"/>
          </w:tcPr>
          <w:p>
            <w:pPr>
              <w:spacing w:after="0"/>
              <w:rPr>
                <w:sz w:val="10"/>
                <w:szCs w:val="10"/>
                <w:color w:val="auto"/>
              </w:rPr>
            </w:pPr>
          </w:p>
        </w:tc>
        <w:tc>
          <w:tcPr>
            <w:tcW w:w="24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Performance Metric</w:t>
            </w:r>
          </w:p>
        </w:tc>
        <w:tc>
          <w:tcPr>
            <w:tcW w:w="200" w:type="dxa"/>
            <w:vAlign w:val="bottom"/>
            <w:vMerge w:val="restart"/>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Target</w:t>
            </w: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Threshold</w:t>
            </w:r>
          </w:p>
        </w:tc>
        <w:tc>
          <w:tcPr>
            <w:tcW w:w="220" w:type="dxa"/>
            <w:vAlign w:val="bottom"/>
          </w:tcPr>
          <w:p>
            <w:pPr>
              <w:spacing w:after="0"/>
              <w:rPr>
                <w:sz w:val="10"/>
                <w:szCs w:val="10"/>
                <w:color w:val="auto"/>
              </w:rPr>
            </w:pPr>
          </w:p>
        </w:tc>
        <w:tc>
          <w:tcPr>
            <w:tcW w:w="7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Maximum</w:t>
            </w:r>
          </w:p>
        </w:tc>
        <w:tc>
          <w:tcPr>
            <w:tcW w:w="300" w:type="dxa"/>
            <w:vAlign w:val="bottom"/>
          </w:tcPr>
          <w:p>
            <w:pPr>
              <w:spacing w:after="0"/>
              <w:rPr>
                <w:sz w:val="10"/>
                <w:szCs w:val="10"/>
                <w:color w:val="auto"/>
              </w:rPr>
            </w:pP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of Target</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tcBorders>
            <w:vMerge w:val="continue"/>
          </w:tcPr>
          <w:p>
            <w:pPr>
              <w:spacing w:after="0"/>
              <w:rPr>
                <w:sz w:val="14"/>
                <w:szCs w:val="14"/>
                <w:color w:val="auto"/>
              </w:rPr>
            </w:pPr>
          </w:p>
        </w:tc>
        <w:tc>
          <w:tcPr>
            <w:tcW w:w="2540" w:type="dxa"/>
            <w:vAlign w:val="bottom"/>
            <w:tcBorders>
              <w:bottom w:val="single" w:sz="8" w:color="CCEEFF"/>
            </w:tcBorders>
            <w:vMerge w:val="continue"/>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Award)</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(50%)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(135%)</w:t>
            </w: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Andreas Rouvé (32,572)</w:t>
            </w:r>
          </w:p>
        </w:tc>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Consolidated Adjusted EBITDA</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95"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w w:val="84"/>
              </w:rPr>
              <w:t>724.2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$ 760.0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7"/>
              </w:rPr>
              <w:t>798.0</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46.600%</w:t>
            </w: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Free Cash Flow</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360.0</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$ 400.0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424.0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54.795%</w:t>
            </w: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Douglas L. Martin (16,055)</w:t>
            </w: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Consolidated Adjusted EBITDA</w:t>
            </w:r>
          </w:p>
        </w:tc>
        <w:tc>
          <w:tcPr>
            <w:tcW w:w="9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50%</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724.2</w:t>
            </w:r>
          </w:p>
        </w:tc>
        <w:tc>
          <w:tcPr>
            <w:tcW w:w="96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6"/>
              </w:rPr>
              <w:t>$ 760.0</w:t>
            </w:r>
          </w:p>
        </w:tc>
        <w:tc>
          <w:tcPr>
            <w:tcW w:w="3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w w:val="97"/>
              </w:rPr>
              <w:t>798.0</w:t>
            </w: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46.600%</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Consolidated Free Cash Flow</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360.0</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6"/>
              </w:rPr>
              <w:t>$ 400.0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424.0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54.795%</w:t>
            </w:r>
          </w:p>
        </w:tc>
        <w:tc>
          <w:tcPr>
            <w:tcW w:w="0" w:type="dxa"/>
            <w:vAlign w:val="bottom"/>
          </w:tcPr>
          <w:p>
            <w:pPr>
              <w:spacing w:after="0"/>
              <w:rPr>
                <w:sz w:val="1"/>
                <w:szCs w:val="1"/>
                <w:color w:val="auto"/>
              </w:rPr>
            </w:pPr>
          </w:p>
        </w:tc>
      </w:tr>
      <w:tr>
        <w:trPr>
          <w:trHeight w:val="21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Nathan E. Fagre (13,914)</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Adjusted EBITDA</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724.2</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$ 760.0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798.0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46.600%</w:t>
            </w: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Free Cash Flow</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360.0</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$ 400.0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424.0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54.795%</w:t>
            </w: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Stacey L. Neu (7,754)</w:t>
            </w: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Consolidated Adjusted EBITDA</w:t>
            </w:r>
          </w:p>
        </w:tc>
        <w:tc>
          <w:tcPr>
            <w:tcW w:w="9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50%</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724.2</w:t>
            </w:r>
          </w:p>
        </w:tc>
        <w:tc>
          <w:tcPr>
            <w:tcW w:w="96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6"/>
              </w:rPr>
              <w:t>$ 760.0</w:t>
            </w:r>
          </w:p>
        </w:tc>
        <w:tc>
          <w:tcPr>
            <w:tcW w:w="3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w w:val="97"/>
              </w:rPr>
              <w:t>798.0</w:t>
            </w: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46.600%</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Consolidated Free Cash Flow</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360.0</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6"/>
              </w:rPr>
              <w:t>$ 400.0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424.0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54.795%</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David R. Lumley (54,771)</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Adjusted EBITDA</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$ 760.0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798.0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60" w:hanging="452"/>
        <w:spacing w:after="0" w:line="342"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Per the plan’s consistency contingency, the plan’s Free Cash Flow calculated 2015 payout factor of 54.795% requires 4.795% payout above target be held until the Company’s 2016 Free Cash Flow achievement is certified as achieved at or above 2015 achievement of $406.575 million.</w:t>
      </w:r>
    </w:p>
    <w:p>
      <w:pPr>
        <w:spacing w:after="0" w:line="23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2016 EIP</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2016 EIP program continues to be consistent with the design of our prior years’ EIP programs. As with prior years, awards under the 2016 EIP for all participants are made in the form of performance-based RSUs, and the award agreements will provide that RSUs will vest based on the achievement of the performance goals set for the Company for Fiscal 2016 and on the continued employment of the participant through the fiscal year performance cycle. As with prior years, for the 2016 EIP the Company performance goals are adjusted EBITDA and Free Cash Flow, and the targets are as set forth in the Company’s Annual Operating Plan approved by the Board of Directors. The weighting of these two goals is 50% for adjusted EBITDA and 50% for Free Cash Flow. The definitions of adjusted EBITDA and Free Cash Flow are generally the same as described above, with the exception that for the Fiscal 2016 EIP the financial results of the Global Auto Care segment (resulting from the acquisition of Armored AutoGroup during Fiscal 2015) will be included with the results of the legacy Company operations for the full fiscal year.</w:t>
      </w:r>
    </w:p>
    <w:p>
      <w:pPr>
        <w:spacing w:after="0" w:line="17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with prior years, under the 2016 EIP the two performance goals are earned independently of one another. For the 2016 EIP, the achievement of the performance goals for each of Messrs. Rouvé, Martin, and Fagre and for Ms. Neu are measured on a consolidated Company-wide basis and are not subdivided with regard to the performance of specific business segments or units. Acquisitions by the Company may be included in the adjusted EBITDA calculations at the discretion of the Compensation Commitee.</w:t>
      </w:r>
    </w:p>
    <w:p>
      <w:pPr>
        <w:spacing w:after="0" w:line="18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potential 2016 RSUs that may be earned for each of our participating named executive officers, for the 50% of the award based on adjusted EBITDA, expressed as a percentage of that portion of the award amount, range from 50% for achievement of the threshold adjusted EBITDA performance level established by the Compensation Committee of $897.1 million, 100% for achieving the performance goal in full at the target performance level of $935.0 million, and up to a maximum of 135% of the target award if actual performance reaches or exceeds the upper achievement threshold of $981.75 million. For the 50% of the award based on Free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Cash Flow, the named executive officers could achieve 50% of this portion of the award for achievement of the threshold Free Cash Flow performance level of $453.6 million, 100% for achieving the performance goal in full at the target performance level of $510.0 million, and up to a maximum of 135% of the target award if actual performance reaches or exceeds the upper achievement threshold of $540.6 million.</w:t>
      </w:r>
    </w:p>
    <w:p>
      <w:pPr>
        <w:spacing w:after="0" w:line="18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2016 EIP design has a minimum financial threshold for each of adjusted EBITDA and Free Cash Flow, set at the level of better than the prior year’s actual performance, below which there will be no payout with respect to that objective. The award agreements for the 2016 EIP provide that if an award is earned for Fiscal 2016, then 50% of the RSUs awarded would vest as soon as practicable after certification of the results by the Compensation Committee, but no later than 74 days following the end of Fiscal 2016, and 50% would vest on the first anniversary of the initial vesting date, subject to continued employment on such anniversary. Performance between threshold and target levels, and between target and maximum levels, would be earned based on a linear curve between the various levels. If both applicable threshold performances are not achieved, then no RSUs will be earned. The Compensation Committee also will provide in the award agreements for the named executive officers in the 2016 EIP program that such officers are required to hold at least 25% of the net shares they receive (after any shares withheld by the Company for tax purposes) for at least one year. In addition, the named executive officers, and all other officers at the Vice President level or higher, are subject to the share ownership guidelines discussed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Board of Directors believes that certain of the Company’s officers should own and hold Company common stock to further align their interests with the interests of stockholders and to further promote the Company’s commitment to sound corporate governance. Therefore, effective January 29, 2013, the Board of Directors, upon the recommendation of the Compensation Committee, established stock ownership guidelines applicable to the Company’s named executive officers and all other officers of the Company and its subsidiaries with a level of Vice President or above.</w:t>
      </w:r>
    </w:p>
    <w:p>
      <w:pPr>
        <w:spacing w:after="0" w:line="154"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Under the stock ownership guidelines, the applicable officers are expected to achieve the levels of stock ownership indicated below (which equal a dollar value of stock based on a multiple of the officer’s base salary) in the applicable time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20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 Value of Stock</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Years to</w:t>
            </w:r>
          </w:p>
        </w:tc>
        <w:tc>
          <w:tcPr>
            <w:tcW w:w="0" w:type="dxa"/>
            <w:vAlign w:val="bottom"/>
          </w:tcPr>
          <w:p>
            <w:pPr>
              <w:spacing w:after="0"/>
              <w:rPr>
                <w:sz w:val="1"/>
                <w:szCs w:val="1"/>
                <w:color w:val="auto"/>
              </w:rPr>
            </w:pPr>
          </w:p>
        </w:tc>
      </w:tr>
      <w:tr>
        <w:trPr>
          <w:trHeight w:val="149"/>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0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to be Retained</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60" w:type="dxa"/>
            <w:vAlign w:val="bottom"/>
            <w:gridSpan w:val="2"/>
            <w:vMerge w:val="continue"/>
          </w:tcPr>
          <w:p>
            <w:pPr>
              <w:spacing w:after="0"/>
              <w:rPr>
                <w:sz w:val="14"/>
                <w:szCs w:val="14"/>
                <w:color w:val="auto"/>
              </w:rPr>
            </w:pPr>
          </w:p>
        </w:tc>
        <w:tc>
          <w:tcPr>
            <w:tcW w:w="2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(Multiple of Base Salary)</w:t>
            </w: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Achieve</w:t>
            </w:r>
          </w:p>
        </w:tc>
        <w:tc>
          <w:tcPr>
            <w:tcW w:w="0" w:type="dxa"/>
            <w:vAlign w:val="bottom"/>
          </w:tcPr>
          <w:p>
            <w:pPr>
              <w:spacing w:after="0"/>
              <w:rPr>
                <w:sz w:val="1"/>
                <w:szCs w:val="1"/>
                <w:color w:val="auto"/>
              </w:rPr>
            </w:pPr>
          </w:p>
        </w:tc>
      </w:tr>
      <w:tr>
        <w:trPr>
          <w:trHeight w:val="210"/>
        </w:trPr>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w:t>
            </w:r>
          </w:p>
        </w:tc>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5x Base Salary</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Chief Financial Officer, General Counsel, and General Managers of business units</w:t>
            </w:r>
          </w:p>
        </w:tc>
        <w:tc>
          <w:tcPr>
            <w:tcW w:w="2080" w:type="dxa"/>
            <w:vAlign w:val="bottom"/>
            <w:gridSpan w:val="2"/>
          </w:tcPr>
          <w:p>
            <w:pPr>
              <w:jc w:val="right"/>
              <w:ind w:right="540"/>
              <w:spacing w:after="0"/>
              <w:rPr>
                <w:sz w:val="20"/>
                <w:szCs w:val="20"/>
                <w:color w:val="auto"/>
              </w:rPr>
            </w:pPr>
            <w:r>
              <w:rPr>
                <w:rFonts w:ascii="Arial" w:cs="Arial" w:eastAsia="Arial" w:hAnsi="Arial"/>
                <w:sz w:val="18"/>
                <w:szCs w:val="18"/>
                <w:color w:val="auto"/>
              </w:rPr>
              <w:t>3x Base Salary</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w w:val="98"/>
              </w:rPr>
              <w:t>2 years</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w:t>
            </w:r>
          </w:p>
        </w:tc>
        <w:tc>
          <w:tcPr>
            <w:tcW w:w="2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2x Base Salary</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3 years</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Vice Presidents</w:t>
            </w:r>
          </w:p>
        </w:tc>
        <w:tc>
          <w:tcPr>
            <w:tcW w:w="2080" w:type="dxa"/>
            <w:vAlign w:val="bottom"/>
            <w:gridSpan w:val="2"/>
          </w:tcPr>
          <w:p>
            <w:pPr>
              <w:jc w:val="right"/>
              <w:ind w:right="540"/>
              <w:spacing w:after="0"/>
              <w:rPr>
                <w:sz w:val="20"/>
                <w:szCs w:val="20"/>
                <w:color w:val="auto"/>
              </w:rPr>
            </w:pPr>
            <w:r>
              <w:rPr>
                <w:rFonts w:ascii="Arial" w:cs="Arial" w:eastAsia="Arial" w:hAnsi="Arial"/>
                <w:sz w:val="18"/>
                <w:szCs w:val="18"/>
                <w:color w:val="auto"/>
              </w:rPr>
              <w:t>1x Base Salary</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w w:val="98"/>
              </w:rPr>
              <w:t>3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stock ownership levels attained by an officer are based on shares directly owned by the officer, whether through earned and vested RSU or restricted stock grants or open market purchases. Unvested restricted shares, unvested RSUs, and stock options are not counted toward the ownership goals. The Compensation Committee reviews, on an annual basis, the progress of the officers in meeting the guidelines, and in some circumstances failure to meet the guidelines by an officer could result in additional retention requirements or other actions by the Compensation Committee.</w:t>
      </w:r>
    </w:p>
    <w:p>
      <w:pPr>
        <w:spacing w:after="0" w:line="15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addition, the Chief Executive Officer, Chief Financial Officer, business unit General Managers, the General Counsel, and two other officers also are subject to an additional stock retention requirement requiring them to retain at least 25% of their earned net shares of Company stock (after tax withholding) received 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awards granted per the Fiscal 2015 EIP. For Fiscal 2016 EIP, 25% of earned net shares of Company stock (after tax with-holding) must be held for one year after the vesting date of such awards for all participants of the program. In addition, under the terms of the Spectrum $2B Plan, all participants at the level of Vice President or higher are subject to the 50% stock retention requirement (net of tax withholding) for two years after the date of vesting of awards under that plan.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Deferral and Post-Termination Benefits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maintains a 401(k) plan for its employees, including the named executive officers.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Supplemental Executive Life Insurance Program</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Each of Messrs. Rouve and Martin participates in a program pursuant to which the Company on behalf of each participant makes an annual contribution on October 1 each year equal to 15% of such participant’s base salary as of that date into a company-owned executive life insurance policy for such participant. The investment options for each such policy are selected by the participant from among a limited number of alternatives provided by the insurance provider.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Post-Termination Benefits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described above, the Company has entered into agreements with Messrs. Rouvé, Martin, and Fagre and with Ms. Neu which govern, among other things, post-termination benefits payable to each such named executive officer should his or her employment with the Company terminate. In addition, the Company entered into the Lumley Transition Agreement and SBI entered into the Genito Retention Agreement, which provide for certain benefits and compensation to Mr. Lumley and Mr. Genito, respectively, in connection with their terminations of employment with the Company. A detailed description of the post-termination rights and benefits pursuant to each of the agreements described in this paragraph is set forth under the heading “</w:t>
      </w:r>
      <w:r>
        <w:rPr>
          <w:rFonts w:ascii="Arial" w:cs="Arial" w:eastAsia="Arial" w:hAnsi="Arial"/>
          <w:sz w:val="18"/>
          <w:szCs w:val="18"/>
          <w:i w:val="1"/>
          <w:iCs w:val="1"/>
          <w:color w:val="auto"/>
        </w:rPr>
        <w:t>Termination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 Provisions</w:t>
      </w:r>
      <w:r>
        <w:rPr>
          <w:rFonts w:ascii="Arial" w:cs="Arial" w:eastAsia="Arial" w:hAnsi="Arial"/>
          <w:sz w:val="18"/>
          <w:szCs w:val="18"/>
          <w:color w:val="auto"/>
        </w:rPr>
        <w:t>” below.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Benefits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provides certain limited perquisites and other special benefits to certain executives, including the named executive officers. Among these benefits are financial planning services, tax planning services, car allowances or leased car programs, executive medical exams, and executive life and disability insurance.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and Pricing of Stock-Based Grants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currently does not issue stock options to any officers or employees. Traditionally, annual grants of restricted stock or RSUs to our named executive officers are made on the date or as soon as practicable following the date on which such grants are approved by the Compensation Committee or the Board, or, if the award dictates the achievement of a particular event prior to grant, as soon as practicable after the achievement of such event. For purposes of valuing awards made under the 2011 Plan, the grant price is the closing sales price of the Company’s common stock on the exchange on which the Company’s shares are listed on the grant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Certain Compensation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Section 162(m) of the Internal Revenue Code, the Company may not be able to deduct certain forms of compensation paid to its Chief Executive Officer and the three other most highly compensated named executive officers (other than the Chief Financial Officer) who remain employed at the end of a fiscal year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extent such compensation exceeds $1,000,000. This section also includes an exception for certain performance-based compensation awards. While the Compensation Committee believes that it is generally in the Company’s best interests to satisfy these deductibility requirements, it retains the right to authorize payments in excess of the deductibility limits if it believes it to be in the interests of the Company and its stockholders. The Company has had in the past, and specifically reserves the right to have in the future, instances where it pays compensation to its executives that exceeds the deductibility limits.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Payments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provides increases in payments to the named executive officers and other management personnel to cover personal income tax due as a result of imputed income in connection with the provision of the following perquisites: company leased car, financial planning and tax planning and executive life and disability insurance, and Company-required relocation. Beyond these tax payments, the Company does not make any other payments to the named executive officers to cover personal income taxes.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Plans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October 21, 2010, our Board of Directors approved the 2011 Plan, subject to the approval of the stockholders at the 2011 Annual Meeting. The 2011 Plan was subsequently approved at the 2011 Annual Meeting. At the 2014 Annual Meeting, our stockholders approved an amendment to the 2011 Plan to increase by 1,000,000 the number of shares of Common Stock available for issuance under the 2011 Plan, for an aggregate total of 5,625,676 shares. As of December 9, 2015, we have issued a total of 4,076,674 restricted shares and RSUs under the 2011 Plan, and have remaining authorization under the 2011 Plan to issue up to a total of 1,549,002 shares of our common stock, or options or restricted stock units exercisable for shares of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Clawback/Forfeiture and Recoupment Policy</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the 2011 Plan, any equity award agreement granted may be cancelled by the Compensation Committee in its sole discretion, except as prohibited by applicable law, if the participant, without the consent of the Company, while employed by or providing services to the Company or any affiliate or after termination of such employment or service, violates a non-competition, non-solicitation, or non-disclosure covenant or agreement or otherwise engages in activity that is in conflict with or adverse to the interests of the Company or any affiliate, including fraud or conduct contributing to any financial restatements or irregularities engaged in activity, as determined by the Compensation Committee in its sole discretion. The Compensation Committee may also provide in any award agreement that the participant will forfeit any gain realized on the vesting or exercise of such award, and must repay the gain to the Company, in each case except as prohibited by applicable law, if (a) the participant engages in any activity referred to in the preceding sentence, or (b) the amount of any such gain is in excess of what the participant should have received under the terms of the award for any reason (including without limitation by reason of a financial restatement, mistake in calculations, or other administrative error). Additionally, awards are subject to claw-back, forfeiture, or similar requirements to the extent required by applicable law (including without limitation Section 302 of the Sarbanes-Oxley Act and Section 954 of the Dodd Frank Act). All equity awards that have been granted under the 2011 Plan to date include such provisions.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tables and footnotes show the compensation earned for service in all capacities during Fiscal 2015, Fiscal 2014, and Fiscal 2013 by the Company’s named executive officers. For 2013, the Stock Awards for the named executive officers include the 2013 EIP awards, the HHI Integration Bonus awards (with respect to Mr. Lumley and Mr. Genito), and the Spectrum 750 Plan awards. For 2014, the Stock Awards for the named executive officers include the 2014 EIP awards, and, with respect to Mr. Martin, a one-time restricted stock grant made in connection with joining the Company and his forfeiture of equity awards at his former employer. For 2015, the Stock Awards for the named executive officers include the 2015 EIP awards and the Spectrum $2B Plan awards.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All</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restart"/>
          </w:tcPr>
          <w:p>
            <w:pPr>
              <w:jc w:val="right"/>
              <w:ind w:right="503"/>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continue"/>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Compen-</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Compen-</w:t>
            </w:r>
          </w:p>
        </w:tc>
        <w:tc>
          <w:tcPr>
            <w:tcW w:w="10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(2)</w:t>
            </w:r>
          </w:p>
        </w:tc>
        <w:tc>
          <w:tcPr>
            <w:tcW w:w="11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sation</w:t>
            </w:r>
            <w:r>
              <w:rPr>
                <w:rFonts w:ascii="Arial" w:cs="Arial" w:eastAsia="Arial" w:hAnsi="Arial"/>
                <w:sz w:val="12"/>
                <w:szCs w:val="12"/>
                <w:b w:val="1"/>
                <w:bCs w:val="1"/>
                <w:color w:val="auto"/>
                <w:w w:val="89"/>
              </w:rPr>
              <w:t>(3)</w:t>
            </w:r>
          </w:p>
        </w:tc>
        <w:tc>
          <w:tcPr>
            <w:tcW w:w="11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sation</w:t>
            </w:r>
            <w:r>
              <w:rPr>
                <w:rFonts w:ascii="Arial" w:cs="Arial" w:eastAsia="Arial" w:hAnsi="Arial"/>
                <w:sz w:val="12"/>
                <w:szCs w:val="12"/>
                <w:b w:val="1"/>
                <w:bCs w:val="1"/>
                <w:color w:val="auto"/>
                <w:w w:val="92"/>
              </w:rPr>
              <w:t>(4)</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66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6"/>
              </w:rPr>
              <w:t>$</w:t>
            </w:r>
          </w:p>
        </w:tc>
        <w:tc>
          <w:tcPr>
            <w:tcW w:w="320" w:type="dxa"/>
            <w:vAlign w:val="bottom"/>
          </w:tcPr>
          <w:p>
            <w:pPr>
              <w:spacing w:after="0"/>
              <w:rPr>
                <w:sz w:val="12"/>
                <w:szCs w:val="12"/>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00" w:type="dxa"/>
            <w:vAlign w:val="bottom"/>
          </w:tcPr>
          <w:p>
            <w:pPr>
              <w:jc w:val="right"/>
              <w:ind w:right="332"/>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Andreas Rouvé</w:t>
            </w:r>
            <w:r>
              <w:rPr>
                <w:rFonts w:ascii="Arial" w:cs="Arial" w:eastAsia="Arial" w:hAnsi="Arial"/>
                <w:sz w:val="15"/>
                <w:szCs w:val="15"/>
                <w:color w:val="auto"/>
              </w:rPr>
              <w:t>(5)</w:t>
            </w: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84"/>
              </w:rPr>
              <w:t>2015</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571,339</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(6)</w:t>
            </w:r>
          </w:p>
        </w:tc>
        <w:tc>
          <w:tcPr>
            <w:tcW w:w="66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5,872,199</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639,354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126,621</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7,209,513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Executive Officer and President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5"/>
              </w:rPr>
              <w:t>452,659</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1,650,038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372,519</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16,063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5"/>
              </w:rPr>
              <w:t>439,397</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1,661,400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354,897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14,062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2,469,757</w:t>
            </w:r>
          </w:p>
        </w:tc>
        <w:tc>
          <w:tcPr>
            <w:tcW w:w="0" w:type="dxa"/>
            <w:vAlign w:val="bottom"/>
          </w:tcPr>
          <w:p>
            <w:pPr>
              <w:spacing w:after="0"/>
              <w:rPr>
                <w:sz w:val="1"/>
                <w:szCs w:val="1"/>
                <w:color w:val="auto"/>
              </w:rPr>
            </w:pPr>
          </w:p>
        </w:tc>
      </w:tr>
      <w:tr>
        <w:trPr>
          <w:trHeight w:val="310"/>
        </w:trPr>
        <w:tc>
          <w:tcPr>
            <w:tcW w:w="4000" w:type="dxa"/>
            <w:vAlign w:val="bottom"/>
            <w:gridSpan w:val="3"/>
          </w:tcPr>
          <w:p>
            <w:pPr>
              <w:spacing w:after="0"/>
              <w:rPr>
                <w:sz w:val="20"/>
                <w:szCs w:val="20"/>
                <w:color w:val="auto"/>
              </w:rPr>
            </w:pPr>
            <w:r>
              <w:rPr>
                <w:rFonts w:ascii="Arial" w:cs="Arial" w:eastAsia="Arial" w:hAnsi="Arial"/>
                <w:sz w:val="18"/>
                <w:szCs w:val="18"/>
                <w:color w:val="auto"/>
              </w:rPr>
              <w:t>Douglas L. Martin</w:t>
            </w:r>
          </w:p>
        </w:tc>
        <w:tc>
          <w:tcPr>
            <w:tcW w:w="620" w:type="dxa"/>
            <w:vAlign w:val="bottom"/>
            <w:gridSpan w:val="3"/>
          </w:tcPr>
          <w:p>
            <w:pPr>
              <w:ind w:left="260"/>
              <w:spacing w:after="0"/>
              <w:rPr>
                <w:sz w:val="20"/>
                <w:szCs w:val="20"/>
                <w:color w:val="auto"/>
              </w:rPr>
            </w:pPr>
            <w:r>
              <w:rPr>
                <w:rFonts w:ascii="Arial" w:cs="Arial" w:eastAsia="Arial" w:hAnsi="Arial"/>
                <w:sz w:val="18"/>
                <w:szCs w:val="18"/>
                <w:color w:val="auto"/>
                <w:w w:val="84"/>
              </w:rPr>
              <w:t>2015</w:t>
            </w:r>
          </w:p>
        </w:tc>
        <w:tc>
          <w:tcPr>
            <w:tcW w:w="320" w:type="dxa"/>
            <w:vAlign w:val="bottom"/>
          </w:tcPr>
          <w:p>
            <w:pPr>
              <w:spacing w:after="0"/>
              <w:rPr>
                <w:sz w:val="24"/>
                <w:szCs w:val="24"/>
                <w:color w:val="auto"/>
              </w:rPr>
            </w:pPr>
          </w:p>
        </w:tc>
        <w:tc>
          <w:tcPr>
            <w:tcW w:w="1100" w:type="dxa"/>
            <w:vAlign w:val="bottom"/>
            <w:gridSpan w:val="2"/>
          </w:tcPr>
          <w:p>
            <w:pPr>
              <w:jc w:val="right"/>
              <w:ind w:right="383"/>
              <w:spacing w:after="0"/>
              <w:rPr>
                <w:sz w:val="20"/>
                <w:szCs w:val="20"/>
                <w:color w:val="auto"/>
              </w:rPr>
            </w:pPr>
            <w:r>
              <w:rPr>
                <w:rFonts w:ascii="Arial" w:cs="Arial" w:eastAsia="Arial" w:hAnsi="Arial"/>
                <w:sz w:val="18"/>
                <w:szCs w:val="18"/>
                <w:color w:val="auto"/>
                <w:w w:val="95"/>
              </w:rPr>
              <w:t>550,688</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3,415,730</w:t>
            </w:r>
          </w:p>
        </w:tc>
        <w:tc>
          <w:tcPr>
            <w:tcW w:w="780" w:type="dxa"/>
            <w:vAlign w:val="bottom"/>
          </w:tcPr>
          <w:p>
            <w:pPr>
              <w:jc w:val="right"/>
              <w:spacing w:after="0"/>
              <w:rPr>
                <w:sz w:val="20"/>
                <w:szCs w:val="20"/>
                <w:color w:val="auto"/>
              </w:rPr>
            </w:pPr>
            <w:r>
              <w:rPr>
                <w:rFonts w:ascii="Arial" w:cs="Arial" w:eastAsia="Arial" w:hAnsi="Arial"/>
                <w:sz w:val="18"/>
                <w:szCs w:val="18"/>
                <w:color w:val="auto"/>
              </w:rPr>
              <w:t>523,364</w:t>
            </w:r>
          </w:p>
        </w:tc>
        <w:tc>
          <w:tcPr>
            <w:tcW w:w="3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142,594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4,632,376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 President and</w:t>
            </w:r>
          </w:p>
        </w:tc>
        <w:tc>
          <w:tcPr>
            <w:tcW w:w="620" w:type="dxa"/>
            <w:vAlign w:val="bottom"/>
            <w:gridSpan w:val="3"/>
          </w:tcPr>
          <w:p>
            <w:pPr>
              <w:ind w:left="260"/>
              <w:spacing w:after="0"/>
              <w:rPr>
                <w:sz w:val="20"/>
                <w:szCs w:val="20"/>
                <w:color w:val="auto"/>
              </w:rPr>
            </w:pPr>
            <w:r>
              <w:rPr>
                <w:rFonts w:ascii="Arial" w:cs="Arial" w:eastAsia="Arial" w:hAnsi="Arial"/>
                <w:sz w:val="18"/>
                <w:szCs w:val="18"/>
                <w:color w:val="auto"/>
                <w:w w:val="84"/>
              </w:rPr>
              <w:t>2014</w:t>
            </w:r>
          </w:p>
        </w:tc>
        <w:tc>
          <w:tcPr>
            <w:tcW w:w="320" w:type="dxa"/>
            <w:vAlign w:val="bottom"/>
          </w:tcPr>
          <w:p>
            <w:pPr>
              <w:spacing w:after="0"/>
              <w:rPr>
                <w:sz w:val="18"/>
                <w:szCs w:val="18"/>
                <w:color w:val="auto"/>
              </w:rPr>
            </w:pPr>
          </w:p>
        </w:tc>
        <w:tc>
          <w:tcPr>
            <w:tcW w:w="1100" w:type="dxa"/>
            <w:vAlign w:val="bottom"/>
            <w:gridSpan w:val="2"/>
          </w:tcPr>
          <w:p>
            <w:pPr>
              <w:jc w:val="right"/>
              <w:ind w:right="383"/>
              <w:spacing w:after="0"/>
              <w:rPr>
                <w:sz w:val="20"/>
                <w:szCs w:val="20"/>
                <w:color w:val="auto"/>
              </w:rPr>
            </w:pPr>
            <w:r>
              <w:rPr>
                <w:rFonts w:ascii="Arial" w:cs="Arial" w:eastAsia="Arial" w:hAnsi="Arial"/>
                <w:sz w:val="18"/>
                <w:szCs w:val="18"/>
                <w:color w:val="auto"/>
              </w:rPr>
              <w:t>45,833</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845,000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2,500,000</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82,500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3,473,333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E. Fagre</w:t>
            </w:r>
          </w:p>
        </w:tc>
        <w:tc>
          <w:tcPr>
            <w:tcW w:w="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4"/>
              </w:rPr>
              <w:t>2015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5"/>
              </w:rPr>
              <w:t>375,016</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1,976,937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237,893</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83,074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Senior Vice President,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5"/>
              </w:rPr>
              <w:t>372,917</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1,300,013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249,818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31,139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General Counsel and</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2013</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5"/>
              </w:rPr>
              <w:t>343,269</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1,014,800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39,359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Secretary</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00" w:type="dxa"/>
            <w:vAlign w:val="bottom"/>
            <w:gridSpan w:val="3"/>
          </w:tcPr>
          <w:p>
            <w:pPr>
              <w:spacing w:after="0"/>
              <w:rPr>
                <w:sz w:val="20"/>
                <w:szCs w:val="20"/>
                <w:color w:val="auto"/>
              </w:rPr>
            </w:pPr>
            <w:r>
              <w:rPr>
                <w:rFonts w:ascii="Arial" w:cs="Arial" w:eastAsia="Arial" w:hAnsi="Arial"/>
                <w:sz w:val="18"/>
                <w:szCs w:val="18"/>
                <w:color w:val="auto"/>
              </w:rPr>
              <w:t>Stacey L. Neu</w:t>
            </w:r>
          </w:p>
        </w:tc>
        <w:tc>
          <w:tcPr>
            <w:tcW w:w="620" w:type="dxa"/>
            <w:vAlign w:val="bottom"/>
            <w:gridSpan w:val="3"/>
          </w:tcPr>
          <w:p>
            <w:pPr>
              <w:ind w:left="260"/>
              <w:spacing w:after="0"/>
              <w:rPr>
                <w:sz w:val="20"/>
                <w:szCs w:val="20"/>
                <w:color w:val="auto"/>
              </w:rPr>
            </w:pPr>
            <w:r>
              <w:rPr>
                <w:rFonts w:ascii="Arial" w:cs="Arial" w:eastAsia="Arial" w:hAnsi="Arial"/>
                <w:sz w:val="18"/>
                <w:szCs w:val="18"/>
                <w:color w:val="auto"/>
                <w:w w:val="84"/>
              </w:rPr>
              <w:t>2015</w:t>
            </w:r>
          </w:p>
        </w:tc>
        <w:tc>
          <w:tcPr>
            <w:tcW w:w="320" w:type="dxa"/>
            <w:vAlign w:val="bottom"/>
          </w:tcPr>
          <w:p>
            <w:pPr>
              <w:spacing w:after="0"/>
              <w:rPr>
                <w:sz w:val="24"/>
                <w:szCs w:val="24"/>
                <w:color w:val="auto"/>
              </w:rPr>
            </w:pPr>
          </w:p>
        </w:tc>
        <w:tc>
          <w:tcPr>
            <w:tcW w:w="1100" w:type="dxa"/>
            <w:vAlign w:val="bottom"/>
            <w:gridSpan w:val="2"/>
          </w:tcPr>
          <w:p>
            <w:pPr>
              <w:jc w:val="right"/>
              <w:ind w:right="383"/>
              <w:spacing w:after="0"/>
              <w:rPr>
                <w:sz w:val="20"/>
                <w:szCs w:val="20"/>
                <w:color w:val="auto"/>
              </w:rPr>
            </w:pPr>
            <w:r>
              <w:rPr>
                <w:rFonts w:ascii="Arial" w:cs="Arial" w:eastAsia="Arial" w:hAnsi="Arial"/>
                <w:sz w:val="18"/>
                <w:szCs w:val="18"/>
                <w:color w:val="auto"/>
                <w:w w:val="95"/>
              </w:rPr>
              <w:t>250,000</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1,107,821</w:t>
            </w:r>
          </w:p>
        </w:tc>
        <w:tc>
          <w:tcPr>
            <w:tcW w:w="780" w:type="dxa"/>
            <w:vAlign w:val="bottom"/>
          </w:tcPr>
          <w:p>
            <w:pPr>
              <w:jc w:val="right"/>
              <w:spacing w:after="0"/>
              <w:rPr>
                <w:sz w:val="20"/>
                <w:szCs w:val="20"/>
                <w:color w:val="auto"/>
              </w:rPr>
            </w:pPr>
            <w:r>
              <w:rPr>
                <w:rFonts w:ascii="Arial" w:cs="Arial" w:eastAsia="Arial" w:hAnsi="Arial"/>
                <w:sz w:val="18"/>
                <w:szCs w:val="18"/>
                <w:color w:val="auto"/>
              </w:rPr>
              <w:t>158,595</w:t>
            </w:r>
          </w:p>
        </w:tc>
        <w:tc>
          <w:tcPr>
            <w:tcW w:w="3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27,426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i w:val="1"/>
                <w:iCs w:val="1"/>
                <w:color w:val="auto"/>
              </w:rPr>
              <w:t>Senior Vice President of</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i w:val="1"/>
                <w:iCs w:val="1"/>
                <w:color w:val="auto"/>
              </w:rPr>
              <w:t>Human Resources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gridSpan w:val="3"/>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Lumley</w:t>
            </w:r>
            <w:r>
              <w:rPr>
                <w:rFonts w:ascii="Arial" w:cs="Arial" w:eastAsia="Arial" w:hAnsi="Arial"/>
                <w:sz w:val="15"/>
                <w:szCs w:val="15"/>
                <w:color w:val="auto"/>
              </w:rPr>
              <w:t>(7)</w:t>
            </w:r>
          </w:p>
        </w:tc>
        <w:tc>
          <w:tcPr>
            <w:tcW w:w="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4"/>
              </w:rPr>
              <w:t>2015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5"/>
              </w:rPr>
              <w:t>945,000</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4,829,707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1,149,021</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4,748,513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11,672,241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Former Chief Executive</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5"/>
              </w:rPr>
              <w:t>939,375</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5,500,017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1,206,619</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258,918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7,904,929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Officer and President</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5"/>
              </w:rPr>
              <w:t>882,692</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16,837,640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1,035,000</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243,710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18,999,041</w:t>
            </w:r>
          </w:p>
        </w:tc>
        <w:tc>
          <w:tcPr>
            <w:tcW w:w="0" w:type="dxa"/>
            <w:vAlign w:val="bottom"/>
          </w:tcPr>
          <w:p>
            <w:pPr>
              <w:spacing w:after="0"/>
              <w:rPr>
                <w:sz w:val="1"/>
                <w:szCs w:val="1"/>
                <w:color w:val="auto"/>
              </w:rPr>
            </w:pPr>
          </w:p>
        </w:tc>
      </w:tr>
      <w:tr>
        <w:trPr>
          <w:trHeight w:val="310"/>
        </w:trPr>
        <w:tc>
          <w:tcPr>
            <w:tcW w:w="4000" w:type="dxa"/>
            <w:vAlign w:val="bottom"/>
            <w:gridSpan w:val="3"/>
          </w:tcPr>
          <w:p>
            <w:pPr>
              <w:spacing w:after="0"/>
              <w:rPr>
                <w:sz w:val="20"/>
                <w:szCs w:val="20"/>
                <w:color w:val="auto"/>
              </w:rPr>
            </w:pPr>
            <w:r>
              <w:rPr>
                <w:rFonts w:ascii="Arial" w:cs="Arial" w:eastAsia="Arial" w:hAnsi="Arial"/>
                <w:sz w:val="18"/>
                <w:szCs w:val="18"/>
                <w:color w:val="auto"/>
              </w:rPr>
              <w:t>Anthony L. Genito</w:t>
            </w:r>
            <w:r>
              <w:rPr>
                <w:rFonts w:ascii="Arial" w:cs="Arial" w:eastAsia="Arial" w:hAnsi="Arial"/>
                <w:sz w:val="15"/>
                <w:szCs w:val="15"/>
                <w:color w:val="auto"/>
              </w:rPr>
              <w:t>(8)</w:t>
            </w:r>
          </w:p>
        </w:tc>
        <w:tc>
          <w:tcPr>
            <w:tcW w:w="620" w:type="dxa"/>
            <w:vAlign w:val="bottom"/>
            <w:gridSpan w:val="3"/>
          </w:tcPr>
          <w:p>
            <w:pPr>
              <w:ind w:left="260"/>
              <w:spacing w:after="0"/>
              <w:rPr>
                <w:sz w:val="20"/>
                <w:szCs w:val="20"/>
                <w:color w:val="auto"/>
              </w:rPr>
            </w:pPr>
            <w:r>
              <w:rPr>
                <w:rFonts w:ascii="Arial" w:cs="Arial" w:eastAsia="Arial" w:hAnsi="Arial"/>
                <w:sz w:val="18"/>
                <w:szCs w:val="18"/>
                <w:color w:val="auto"/>
                <w:w w:val="84"/>
              </w:rPr>
              <w:t>2015</w:t>
            </w:r>
          </w:p>
        </w:tc>
        <w:tc>
          <w:tcPr>
            <w:tcW w:w="320" w:type="dxa"/>
            <w:vAlign w:val="bottom"/>
          </w:tcPr>
          <w:p>
            <w:pPr>
              <w:spacing w:after="0"/>
              <w:rPr>
                <w:sz w:val="24"/>
                <w:szCs w:val="24"/>
                <w:color w:val="auto"/>
              </w:rPr>
            </w:pPr>
          </w:p>
        </w:tc>
        <w:tc>
          <w:tcPr>
            <w:tcW w:w="1100" w:type="dxa"/>
            <w:vAlign w:val="bottom"/>
            <w:gridSpan w:val="2"/>
          </w:tcPr>
          <w:p>
            <w:pPr>
              <w:jc w:val="right"/>
              <w:ind w:right="383"/>
              <w:spacing w:after="0"/>
              <w:rPr>
                <w:sz w:val="20"/>
                <w:szCs w:val="20"/>
                <w:color w:val="auto"/>
              </w:rPr>
            </w:pPr>
            <w:r>
              <w:rPr>
                <w:rFonts w:ascii="Arial" w:cs="Arial" w:eastAsia="Arial" w:hAnsi="Arial"/>
                <w:sz w:val="18"/>
                <w:szCs w:val="18"/>
                <w:color w:val="auto"/>
                <w:w w:val="95"/>
              </w:rPr>
              <w:t>123,636</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2,648,552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2,772,188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i w:val="1"/>
                <w:iCs w:val="1"/>
                <w:color w:val="auto"/>
              </w:rPr>
              <w:t>Former Executive Vice</w:t>
            </w:r>
          </w:p>
        </w:tc>
        <w:tc>
          <w:tcPr>
            <w:tcW w:w="620" w:type="dxa"/>
            <w:vAlign w:val="bottom"/>
            <w:gridSpan w:val="3"/>
          </w:tcPr>
          <w:p>
            <w:pPr>
              <w:ind w:left="260"/>
              <w:spacing w:after="0"/>
              <w:rPr>
                <w:sz w:val="20"/>
                <w:szCs w:val="20"/>
                <w:color w:val="auto"/>
              </w:rPr>
            </w:pPr>
            <w:r>
              <w:rPr>
                <w:rFonts w:ascii="Arial" w:cs="Arial" w:eastAsia="Arial" w:hAnsi="Arial"/>
                <w:sz w:val="18"/>
                <w:szCs w:val="18"/>
                <w:color w:val="auto"/>
                <w:w w:val="84"/>
              </w:rPr>
              <w:t>2014</w:t>
            </w:r>
          </w:p>
        </w:tc>
        <w:tc>
          <w:tcPr>
            <w:tcW w:w="320" w:type="dxa"/>
            <w:vAlign w:val="bottom"/>
          </w:tcPr>
          <w:p>
            <w:pPr>
              <w:spacing w:after="0"/>
              <w:rPr>
                <w:sz w:val="18"/>
                <w:szCs w:val="18"/>
                <w:color w:val="auto"/>
              </w:rPr>
            </w:pPr>
          </w:p>
        </w:tc>
        <w:tc>
          <w:tcPr>
            <w:tcW w:w="1100" w:type="dxa"/>
            <w:vAlign w:val="bottom"/>
            <w:gridSpan w:val="2"/>
          </w:tcPr>
          <w:p>
            <w:pPr>
              <w:jc w:val="right"/>
              <w:ind w:right="383"/>
              <w:spacing w:after="0"/>
              <w:rPr>
                <w:sz w:val="20"/>
                <w:szCs w:val="20"/>
                <w:color w:val="auto"/>
              </w:rPr>
            </w:pPr>
            <w:r>
              <w:rPr>
                <w:rFonts w:ascii="Arial" w:cs="Arial" w:eastAsia="Arial" w:hAnsi="Arial"/>
                <w:sz w:val="18"/>
                <w:szCs w:val="18"/>
                <w:color w:val="auto"/>
                <w:w w:val="95"/>
              </w:rPr>
              <w:t>480,000</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2,500,014</w:t>
            </w:r>
          </w:p>
        </w:tc>
        <w:tc>
          <w:tcPr>
            <w:tcW w:w="780" w:type="dxa"/>
            <w:vAlign w:val="bottom"/>
          </w:tcPr>
          <w:p>
            <w:pPr>
              <w:jc w:val="right"/>
              <w:spacing w:after="0"/>
              <w:rPr>
                <w:sz w:val="20"/>
                <w:szCs w:val="20"/>
                <w:color w:val="auto"/>
              </w:rPr>
            </w:pPr>
            <w:r>
              <w:rPr>
                <w:rFonts w:ascii="Arial" w:cs="Arial" w:eastAsia="Arial" w:hAnsi="Arial"/>
                <w:sz w:val="18"/>
                <w:szCs w:val="18"/>
                <w:color w:val="auto"/>
              </w:rPr>
              <w:t>532,944</w:t>
            </w:r>
          </w:p>
        </w:tc>
        <w:tc>
          <w:tcPr>
            <w:tcW w:w="3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173,294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i w:val="1"/>
                <w:iCs w:val="1"/>
                <w:color w:val="auto"/>
              </w:rPr>
              <w:t>President and Chief</w:t>
            </w:r>
          </w:p>
        </w:tc>
        <w:tc>
          <w:tcPr>
            <w:tcW w:w="620" w:type="dxa"/>
            <w:vAlign w:val="bottom"/>
            <w:gridSpan w:val="3"/>
          </w:tcPr>
          <w:p>
            <w:pPr>
              <w:ind w:left="260"/>
              <w:spacing w:after="0"/>
              <w:rPr>
                <w:sz w:val="20"/>
                <w:szCs w:val="20"/>
                <w:color w:val="auto"/>
              </w:rPr>
            </w:pPr>
            <w:r>
              <w:rPr>
                <w:rFonts w:ascii="Arial" w:cs="Arial" w:eastAsia="Arial" w:hAnsi="Arial"/>
                <w:sz w:val="18"/>
                <w:szCs w:val="18"/>
                <w:color w:val="auto"/>
                <w:w w:val="84"/>
              </w:rPr>
              <w:t>2013</w:t>
            </w:r>
          </w:p>
        </w:tc>
        <w:tc>
          <w:tcPr>
            <w:tcW w:w="320" w:type="dxa"/>
            <w:vAlign w:val="bottom"/>
          </w:tcPr>
          <w:p>
            <w:pPr>
              <w:spacing w:after="0"/>
              <w:rPr>
                <w:sz w:val="18"/>
                <w:szCs w:val="18"/>
                <w:color w:val="auto"/>
              </w:rPr>
            </w:pPr>
          </w:p>
        </w:tc>
        <w:tc>
          <w:tcPr>
            <w:tcW w:w="1100" w:type="dxa"/>
            <w:vAlign w:val="bottom"/>
            <w:gridSpan w:val="2"/>
          </w:tcPr>
          <w:p>
            <w:pPr>
              <w:jc w:val="right"/>
              <w:ind w:right="383"/>
              <w:spacing w:after="0"/>
              <w:rPr>
                <w:sz w:val="20"/>
                <w:szCs w:val="20"/>
                <w:color w:val="auto"/>
              </w:rPr>
            </w:pPr>
            <w:r>
              <w:rPr>
                <w:rFonts w:ascii="Arial" w:cs="Arial" w:eastAsia="Arial" w:hAnsi="Arial"/>
                <w:sz w:val="18"/>
                <w:szCs w:val="18"/>
                <w:color w:val="auto"/>
                <w:w w:val="95"/>
              </w:rPr>
              <w:t>470,769</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7,157,948</w:t>
            </w:r>
          </w:p>
        </w:tc>
        <w:tc>
          <w:tcPr>
            <w:tcW w:w="780" w:type="dxa"/>
            <w:vAlign w:val="bottom"/>
          </w:tcPr>
          <w:p>
            <w:pPr>
              <w:jc w:val="right"/>
              <w:spacing w:after="0"/>
              <w:rPr>
                <w:sz w:val="20"/>
                <w:szCs w:val="20"/>
                <w:color w:val="auto"/>
              </w:rPr>
            </w:pPr>
            <w:r>
              <w:rPr>
                <w:rFonts w:ascii="Arial" w:cs="Arial" w:eastAsia="Arial" w:hAnsi="Arial"/>
                <w:sz w:val="18"/>
                <w:szCs w:val="18"/>
                <w:color w:val="auto"/>
              </w:rPr>
              <w:t>480,000</w:t>
            </w:r>
          </w:p>
        </w:tc>
        <w:tc>
          <w:tcPr>
            <w:tcW w:w="3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194,058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8,302,775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i w:val="1"/>
                <w:iCs w:val="1"/>
                <w:color w:val="auto"/>
              </w:rPr>
              <w:t>Accounting Officer</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5"/>
          <w:szCs w:val="15"/>
          <w:color w:val="auto"/>
        </w:rPr>
      </w:pPr>
      <w:r>
        <w:rPr>
          <w:rFonts w:ascii="Arial" w:cs="Arial" w:eastAsia="Arial" w:hAnsi="Arial"/>
          <w:sz w:val="18"/>
          <w:szCs w:val="18"/>
          <w:color w:val="auto"/>
        </w:rPr>
        <w:t>Titles included in this column are as of September 30, 2015.</w:t>
      </w:r>
    </w:p>
    <w:p>
      <w:pPr>
        <w:spacing w:after="0" w:line="23" w:lineRule="exact"/>
        <w:rPr>
          <w:rFonts w:ascii="Arial" w:cs="Arial" w:eastAsia="Arial" w:hAnsi="Arial"/>
          <w:sz w:val="15"/>
          <w:szCs w:val="15"/>
          <w:color w:val="auto"/>
        </w:rPr>
      </w:pPr>
    </w:p>
    <w:p>
      <w:pPr>
        <w:ind w:left="460" w:hanging="452"/>
        <w:spacing w:after="0" w:line="281" w:lineRule="auto"/>
        <w:tabs>
          <w:tab w:leader="none" w:pos="460" w:val="left"/>
        </w:tabs>
        <w:numPr>
          <w:ilvl w:val="0"/>
          <w:numId w:val="64"/>
        </w:numPr>
        <w:rPr>
          <w:rFonts w:ascii="Arial" w:cs="Arial" w:eastAsia="Arial" w:hAnsi="Arial"/>
          <w:sz w:val="14"/>
          <w:szCs w:val="14"/>
          <w:color w:val="auto"/>
        </w:rPr>
      </w:pPr>
      <w:r>
        <w:rPr>
          <w:rFonts w:ascii="Arial" w:cs="Arial" w:eastAsia="Arial" w:hAnsi="Arial"/>
          <w:sz w:val="16"/>
          <w:szCs w:val="16"/>
          <w:color w:val="auto"/>
        </w:rPr>
        <w:t>For Fiscal 2015, this column reflects grants of performance-based restricted stock units under the 2015 EIP, and grants under the Spectrum $2B Plan. For Fiscal 2014, this column reflects grants of performance-based restricted stock units under the 2014 EIP, and, with respect to Mr. Martin only, under the 2011 Plan relating to a one-time grant of 28,868 shares of time-based restricted stock granted on September 1, 2014 in connection with his appointment as the Executive Vice President and Chief Financial Officer of the Company. For Fiscal 2013, this column reflects grants of performance-based restricted stock units under the 2013 EIP, a one-time special incentive integration bonus award in connection with the acquisition of the hardware and home improvement business from Stanley Black &amp; Decker, Inc., and grants under the Spectrum 750 Plan. This column reflects the aggregate grant date fair value of the awards computed in accordance with ASC Topic 718. For a discussion of the relevant ASC 718 valuation assumptions, see Note 2, Significant Accounting Policies and Practices, of the Notes to Consolidated Financial Statements, included in the Company’s Annual Report on Form 10-K for Fiscal 2015. The performance-based restricted stock unit awards are subject to performance conditions and the values listed in this column with respect to such awards are based on the probable outcome of such conditions at target as of the grant date. If the conditions for the highest level of performance are achieved, the value of the awards would be as follows (with the exception of Mr. Martin, who did not receive any grants of performance-based RSUs in Fiscal 2014): Mr. Rouvé (2015—$8,608,323; 2014—$2,343,048; and 2013—$2,242,890, which includes $1,046,250 under Spectrum 750); Mr. Martin (2015 – $4,865,025; Mr. Martin did not receive any grants of performance-based RSUs in Fiscal 2014); Mr. Fagre (2015—$2,767,480; 2014—$1,846,020; and 2013—$1,369,980, which includes $472,500 under Spectrum 750); Ms. Neu (2015—$1,552,450);</w:t>
      </w:r>
    </w:p>
    <w:p>
      <w:pPr>
        <w:spacing w:after="0" w:line="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6"/>
          <w:szCs w:val="16"/>
          <w:color w:val="auto"/>
        </w:rPr>
        <w:t>Mr. Lumley (2015—$6,908,294; 2014—$7,810,030; and 2013—$23,561,200, which includes $15,000,000 under Spectrum 750); and Mr. Genito (2014</w:t>
      </w:r>
    </w:p>
    <w:p>
      <w:pPr>
        <w:spacing w:after="0" w:line="32"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—$3,550,033; and 2013—$9,519,706, which includes $5,000,000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58" w:lineRule="auto"/>
        <w:rPr>
          <w:sz w:val="20"/>
          <w:szCs w:val="20"/>
          <w:color w:val="auto"/>
        </w:rPr>
      </w:pPr>
      <w:r>
        <w:rPr>
          <w:rFonts w:ascii="Arial" w:cs="Arial" w:eastAsia="Arial" w:hAnsi="Arial"/>
          <w:sz w:val="18"/>
          <w:szCs w:val="18"/>
          <w:color w:val="auto"/>
        </w:rPr>
        <w:t>under Spectrum 750; Mr. Genito was not eligible to receive grants of performance-based RSUs in Fiscal 2015). At the lowest level of performance, the performance-based restricted stock unit awards are forfeited.</w:t>
      </w:r>
    </w:p>
    <w:p>
      <w:pPr>
        <w:ind w:left="460" w:right="40" w:hanging="452"/>
        <w:spacing w:after="0" w:line="282" w:lineRule="auto"/>
        <w:tabs>
          <w:tab w:leader="none" w:pos="460" w:val="left"/>
        </w:tabs>
        <w:numPr>
          <w:ilvl w:val="0"/>
          <w:numId w:val="65"/>
        </w:numPr>
        <w:rPr>
          <w:rFonts w:ascii="Arial" w:cs="Arial" w:eastAsia="Arial" w:hAnsi="Arial"/>
          <w:sz w:val="14"/>
          <w:szCs w:val="14"/>
          <w:color w:val="auto"/>
        </w:rPr>
      </w:pPr>
      <w:r>
        <w:rPr>
          <w:rFonts w:ascii="Arial" w:cs="Arial" w:eastAsia="Arial" w:hAnsi="Arial"/>
          <w:sz w:val="16"/>
          <w:szCs w:val="16"/>
          <w:color w:val="auto"/>
        </w:rPr>
        <w:t>For Fiscal 2015, 2014, and 2013, this column represents amounts earned under the Company’s 2015, 2014, and 2013 MIP, as applicable. For additional detail on the 2015 MIP and the determination of the cash awards thereunder, please refer to the discussion under the heading “</w:t>
      </w:r>
      <w:r>
        <w:rPr>
          <w:rFonts w:ascii="Arial" w:cs="Arial" w:eastAsia="Arial" w:hAnsi="Arial"/>
          <w:sz w:val="16"/>
          <w:szCs w:val="16"/>
          <w:i w:val="1"/>
          <w:iCs w:val="1"/>
          <w:color w:val="auto"/>
        </w:rPr>
        <w:t>Management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and the table entitled “</w:t>
      </w:r>
      <w:r>
        <w:rPr>
          <w:rFonts w:ascii="Arial" w:cs="Arial" w:eastAsia="Arial" w:hAnsi="Arial"/>
          <w:sz w:val="16"/>
          <w:szCs w:val="16"/>
          <w:i w:val="1"/>
          <w:iCs w:val="1"/>
          <w:color w:val="auto"/>
        </w:rPr>
        <w:t>Grants of Plan-Based Awards Table for Fiscal Year 2015</w:t>
      </w:r>
      <w:r>
        <w:rPr>
          <w:rFonts w:ascii="Arial" w:cs="Arial" w:eastAsia="Arial" w:hAnsi="Arial"/>
          <w:sz w:val="16"/>
          <w:szCs w:val="16"/>
          <w:color w:val="auto"/>
        </w:rPr>
        <w:t>” and its accompanying footnotes. The cash incentive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under the 2015 and 2014 MIP for Messrs. Rouvé, Martin, Fagre, and Lumley were settled in shares of common stock in lieu of cash on December 5, 2014 and December 1, 2015, respectively, as follows: Mr. Rouvé—4,117 shares for the 2014 MIP and 7,046 shares for the 2015 MIP; Mr. Martin—0 shares for the 2014 MIP and 5,768 shares for the 2015 MIP; Mr. Fagre—2,761 shares for the 2014 MIP and 2,622 shares for the 2015 MIP; and Mr. Lumley—13,336 shares for the 2014 MIP and 12,663 shares for the 2015 MIP. The cash incentive award payable under the 2014 MIP for Mr. Genito was settled in 5,890 shares of common stock in lieu of cash on December 5, 2014. The cash incentive award payable under the 2015 MIP for Ms. Neu was settled in 1,748 shares of common stock in lieu of cash on December 1, 2015.</w:t>
      </w:r>
    </w:p>
    <w:p>
      <w:pPr>
        <w:ind w:left="460" w:hanging="452"/>
        <w:spacing w:after="0"/>
        <w:tabs>
          <w:tab w:leader="none" w:pos="460" w:val="left"/>
        </w:tabs>
        <w:numPr>
          <w:ilvl w:val="0"/>
          <w:numId w:val="65"/>
        </w:numPr>
        <w:rPr>
          <w:rFonts w:ascii="Arial" w:cs="Arial" w:eastAsia="Arial" w:hAnsi="Arial"/>
          <w:sz w:val="15"/>
          <w:szCs w:val="15"/>
          <w:color w:val="auto"/>
        </w:rPr>
      </w:pPr>
      <w:r>
        <w:rPr>
          <w:rFonts w:ascii="Arial" w:cs="Arial" w:eastAsia="Arial" w:hAnsi="Arial"/>
          <w:sz w:val="18"/>
          <w:szCs w:val="18"/>
          <w:color w:val="auto"/>
        </w:rPr>
        <w:t>Please see the following tables for the details of the amounts that comprise the All Other Compensation column.</w:t>
      </w:r>
    </w:p>
    <w:p>
      <w:pPr>
        <w:spacing w:after="0" w:line="9" w:lineRule="exact"/>
        <w:rPr>
          <w:rFonts w:ascii="Arial" w:cs="Arial" w:eastAsia="Arial" w:hAnsi="Arial"/>
          <w:sz w:val="15"/>
          <w:szCs w:val="15"/>
          <w:color w:val="auto"/>
        </w:rPr>
      </w:pPr>
    </w:p>
    <w:p>
      <w:pPr>
        <w:ind w:left="460" w:right="20" w:hanging="452"/>
        <w:spacing w:after="0" w:line="250"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8"/>
          <w:szCs w:val="18"/>
          <w:color w:val="auto"/>
        </w:rPr>
        <w:t>Mr. Rouvé was appointed Chief Executive Officer and President effective April 1, 2015, and prior to that he served as Chief Operating Officer during Fiscal 2015. The amounts shown in this table for Fiscal 2015 represent all amounts earned by Mr. Rouvé for his service as both Chief Operating Officer and Chief Executive Officer and President. All amounts in the table above for Fiscal 2015 for Mr. Rouvé which were denominated in Euros were converted to U.S. dollars at the rate of $1.12432 per Euro, which was the published rate from the OANDA Corporation currency database as of September 30, 2015.</w:t>
      </w:r>
    </w:p>
    <w:p>
      <w:pPr>
        <w:spacing w:after="0" w:line="2" w:lineRule="exact"/>
        <w:rPr>
          <w:rFonts w:ascii="Arial" w:cs="Arial" w:eastAsia="Arial" w:hAnsi="Arial"/>
          <w:sz w:val="15"/>
          <w:szCs w:val="15"/>
          <w:color w:val="auto"/>
        </w:rPr>
      </w:pPr>
    </w:p>
    <w:p>
      <w:pPr>
        <w:ind w:left="460" w:right="100" w:hanging="452"/>
        <w:spacing w:after="0" w:line="250"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8"/>
          <w:szCs w:val="18"/>
          <w:color w:val="auto"/>
        </w:rPr>
        <w:t>A portion of Mr. Rouvé’s base salary for Fiscal 2015 was payable in Euros (€362,600). This amount was converted to U.S. dollars at the exchange rate set forth in footnote 5 above.</w:t>
      </w:r>
    </w:p>
    <w:p>
      <w:pPr>
        <w:ind w:left="460" w:right="40" w:hanging="452"/>
        <w:spacing w:after="0" w:line="281" w:lineRule="auto"/>
        <w:tabs>
          <w:tab w:leader="none" w:pos="460" w:val="left"/>
        </w:tabs>
        <w:numPr>
          <w:ilvl w:val="0"/>
          <w:numId w:val="65"/>
        </w:numPr>
        <w:rPr>
          <w:rFonts w:ascii="Arial" w:cs="Arial" w:eastAsia="Arial" w:hAnsi="Arial"/>
          <w:sz w:val="14"/>
          <w:szCs w:val="14"/>
          <w:color w:val="auto"/>
        </w:rPr>
      </w:pPr>
      <w:r>
        <w:rPr>
          <w:rFonts w:ascii="Arial" w:cs="Arial" w:eastAsia="Arial" w:hAnsi="Arial"/>
          <w:sz w:val="16"/>
          <w:szCs w:val="16"/>
          <w:color w:val="auto"/>
        </w:rPr>
        <w:t>Effective April 1, 2015, Mr. Lumley resigned from his positions as Chief Executive Officer and President; he subsequently retired from the Company effective September 30, 2015. See “</w:t>
      </w:r>
      <w:r>
        <w:rPr>
          <w:rFonts w:ascii="Arial" w:cs="Arial" w:eastAsia="Arial" w:hAnsi="Arial"/>
          <w:sz w:val="16"/>
          <w:szCs w:val="16"/>
          <w:i w:val="1"/>
          <w:iCs w:val="1"/>
          <w:color w:val="auto"/>
        </w:rPr>
        <w:t>Lumley Transition Agreement</w:t>
      </w:r>
      <w:r>
        <w:rPr>
          <w:rFonts w:ascii="Arial" w:cs="Arial" w:eastAsia="Arial" w:hAnsi="Arial"/>
          <w:sz w:val="16"/>
          <w:szCs w:val="16"/>
          <w:color w:val="auto"/>
        </w:rPr>
        <w:t>” below for a description of the amounts payable to Mr. Lumley under that agreement.</w:t>
      </w:r>
    </w:p>
    <w:p>
      <w:pPr>
        <w:spacing w:after="0" w:line="1" w:lineRule="exact"/>
        <w:rPr>
          <w:rFonts w:ascii="Arial" w:cs="Arial" w:eastAsia="Arial" w:hAnsi="Arial"/>
          <w:sz w:val="14"/>
          <w:szCs w:val="14"/>
          <w:color w:val="auto"/>
        </w:rPr>
      </w:pPr>
    </w:p>
    <w:p>
      <w:pPr>
        <w:ind w:left="460" w:right="520" w:hanging="452"/>
        <w:spacing w:after="0" w:line="261"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8"/>
          <w:szCs w:val="18"/>
          <w:color w:val="auto"/>
        </w:rPr>
        <w:t>Effective January 2, 2015, Mr. Genito resigned from his position as Executive Vice President and Chief Accounting Officer of the Company. See “</w:t>
      </w:r>
      <w:r>
        <w:rPr>
          <w:rFonts w:ascii="Arial" w:cs="Arial" w:eastAsia="Arial" w:hAnsi="Arial"/>
          <w:sz w:val="18"/>
          <w:szCs w:val="18"/>
          <w:i w:val="1"/>
          <w:iCs w:val="1"/>
          <w:color w:val="auto"/>
        </w:rPr>
        <w:t>Genito Retention Agreement</w:t>
      </w:r>
      <w:r>
        <w:rPr>
          <w:rFonts w:ascii="Arial" w:cs="Arial" w:eastAsia="Arial" w:hAnsi="Arial"/>
          <w:sz w:val="18"/>
          <w:szCs w:val="18"/>
          <w:color w:val="auto"/>
        </w:rPr>
        <w:t>” below for a description of the amounts payable to Mr. Genito under that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Table for Fiscal Year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Company</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Company</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Contribu-</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Financial</w:t>
            </w: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Life</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Car</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Contribu-</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tions to</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Planning</w:t>
            </w: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Insurance</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Allowance/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tions to</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Executive’s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Services</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Premiums</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Personal</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Tax</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Executive’s</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Supplemental</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Health</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Provided</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Paid on</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Use of</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Equaliza-</w:t>
            </w: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Qualified</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Life</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Care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to</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Executive’s</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Company</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tion</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Retirement</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Insurance</w:t>
            </w: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Vacation</w:t>
            </w: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Relocation</w:t>
            </w:r>
          </w:p>
        </w:tc>
        <w:tc>
          <w:tcPr>
            <w:tcW w:w="9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Separation</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Insurance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Executive</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Behalf</w:t>
            </w:r>
            <w:r>
              <w:rPr>
                <w:rFonts w:ascii="Arial" w:cs="Arial" w:eastAsia="Arial" w:hAnsi="Arial"/>
                <w:sz w:val="10"/>
                <w:szCs w:val="10"/>
                <w:b w:val="1"/>
                <w:bCs w:val="1"/>
                <w:color w:val="auto"/>
                <w:w w:val="92"/>
              </w:rPr>
              <w:t>(1)</w:t>
            </w: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Car</w:t>
            </w:r>
            <w:r>
              <w:rPr>
                <w:rFonts w:ascii="Arial" w:cs="Arial" w:eastAsia="Arial" w:hAnsi="Arial"/>
                <w:sz w:val="10"/>
                <w:szCs w:val="10"/>
                <w:b w:val="1"/>
                <w:bCs w:val="1"/>
                <w:color w:val="auto"/>
              </w:rPr>
              <w:t>(2)</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Payments</w:t>
            </w:r>
            <w:r>
              <w:rPr>
                <w:rFonts w:ascii="Arial" w:cs="Arial" w:eastAsia="Arial" w:hAnsi="Arial"/>
                <w:sz w:val="10"/>
                <w:szCs w:val="10"/>
                <w:b w:val="1"/>
                <w:bCs w:val="1"/>
                <w:color w:val="auto"/>
                <w:w w:val="86"/>
              </w:rPr>
              <w:t>(3)</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Plan</w:t>
            </w:r>
            <w:r>
              <w:rPr>
                <w:rFonts w:ascii="Arial" w:cs="Arial" w:eastAsia="Arial" w:hAnsi="Arial"/>
                <w:sz w:val="10"/>
                <w:szCs w:val="10"/>
                <w:b w:val="1"/>
                <w:bCs w:val="1"/>
                <w:color w:val="auto"/>
                <w:w w:val="90"/>
              </w:rPr>
              <w:t>(4)</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Policy</w:t>
            </w: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Pay-Out</w:t>
            </w:r>
            <w:r>
              <w:rPr>
                <w:rFonts w:ascii="Arial" w:cs="Arial" w:eastAsia="Arial" w:hAnsi="Arial"/>
                <w:sz w:val="10"/>
                <w:szCs w:val="10"/>
                <w:b w:val="1"/>
                <w:bCs w:val="1"/>
                <w:color w:val="auto"/>
                <w:w w:val="93"/>
              </w:rPr>
              <w:t>(5)</w:t>
            </w: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Bonus</w:t>
            </w:r>
          </w:p>
        </w:tc>
        <w:tc>
          <w:tcPr>
            <w:tcW w:w="9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Payments</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Bonus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40" w:type="dxa"/>
            <w:vAlign w:val="bottom"/>
            <w:gridSpan w:val="2"/>
            <w:vMerge w:val="continue"/>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62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70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Andreas Rouvé</w:t>
            </w:r>
            <w:r>
              <w:rPr>
                <w:rFonts w:ascii="Arial" w:cs="Arial" w:eastAsia="Arial" w:hAnsi="Arial"/>
                <w:sz w:val="12"/>
                <w:szCs w:val="12"/>
                <w:color w:val="auto"/>
              </w:rPr>
              <w:t>(6)</w:t>
            </w:r>
          </w:p>
        </w:tc>
        <w:tc>
          <w:tcPr>
            <w:tcW w:w="540" w:type="dxa"/>
            <w:vAlign w:val="bottom"/>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w:t>
            </w:r>
          </w:p>
        </w:tc>
        <w:tc>
          <w:tcPr>
            <w:tcW w:w="20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324</w:t>
            </w:r>
          </w:p>
        </w:tc>
        <w:tc>
          <w:tcPr>
            <w:tcW w:w="22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4,850</w:t>
            </w:r>
          </w:p>
        </w:tc>
        <w:tc>
          <w:tcPr>
            <w:tcW w:w="2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609</w:t>
            </w:r>
          </w:p>
        </w:tc>
        <w:tc>
          <w:tcPr>
            <w:tcW w:w="20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w w:val="85"/>
              </w:rPr>
              <w:t>7,503</w:t>
            </w:r>
          </w:p>
        </w:tc>
        <w:tc>
          <w:tcPr>
            <w:tcW w:w="22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110,250</w:t>
            </w:r>
          </w:p>
        </w:tc>
        <w:tc>
          <w:tcPr>
            <w:tcW w:w="22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320" w:type="dxa"/>
            <w:vAlign w:val="bottom"/>
            <w:vMerge w:val="continue"/>
            <w:shd w:val="clear" w:color="auto" w:fill="CCEEFF"/>
          </w:tcPr>
          <w:p>
            <w:pPr>
              <w:spacing w:after="0"/>
              <w:rPr>
                <w:sz w:val="12"/>
                <w:szCs w:val="12"/>
                <w:color w:val="auto"/>
              </w:rPr>
            </w:pPr>
          </w:p>
        </w:tc>
        <w:tc>
          <w:tcPr>
            <w:tcW w:w="5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w w:val="85"/>
              </w:rPr>
              <w:t>3,086</w:t>
            </w:r>
          </w:p>
        </w:tc>
        <w:tc>
          <w:tcPr>
            <w:tcW w:w="22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126,621</w:t>
            </w:r>
          </w:p>
        </w:tc>
        <w:tc>
          <w:tcPr>
            <w:tcW w:w="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Douglas L. Martin</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20,000</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1,173</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16,257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14,337</w:t>
            </w: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7,977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82,500</w:t>
            </w: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350</w:t>
            </w:r>
          </w:p>
        </w:tc>
        <w:tc>
          <w:tcPr>
            <w:tcW w:w="9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142,594</w:t>
            </w: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Nathan E. Fagre</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20,000</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6,992</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17,250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20,382</w:t>
            </w: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5,469</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12,981</w:t>
            </w: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83,074</w:t>
            </w: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Stacey L. Neu</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14,250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673</w:t>
            </w: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5,365</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5,889</w:t>
            </w: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27,426</w:t>
            </w: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R. Lumley</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90,000</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95,664</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49,256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134,601</w:t>
            </w: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7,800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135,000</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72,692</w:t>
            </w: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4,163,500</w:t>
            </w:r>
            <w:r>
              <w:rPr>
                <w:rFonts w:ascii="Arial" w:cs="Arial" w:eastAsia="Arial" w:hAnsi="Arial"/>
                <w:sz w:val="12"/>
                <w:szCs w:val="12"/>
                <w:color w:val="auto"/>
              </w:rPr>
              <w:t>(7)</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4,748,513</w:t>
            </w:r>
          </w:p>
        </w:tc>
        <w:tc>
          <w:tcPr>
            <w:tcW w:w="0" w:type="dxa"/>
            <w:vAlign w:val="bottom"/>
          </w:tcPr>
          <w:p>
            <w:pPr>
              <w:spacing w:after="0"/>
              <w:rPr>
                <w:sz w:val="1"/>
                <w:szCs w:val="1"/>
                <w:color w:val="auto"/>
              </w:rPr>
            </w:pPr>
          </w:p>
        </w:tc>
      </w:tr>
      <w:tr>
        <w:trPr>
          <w:trHeight w:val="182"/>
        </w:trPr>
        <w:tc>
          <w:tcPr>
            <w:tcW w:w="2340" w:type="dxa"/>
            <w:vAlign w:val="bottom"/>
            <w:gridSpan w:val="2"/>
          </w:tcPr>
          <w:p>
            <w:pPr>
              <w:spacing w:after="0"/>
              <w:rPr>
                <w:sz w:val="20"/>
                <w:szCs w:val="20"/>
                <w:color w:val="auto"/>
              </w:rPr>
            </w:pPr>
            <w:r>
              <w:rPr>
                <w:rFonts w:ascii="Arial" w:cs="Arial" w:eastAsia="Arial" w:hAnsi="Arial"/>
                <w:sz w:val="14"/>
                <w:szCs w:val="14"/>
                <w:color w:val="auto"/>
              </w:rPr>
              <w:t>Anthony L. Genito</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29,320</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42,799</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31,090</w:t>
            </w:r>
          </w:p>
        </w:tc>
        <w:tc>
          <w:tcPr>
            <w:tcW w:w="840" w:type="dxa"/>
            <w:vAlign w:val="bottom"/>
            <w:gridSpan w:val="2"/>
          </w:tcPr>
          <w:p>
            <w:pPr>
              <w:ind w:left="300"/>
              <w:spacing w:after="0"/>
              <w:rPr>
                <w:sz w:val="20"/>
                <w:szCs w:val="20"/>
                <w:color w:val="auto"/>
              </w:rPr>
            </w:pPr>
            <w:r>
              <w:rPr>
                <w:rFonts w:ascii="Arial" w:cs="Arial" w:eastAsia="Arial" w:hAnsi="Arial"/>
                <w:sz w:val="14"/>
                <w:szCs w:val="14"/>
                <w:color w:val="auto"/>
              </w:rPr>
              <w:t>1,420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72,000</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51,923</w:t>
            </w: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2,420,000</w:t>
            </w:r>
            <w:r>
              <w:rPr>
                <w:rFonts w:ascii="Arial" w:cs="Arial" w:eastAsia="Arial" w:hAnsi="Arial"/>
                <w:sz w:val="12"/>
                <w:szCs w:val="12"/>
                <w:color w:val="auto"/>
              </w:rPr>
              <w:t>(8)</w:t>
            </w:r>
          </w:p>
        </w:tc>
        <w:tc>
          <w:tcPr>
            <w:tcW w:w="7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2,648,552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amount represents the life insurance premium paid for the fiscal year. The Company provides life insurance coverage equal to three times base salary for each executive officer.</w:t>
      </w:r>
    </w:p>
    <w:p>
      <w:pPr>
        <w:spacing w:after="0" w:line="11" w:lineRule="exact"/>
        <w:rPr>
          <w:rFonts w:ascii="Arial" w:cs="Arial" w:eastAsia="Arial" w:hAnsi="Arial"/>
          <w:sz w:val="13"/>
          <w:szCs w:val="13"/>
          <w:color w:val="auto"/>
        </w:rPr>
      </w:pPr>
    </w:p>
    <w:p>
      <w:pPr>
        <w:ind w:left="340" w:right="2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Company sponsors a leased car and car allowance program. Under the leased car program, costs associated with using the vehicle are also provided. These include maintenance, insurance, and license and registration. Under the car allowance program, the executive receives a fixed monthly allowance. Mr. Rouvé, Ms. Neu, Mr. Lumley, and Mr. Genito participated in the leased car program. Mr. Fagre received up to $1,500 per month for a car allowance.</w:t>
      </w:r>
    </w:p>
    <w:p>
      <w:pPr>
        <w:ind w:left="340" w:hanging="332"/>
        <w:spacing w:after="0"/>
        <w:tabs>
          <w:tab w:leader="none" w:pos="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Includes tax payments for the financial benefits received for the following executive benefits and perquisites: financial planning, executive life insurance, and executive leased car program.</w:t>
      </w: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amounts contributed under the Company-sponsored 401(k) retirement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120" w:hanging="332"/>
        <w:spacing w:after="0" w:line="248" w:lineRule="auto"/>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Effective January 1, 2014 the Company eliminated the ability for employees to carry over their vacation balance from calendar year to calendar year. Employees had all of calendar year 2014 to use up their vacation balance. Beginning in the 2nd quarter of Fiscal 2015 the Company paid out 50% of any unused vacation balances upon separation from the Company.</w:t>
      </w:r>
    </w:p>
    <w:p>
      <w:pPr>
        <w:ind w:left="340" w:right="52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disclosed are denominated in U.S. dollars after being converted from Euros at the rate of $1.12432 per Euro, which was the published rate from the OANDA Corporation currency database as of September 30, 2015.</w:t>
      </w:r>
    </w:p>
    <w:p>
      <w:pPr>
        <w:ind w:left="340" w:hanging="332"/>
        <w:spacing w:after="0"/>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Amount represents the following separation payments to Mr. Lumley paid or accrued under the Transition Agreement dated January 8, 2015 between Mr. Lumley and the Company:</w:t>
      </w:r>
    </w:p>
    <w:p>
      <w:pPr>
        <w:ind w:left="340"/>
        <w:spacing w:after="0"/>
        <w:rPr>
          <w:sz w:val="20"/>
          <w:szCs w:val="20"/>
          <w:color w:val="auto"/>
        </w:rPr>
      </w:pPr>
      <w:r>
        <w:rPr>
          <w:rFonts w:ascii="Arial" w:cs="Arial" w:eastAsia="Arial" w:hAnsi="Arial"/>
          <w:sz w:val="13"/>
          <w:szCs w:val="13"/>
          <w:color w:val="auto"/>
        </w:rPr>
        <w:t>(i) $100,000 cash payment (payable $25,000 on the first anniversary of the termination date and an additional payment of $75,000 thereafter); and (ii) $4,063,500, equal to the sum of 2x</w:t>
      </w:r>
    </w:p>
    <w:p>
      <w:pPr>
        <w:ind w:left="340"/>
        <w:spacing w:after="0" w:line="221" w:lineRule="auto"/>
        <w:rPr>
          <w:sz w:val="20"/>
          <w:szCs w:val="20"/>
          <w:color w:val="auto"/>
        </w:rPr>
      </w:pPr>
      <w:r>
        <w:rPr>
          <w:rFonts w:ascii="Arial" w:cs="Arial" w:eastAsia="Arial" w:hAnsi="Arial"/>
          <w:sz w:val="14"/>
          <w:szCs w:val="14"/>
          <w:color w:val="auto"/>
        </w:rPr>
        <w:t xml:space="preserve">Mr. Lumley’s base salary and the prior year’s annual target bonus, payable in installments over 24 months commencing on the six month anniversary of the end of the transition period. See </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Executive Specific Provisions—Lumley Transition Agreement</w:t>
      </w:r>
      <w:r>
        <w:rPr>
          <w:rFonts w:ascii="Arial" w:cs="Arial" w:eastAsia="Arial" w:hAnsi="Arial"/>
          <w:sz w:val="14"/>
          <w:szCs w:val="14"/>
          <w:color w:val="auto"/>
        </w:rPr>
        <w:t>” below.</w:t>
      </w:r>
    </w:p>
    <w:p>
      <w:pPr>
        <w:spacing w:after="0" w:line="1" w:lineRule="exact"/>
        <w:rPr>
          <w:sz w:val="20"/>
          <w:szCs w:val="20"/>
          <w:color w:val="auto"/>
        </w:rPr>
      </w:pPr>
    </w:p>
    <w:p>
      <w:pPr>
        <w:ind w:left="340" w:right="160" w:hanging="332"/>
        <w:spacing w:after="0" w:line="232"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 represents the following separation payments to Mr. Genito paid or accrued under the Retention Agreement dated April 29, 2014 between Mr. Genito and SBI: (i) $500,000 transitional award which will be paid in the form of Company stock; and (ii) $1,920,000, equal to 2x Mr. Genito’s annual base salary and target bonus, payable in monthly installments in the form of Company stock over a period of 24 months. See “</w:t>
      </w:r>
      <w:r>
        <w:rPr>
          <w:rFonts w:ascii="Arial" w:cs="Arial" w:eastAsia="Arial" w:hAnsi="Arial"/>
          <w:sz w:val="14"/>
          <w:szCs w:val="14"/>
          <w:i w:val="1"/>
          <w:iCs w:val="1"/>
          <w:color w:val="auto"/>
        </w:rPr>
        <w:t>—Executive Specific Provisions—Genito Retention Agreement</w:t>
      </w:r>
      <w:r>
        <w:rPr>
          <w:rFonts w:ascii="Arial" w:cs="Arial" w:eastAsia="Arial" w:hAnsi="Arial"/>
          <w:sz w:val="14"/>
          <w:szCs w:val="14"/>
          <w:color w:val="auto"/>
        </w:rPr>
        <w:t>” below.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following table and footnotes provide information with respect to equity grants made to the named executive officers indicated in the table during Fiscal 2015 as well as the range of future payouts under non-equity incentive plans for the named executive officers indicated. Mr. Genito did not participate in the 2015 MIP, therefore he is not included in the table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Table for Fiscal Year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gridSpan w:val="6"/>
            <w:vMerge w:val="restart"/>
          </w:tcPr>
          <w:p>
            <w:pPr>
              <w:jc w:val="right"/>
              <w:ind w:right="715"/>
              <w:spacing w:after="0"/>
              <w:rPr>
                <w:sz w:val="20"/>
                <w:szCs w:val="20"/>
                <w:color w:val="auto"/>
              </w:rPr>
            </w:pPr>
            <w:r>
              <w:rPr>
                <w:rFonts w:ascii="Arial" w:cs="Arial" w:eastAsia="Arial" w:hAnsi="Arial"/>
                <w:sz w:val="14"/>
                <w:szCs w:val="14"/>
                <w:b w:val="1"/>
                <w:bCs w:val="1"/>
                <w:color w:val="auto"/>
              </w:rPr>
              <w:t>Estimated Future Payouts Under</w:t>
            </w:r>
          </w:p>
        </w:tc>
        <w:tc>
          <w:tcPr>
            <w:tcW w:w="260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3"/>
              </w:rPr>
              <w:t>Estimated Future Payouts Under</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60" w:type="dxa"/>
            <w:vAlign w:val="bottom"/>
            <w:gridSpan w:val="6"/>
            <w:vMerge w:val="continue"/>
          </w:tcPr>
          <w:p>
            <w:pPr>
              <w:spacing w:after="0"/>
              <w:rPr>
                <w:sz w:val="4"/>
                <w:szCs w:val="4"/>
                <w:color w:val="auto"/>
              </w:rPr>
            </w:pPr>
          </w:p>
        </w:tc>
        <w:tc>
          <w:tcPr>
            <w:tcW w:w="2600" w:type="dxa"/>
            <w:vAlign w:val="bottom"/>
            <w:gridSpan w:val="6"/>
            <w:vMerge w:val="continue"/>
          </w:tcPr>
          <w:p>
            <w:pPr>
              <w:spacing w:after="0"/>
              <w:rPr>
                <w:sz w:val="4"/>
                <w:szCs w:val="4"/>
                <w:color w:val="auto"/>
              </w:rPr>
            </w:pP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160" w:type="dxa"/>
            <w:vAlign w:val="bottom"/>
            <w:gridSpan w:val="6"/>
            <w:vMerge w:val="restart"/>
          </w:tcPr>
          <w:p>
            <w:pPr>
              <w:jc w:val="right"/>
              <w:ind w:right="655"/>
              <w:spacing w:after="0"/>
              <w:rPr>
                <w:sz w:val="20"/>
                <w:szCs w:val="20"/>
                <w:color w:val="auto"/>
              </w:rPr>
            </w:pPr>
            <w:r>
              <w:rPr>
                <w:rFonts w:ascii="Arial" w:cs="Arial" w:eastAsia="Arial" w:hAnsi="Arial"/>
                <w:sz w:val="14"/>
                <w:szCs w:val="14"/>
                <w:b w:val="1"/>
                <w:bCs w:val="1"/>
                <w:color w:val="auto"/>
              </w:rPr>
              <w:t>Non-Equity Incentive Plan Awards</w:t>
            </w:r>
          </w:p>
        </w:tc>
        <w:tc>
          <w:tcPr>
            <w:tcW w:w="260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4"/>
              </w:rPr>
              <w:t>Equity Incentive Plan Awards</w:t>
            </w: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60" w:type="dxa"/>
            <w:vAlign w:val="bottom"/>
            <w:gridSpan w:val="6"/>
            <w:vMerge w:val="continue"/>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restart"/>
          </w:tcPr>
          <w:p>
            <w:pPr>
              <w:jc w:val="right"/>
              <w:ind w:right="315"/>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2"/>
                <w:szCs w:val="12"/>
                <w:color w:val="auto"/>
              </w:rPr>
            </w:pPr>
          </w:p>
        </w:tc>
        <w:tc>
          <w:tcPr>
            <w:tcW w:w="1020" w:type="dxa"/>
            <w:vAlign w:val="bottom"/>
            <w:gridSpan w:val="2"/>
            <w:vMerge w:val="restart"/>
          </w:tcPr>
          <w:p>
            <w:pPr>
              <w:jc w:val="right"/>
              <w:ind w:right="335"/>
              <w:spacing w:after="0"/>
              <w:rPr>
                <w:sz w:val="20"/>
                <w:szCs w:val="20"/>
                <w:color w:val="auto"/>
              </w:rPr>
            </w:pPr>
            <w:r>
              <w:rPr>
                <w:rFonts w:ascii="Arial" w:cs="Arial" w:eastAsia="Arial" w:hAnsi="Arial"/>
                <w:sz w:val="14"/>
                <w:szCs w:val="14"/>
                <w:b w:val="1"/>
                <w:bCs w:val="1"/>
                <w:color w:val="auto"/>
                <w:w w:val="88"/>
              </w:rPr>
              <w:t>Threshold</w:t>
            </w:r>
          </w:p>
        </w:tc>
        <w:tc>
          <w:tcPr>
            <w:tcW w:w="1060" w:type="dxa"/>
            <w:vAlign w:val="bottom"/>
            <w:gridSpan w:val="2"/>
            <w:vMerge w:val="restart"/>
          </w:tcPr>
          <w:p>
            <w:pPr>
              <w:jc w:val="right"/>
              <w:ind w:right="475"/>
              <w:spacing w:after="0"/>
              <w:rPr>
                <w:sz w:val="20"/>
                <w:szCs w:val="20"/>
                <w:color w:val="auto"/>
              </w:rPr>
            </w:pPr>
            <w:r>
              <w:rPr>
                <w:rFonts w:ascii="Arial" w:cs="Arial" w:eastAsia="Arial" w:hAnsi="Arial"/>
                <w:sz w:val="14"/>
                <w:szCs w:val="14"/>
                <w:b w:val="1"/>
                <w:bCs w:val="1"/>
                <w:color w:val="auto"/>
              </w:rPr>
              <w:t>Target</w:t>
            </w:r>
          </w:p>
        </w:tc>
        <w:tc>
          <w:tcPr>
            <w:tcW w:w="1080" w:type="dxa"/>
            <w:vAlign w:val="bottom"/>
            <w:gridSpan w:val="2"/>
            <w:vMerge w:val="restart"/>
          </w:tcPr>
          <w:p>
            <w:pPr>
              <w:jc w:val="right"/>
              <w:ind w:right="355"/>
              <w:spacing w:after="0"/>
              <w:rPr>
                <w:sz w:val="20"/>
                <w:szCs w:val="20"/>
                <w:color w:val="auto"/>
              </w:rPr>
            </w:pPr>
            <w:r>
              <w:rPr>
                <w:rFonts w:ascii="Arial" w:cs="Arial" w:eastAsia="Arial" w:hAnsi="Arial"/>
                <w:sz w:val="14"/>
                <w:szCs w:val="14"/>
                <w:b w:val="1"/>
                <w:bCs w:val="1"/>
                <w:color w:val="auto"/>
                <w:w w:val="99"/>
              </w:rPr>
              <w:t>Maximum</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Threshold</w:t>
            </w: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(5)</w:t>
            </w: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right"/>
              <w:ind w:right="355"/>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60" w:type="dxa"/>
            <w:vAlign w:val="bottom"/>
          </w:tcPr>
          <w:p>
            <w:pPr>
              <w:jc w:val="right"/>
              <w:ind w:right="20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2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60" w:type="dxa"/>
            <w:vAlign w:val="bottom"/>
          </w:tcPr>
          <w:p>
            <w:pPr>
              <w:jc w:val="right"/>
              <w:ind w:right="22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(1)</w:t>
            </w:r>
          </w:p>
        </w:tc>
        <w:tc>
          <w:tcPr>
            <w:tcW w:w="2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75"/>
              <w:spacing w:after="0"/>
              <w:rPr>
                <w:sz w:val="20"/>
                <w:szCs w:val="20"/>
                <w:color w:val="auto"/>
              </w:rPr>
            </w:pPr>
            <w:r>
              <w:rPr>
                <w:rFonts w:ascii="Arial" w:cs="Arial" w:eastAsia="Arial" w:hAnsi="Arial"/>
                <w:sz w:val="13"/>
                <w:szCs w:val="13"/>
                <w:color w:val="auto"/>
                <w:w w:val="87"/>
              </w:rPr>
              <w:t>(2)</w:t>
            </w: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75"/>
              <w:spacing w:after="0"/>
              <w:rPr>
                <w:sz w:val="20"/>
                <w:szCs w:val="20"/>
                <w:color w:val="auto"/>
              </w:rPr>
            </w:pPr>
            <w:r>
              <w:rPr>
                <w:rFonts w:ascii="Arial" w:cs="Arial" w:eastAsia="Arial" w:hAnsi="Arial"/>
                <w:sz w:val="13"/>
                <w:szCs w:val="13"/>
                <w:color w:val="auto"/>
                <w:w w:val="87"/>
              </w:rPr>
              <w:t>(2)</w:t>
            </w: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195"/>
              <w:spacing w:after="0"/>
              <w:rPr>
                <w:sz w:val="20"/>
                <w:szCs w:val="20"/>
                <w:color w:val="auto"/>
              </w:rPr>
            </w:pPr>
            <w:r>
              <w:rPr>
                <w:rFonts w:ascii="Arial" w:cs="Arial" w:eastAsia="Arial" w:hAnsi="Arial"/>
                <w:sz w:val="13"/>
                <w:szCs w:val="13"/>
                <w:color w:val="auto"/>
                <w:w w:val="87"/>
              </w:rPr>
              <w:t>(2)</w:t>
            </w: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color w:val="auto"/>
              </w:rPr>
              <w:t>Andreas Rouvé</w:t>
            </w:r>
          </w:p>
        </w:tc>
        <w:tc>
          <w:tcPr>
            <w:tcW w:w="200" w:type="dxa"/>
            <w:vAlign w:val="bottom"/>
            <w:vMerge w:val="continue"/>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5"/>
                <w:szCs w:val="15"/>
                <w:color w:val="auto"/>
              </w:rPr>
              <w:t>10/1/2014</w:t>
            </w:r>
          </w:p>
        </w:tc>
        <w:tc>
          <w:tcPr>
            <w:tcW w:w="20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38,220</w:t>
            </w:r>
          </w:p>
        </w:tc>
        <w:tc>
          <w:tcPr>
            <w:tcW w:w="40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152,879</w:t>
            </w:r>
          </w:p>
        </w:tc>
        <w:tc>
          <w:tcPr>
            <w:tcW w:w="40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305,759</w:t>
            </w:r>
          </w:p>
        </w:tc>
        <w:tc>
          <w:tcPr>
            <w:tcW w:w="42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10/1/2014</w:t>
            </w:r>
            <w:r>
              <w:rPr>
                <w:rFonts w:ascii="Arial" w:cs="Arial" w:eastAsia="Arial" w:hAnsi="Arial"/>
                <w:sz w:val="13"/>
                <w:szCs w:val="13"/>
                <w:color w:val="auto"/>
              </w:rPr>
              <w:t>(3)</w:t>
            </w:r>
          </w:p>
        </w:tc>
        <w:tc>
          <w:tcPr>
            <w:tcW w:w="1220" w:type="dxa"/>
            <w:vAlign w:val="bottom"/>
            <w:gridSpan w:val="3"/>
            <w:shd w:val="clear" w:color="auto" w:fill="CCEEFF"/>
          </w:tcPr>
          <w:p>
            <w:pPr>
              <w:jc w:val="right"/>
              <w:ind w:right="335"/>
              <w:spacing w:after="0" w:line="162" w:lineRule="exact"/>
              <w:rPr>
                <w:sz w:val="20"/>
                <w:szCs w:val="20"/>
                <w:color w:val="auto"/>
              </w:rPr>
            </w:pPr>
            <w:r>
              <w:rPr>
                <w:rFonts w:ascii="Arial" w:cs="Arial" w:eastAsia="Arial" w:hAnsi="Arial"/>
                <w:sz w:val="15"/>
                <w:szCs w:val="15"/>
                <w:color w:val="auto"/>
              </w:rPr>
              <w:t>114,688</w:t>
            </w:r>
          </w:p>
        </w:tc>
        <w:tc>
          <w:tcPr>
            <w:tcW w:w="1060" w:type="dxa"/>
            <w:vAlign w:val="bottom"/>
            <w:gridSpan w:val="2"/>
            <w:shd w:val="clear" w:color="auto" w:fill="CCEEFF"/>
          </w:tcPr>
          <w:p>
            <w:pPr>
              <w:jc w:val="right"/>
              <w:ind w:right="335"/>
              <w:spacing w:after="0" w:line="162" w:lineRule="exact"/>
              <w:rPr>
                <w:sz w:val="20"/>
                <w:szCs w:val="20"/>
                <w:color w:val="auto"/>
              </w:rPr>
            </w:pPr>
            <w:r>
              <w:rPr>
                <w:rFonts w:ascii="Arial" w:cs="Arial" w:eastAsia="Arial" w:hAnsi="Arial"/>
                <w:sz w:val="15"/>
                <w:szCs w:val="15"/>
                <w:color w:val="auto"/>
              </w:rPr>
              <w:t>459,375</w:t>
            </w:r>
          </w:p>
        </w:tc>
        <w:tc>
          <w:tcPr>
            <w:tcW w:w="1080" w:type="dxa"/>
            <w:vAlign w:val="bottom"/>
            <w:gridSpan w:val="2"/>
            <w:shd w:val="clear" w:color="auto" w:fill="CCEEFF"/>
          </w:tcPr>
          <w:p>
            <w:pPr>
              <w:jc w:val="right"/>
              <w:ind w:right="355"/>
              <w:spacing w:after="0" w:line="162" w:lineRule="exact"/>
              <w:rPr>
                <w:sz w:val="20"/>
                <w:szCs w:val="20"/>
                <w:color w:val="auto"/>
              </w:rPr>
            </w:pPr>
            <w:r>
              <w:rPr>
                <w:rFonts w:ascii="Arial" w:cs="Arial" w:eastAsia="Arial" w:hAnsi="Arial"/>
                <w:sz w:val="15"/>
                <w:szCs w:val="15"/>
                <w:color w:val="auto"/>
                <w:w w:val="95"/>
              </w:rPr>
              <w:t>1,148,437</w:t>
            </w: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135"/>
              <w:spacing w:after="0" w:line="19" w:lineRule="exact"/>
              <w:rPr>
                <w:sz w:val="20"/>
                <w:szCs w:val="20"/>
                <w:color w:val="auto"/>
              </w:rPr>
            </w:pPr>
            <w:r>
              <w:rPr>
                <w:rFonts w:ascii="Arial" w:cs="Arial" w:eastAsia="Arial" w:hAnsi="Arial"/>
                <w:sz w:val="2"/>
                <w:szCs w:val="2"/>
                <w:color w:val="auto"/>
              </w:rPr>
              <w:t>4/1/2015</w:t>
            </w: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jc w:val="right"/>
              <w:spacing w:after="0" w:line="19" w:lineRule="exact"/>
              <w:rPr>
                <w:sz w:val="20"/>
                <w:szCs w:val="20"/>
                <w:color w:val="auto"/>
              </w:rPr>
            </w:pPr>
            <w:r>
              <w:rPr>
                <w:rFonts w:ascii="Arial" w:cs="Arial" w:eastAsia="Arial" w:hAnsi="Arial"/>
                <w:sz w:val="2"/>
                <w:szCs w:val="2"/>
                <w:color w:val="auto"/>
              </w:rPr>
              <w:t>2,792</w:t>
            </w:r>
          </w:p>
        </w:tc>
        <w:tc>
          <w:tcPr>
            <w:tcW w:w="28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280"/>
              <w:spacing w:after="0" w:line="19" w:lineRule="exact"/>
              <w:rPr>
                <w:sz w:val="20"/>
                <w:szCs w:val="20"/>
                <w:color w:val="auto"/>
              </w:rPr>
            </w:pPr>
            <w:r>
              <w:rPr>
                <w:rFonts w:ascii="Arial" w:cs="Arial" w:eastAsia="Arial" w:hAnsi="Arial"/>
                <w:sz w:val="2"/>
                <w:szCs w:val="2"/>
                <w:color w:val="auto"/>
              </w:rPr>
              <w:t>11,166</w:t>
            </w:r>
          </w:p>
        </w:tc>
        <w:tc>
          <w:tcPr>
            <w:tcW w:w="940" w:type="dxa"/>
            <w:vAlign w:val="bottom"/>
            <w:gridSpan w:val="2"/>
            <w:shd w:val="clear" w:color="auto" w:fill="CCEEFF"/>
          </w:tcPr>
          <w:p>
            <w:pPr>
              <w:jc w:val="right"/>
              <w:ind w:right="280"/>
              <w:spacing w:after="0" w:line="19" w:lineRule="exact"/>
              <w:rPr>
                <w:sz w:val="20"/>
                <w:szCs w:val="20"/>
                <w:color w:val="auto"/>
              </w:rPr>
            </w:pPr>
            <w:r>
              <w:rPr>
                <w:rFonts w:ascii="Arial" w:cs="Arial" w:eastAsia="Arial" w:hAnsi="Arial"/>
                <w:sz w:val="2"/>
                <w:szCs w:val="2"/>
                <w:color w:val="auto"/>
              </w:rPr>
              <w:t>15,074</w:t>
            </w:r>
          </w:p>
        </w:tc>
        <w:tc>
          <w:tcPr>
            <w:tcW w:w="740" w:type="dxa"/>
            <w:vAlign w:val="bottom"/>
            <w:gridSpan w:val="2"/>
            <w:shd w:val="clear" w:color="auto" w:fill="CCEEFF"/>
          </w:tcPr>
          <w:p>
            <w:pPr>
              <w:jc w:val="right"/>
              <w:ind w:right="80"/>
              <w:spacing w:after="0" w:line="19" w:lineRule="exact"/>
              <w:rPr>
                <w:sz w:val="20"/>
                <w:szCs w:val="20"/>
                <w:color w:val="auto"/>
              </w:rPr>
            </w:pPr>
            <w:r>
              <w:rPr>
                <w:rFonts w:ascii="Arial" w:cs="Arial" w:eastAsia="Arial" w:hAnsi="Arial"/>
                <w:sz w:val="2"/>
                <w:szCs w:val="2"/>
                <w:color w:val="auto"/>
              </w:rPr>
              <w:t>984,618</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w w:val="90"/>
              </w:rPr>
              <w:t>12/15/2014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(4)</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5,352</w:t>
            </w:r>
          </w:p>
        </w:tc>
        <w:tc>
          <w:tcPr>
            <w:tcW w:w="2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5"/>
                <w:szCs w:val="15"/>
                <w:color w:val="auto"/>
              </w:rPr>
              <w:t>21,406</w:t>
            </w:r>
          </w:p>
        </w:tc>
        <w:tc>
          <w:tcPr>
            <w:tcW w:w="9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5"/>
                <w:szCs w:val="15"/>
                <w:color w:val="auto"/>
              </w:rPr>
              <w:t>28,898</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5"/>
                <w:szCs w:val="15"/>
                <w:color w:val="auto"/>
                <w:w w:val="95"/>
              </w:rPr>
              <w:t>1,887,581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vMerge w:val="restart"/>
            <w:shd w:val="clear" w:color="auto" w:fill="CCEEFF"/>
          </w:tcPr>
          <w:p>
            <w:pPr>
              <w:jc w:val="right"/>
              <w:spacing w:after="0" w:line="162" w:lineRule="exact"/>
              <w:rPr>
                <w:sz w:val="20"/>
                <w:szCs w:val="20"/>
                <w:color w:val="auto"/>
              </w:rPr>
            </w:pPr>
            <w:r>
              <w:rPr>
                <w:rFonts w:ascii="Arial" w:cs="Arial" w:eastAsia="Arial" w:hAnsi="Arial"/>
                <w:sz w:val="15"/>
                <w:szCs w:val="15"/>
                <w:color w:val="auto"/>
              </w:rPr>
              <w:t>2/2/2015</w:t>
            </w:r>
          </w:p>
        </w:tc>
        <w:tc>
          <w:tcPr>
            <w:tcW w:w="200" w:type="dxa"/>
            <w:vAlign w:val="bottom"/>
            <w:vMerge w:val="continue"/>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vMerge w:val="restart"/>
            <w:shd w:val="clear" w:color="auto" w:fill="CCEEFF"/>
          </w:tcPr>
          <w:p>
            <w:pPr>
              <w:jc w:val="right"/>
              <w:spacing w:after="0" w:line="162" w:lineRule="exact"/>
              <w:rPr>
                <w:sz w:val="20"/>
                <w:szCs w:val="20"/>
                <w:color w:val="auto"/>
              </w:rPr>
            </w:pPr>
            <w:r>
              <w:rPr>
                <w:rFonts w:ascii="Arial" w:cs="Arial" w:eastAsia="Arial" w:hAnsi="Arial"/>
                <w:sz w:val="15"/>
                <w:szCs w:val="15"/>
                <w:color w:val="auto"/>
              </w:rPr>
              <w:t>4,536</w:t>
            </w:r>
          </w:p>
        </w:tc>
        <w:tc>
          <w:tcPr>
            <w:tcW w:w="280" w:type="dxa"/>
            <w:vAlign w:val="bottom"/>
            <w:shd w:val="clear" w:color="auto" w:fill="CCEEFF"/>
          </w:tcPr>
          <w:p>
            <w:pPr>
              <w:spacing w:after="0"/>
              <w:rPr>
                <w:sz w:val="3"/>
                <w:szCs w:val="3"/>
                <w:color w:val="auto"/>
              </w:rPr>
            </w:pPr>
          </w:p>
        </w:tc>
        <w:tc>
          <w:tcPr>
            <w:tcW w:w="760" w:type="dxa"/>
            <w:vAlign w:val="bottom"/>
            <w:gridSpan w:val="2"/>
            <w:vMerge w:val="restart"/>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22,681</w:t>
            </w:r>
          </w:p>
        </w:tc>
        <w:tc>
          <w:tcPr>
            <w:tcW w:w="940" w:type="dxa"/>
            <w:vAlign w:val="bottom"/>
            <w:gridSpan w:val="2"/>
            <w:vMerge w:val="restart"/>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34,021</w:t>
            </w:r>
          </w:p>
        </w:tc>
        <w:tc>
          <w:tcPr>
            <w:tcW w:w="740" w:type="dxa"/>
            <w:vAlign w:val="bottom"/>
            <w:gridSpan w:val="2"/>
            <w:vMerge w:val="restart"/>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5"/>
              </w:rPr>
              <w:t>2,000,000</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(6)</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vMerge w:val="restart"/>
            <w:shd w:val="clear" w:color="auto" w:fill="CCEEFF"/>
          </w:tcPr>
          <w:p>
            <w:pPr>
              <w:jc w:val="right"/>
              <w:spacing w:after="0" w:line="162" w:lineRule="exact"/>
              <w:rPr>
                <w:sz w:val="20"/>
                <w:szCs w:val="20"/>
                <w:color w:val="auto"/>
              </w:rPr>
            </w:pPr>
            <w:r>
              <w:rPr>
                <w:rFonts w:ascii="Arial" w:cs="Arial" w:eastAsia="Arial" w:hAnsi="Arial"/>
                <w:sz w:val="15"/>
                <w:szCs w:val="15"/>
                <w:color w:val="auto"/>
              </w:rPr>
              <w:t>4/1/2015</w:t>
            </w:r>
          </w:p>
        </w:tc>
        <w:tc>
          <w:tcPr>
            <w:tcW w:w="200" w:type="dxa"/>
            <w:vAlign w:val="bottom"/>
            <w:vMerge w:val="continue"/>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vMerge w:val="restart"/>
            <w:shd w:val="clear" w:color="auto" w:fill="CCEEFF"/>
          </w:tcPr>
          <w:p>
            <w:pPr>
              <w:jc w:val="right"/>
              <w:spacing w:after="0" w:line="162" w:lineRule="exact"/>
              <w:rPr>
                <w:sz w:val="20"/>
                <w:szCs w:val="20"/>
                <w:color w:val="auto"/>
              </w:rPr>
            </w:pPr>
            <w:r>
              <w:rPr>
                <w:rFonts w:ascii="Arial" w:cs="Arial" w:eastAsia="Arial" w:hAnsi="Arial"/>
                <w:sz w:val="15"/>
                <w:szCs w:val="15"/>
                <w:color w:val="auto"/>
              </w:rPr>
              <w:t>2,268</w:t>
            </w:r>
          </w:p>
        </w:tc>
        <w:tc>
          <w:tcPr>
            <w:tcW w:w="280" w:type="dxa"/>
            <w:vAlign w:val="bottom"/>
            <w:shd w:val="clear" w:color="auto" w:fill="CCEEFF"/>
          </w:tcPr>
          <w:p>
            <w:pPr>
              <w:spacing w:after="0"/>
              <w:rPr>
                <w:sz w:val="3"/>
                <w:szCs w:val="3"/>
                <w:color w:val="auto"/>
              </w:rPr>
            </w:pPr>
          </w:p>
        </w:tc>
        <w:tc>
          <w:tcPr>
            <w:tcW w:w="760" w:type="dxa"/>
            <w:vAlign w:val="bottom"/>
            <w:gridSpan w:val="2"/>
            <w:vMerge w:val="restart"/>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11,340</w:t>
            </w:r>
          </w:p>
        </w:tc>
        <w:tc>
          <w:tcPr>
            <w:tcW w:w="940" w:type="dxa"/>
            <w:vAlign w:val="bottom"/>
            <w:gridSpan w:val="2"/>
            <w:vMerge w:val="restart"/>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17,011</w:t>
            </w:r>
          </w:p>
        </w:tc>
        <w:tc>
          <w:tcPr>
            <w:tcW w:w="740" w:type="dxa"/>
            <w:vAlign w:val="bottom"/>
            <w:gridSpan w:val="2"/>
            <w:vMerge w:val="restart"/>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5"/>
              </w:rPr>
              <w:t>1,000,000</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3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7"/>
              </w:rPr>
              <w:t>(6)</w:t>
            </w:r>
          </w:p>
        </w:tc>
        <w:tc>
          <w:tcPr>
            <w:tcW w:w="2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94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580" w:type="dxa"/>
            <w:vAlign w:val="bottom"/>
            <w:gridSpan w:val="3"/>
          </w:tcPr>
          <w:p>
            <w:pPr>
              <w:spacing w:after="0"/>
              <w:rPr>
                <w:sz w:val="20"/>
                <w:szCs w:val="20"/>
                <w:color w:val="auto"/>
              </w:rPr>
            </w:pPr>
            <w:r>
              <w:rPr>
                <w:rFonts w:ascii="Arial" w:cs="Arial" w:eastAsia="Arial" w:hAnsi="Arial"/>
                <w:sz w:val="15"/>
                <w:szCs w:val="15"/>
                <w:color w:val="auto"/>
              </w:rPr>
              <w:t>Douglas L. Martin</w:t>
            </w:r>
          </w:p>
        </w:tc>
        <w:tc>
          <w:tcPr>
            <w:tcW w:w="1140" w:type="dxa"/>
            <w:vAlign w:val="bottom"/>
            <w:gridSpan w:val="4"/>
          </w:tcPr>
          <w:p>
            <w:pPr>
              <w:jc w:val="right"/>
              <w:spacing w:after="0"/>
              <w:rPr>
                <w:sz w:val="20"/>
                <w:szCs w:val="20"/>
                <w:color w:val="auto"/>
              </w:rPr>
            </w:pPr>
            <w:r>
              <w:rPr>
                <w:rFonts w:ascii="Arial" w:cs="Arial" w:eastAsia="Arial" w:hAnsi="Arial"/>
                <w:sz w:val="15"/>
                <w:szCs w:val="15"/>
                <w:color w:val="auto"/>
              </w:rPr>
              <w:t>10/1/2014</w:t>
            </w:r>
            <w:r>
              <w:rPr>
                <w:rFonts w:ascii="Arial" w:cs="Arial" w:eastAsia="Arial" w:hAnsi="Arial"/>
                <w:sz w:val="13"/>
                <w:szCs w:val="13"/>
                <w:color w:val="auto"/>
              </w:rPr>
              <w:t>(1)</w:t>
            </w:r>
          </w:p>
        </w:tc>
        <w:tc>
          <w:tcPr>
            <w:tcW w:w="1220" w:type="dxa"/>
            <w:vAlign w:val="bottom"/>
            <w:gridSpan w:val="3"/>
          </w:tcPr>
          <w:p>
            <w:pPr>
              <w:jc w:val="right"/>
              <w:ind w:right="335"/>
              <w:spacing w:after="0"/>
              <w:rPr>
                <w:sz w:val="20"/>
                <w:szCs w:val="20"/>
                <w:color w:val="auto"/>
              </w:rPr>
            </w:pPr>
            <w:r>
              <w:rPr>
                <w:rFonts w:ascii="Arial" w:cs="Arial" w:eastAsia="Arial" w:hAnsi="Arial"/>
                <w:sz w:val="15"/>
                <w:szCs w:val="15"/>
                <w:color w:val="auto"/>
              </w:rPr>
              <w:t>123,750</w:t>
            </w:r>
          </w:p>
        </w:tc>
        <w:tc>
          <w:tcPr>
            <w:tcW w:w="1060" w:type="dxa"/>
            <w:vAlign w:val="bottom"/>
            <w:gridSpan w:val="2"/>
          </w:tcPr>
          <w:p>
            <w:pPr>
              <w:jc w:val="right"/>
              <w:ind w:right="335"/>
              <w:spacing w:after="0"/>
              <w:rPr>
                <w:sz w:val="20"/>
                <w:szCs w:val="20"/>
                <w:color w:val="auto"/>
              </w:rPr>
            </w:pPr>
            <w:r>
              <w:rPr>
                <w:rFonts w:ascii="Arial" w:cs="Arial" w:eastAsia="Arial" w:hAnsi="Arial"/>
                <w:sz w:val="15"/>
                <w:szCs w:val="15"/>
                <w:color w:val="auto"/>
              </w:rPr>
              <w:t>495,000</w:t>
            </w:r>
          </w:p>
        </w:tc>
        <w:tc>
          <w:tcPr>
            <w:tcW w:w="1080" w:type="dxa"/>
            <w:vAlign w:val="bottom"/>
            <w:gridSpan w:val="2"/>
          </w:tcPr>
          <w:p>
            <w:pPr>
              <w:jc w:val="right"/>
              <w:ind w:right="355"/>
              <w:spacing w:after="0"/>
              <w:rPr>
                <w:sz w:val="20"/>
                <w:szCs w:val="20"/>
                <w:color w:val="auto"/>
              </w:rPr>
            </w:pPr>
            <w:r>
              <w:rPr>
                <w:rFonts w:ascii="Arial" w:cs="Arial" w:eastAsia="Arial" w:hAnsi="Arial"/>
                <w:sz w:val="15"/>
                <w:szCs w:val="15"/>
                <w:color w:val="auto"/>
              </w:rPr>
              <w:t>990,000</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4,014</w:t>
            </w:r>
          </w:p>
        </w:tc>
        <w:tc>
          <w:tcPr>
            <w:tcW w:w="280" w:type="dxa"/>
            <w:vAlign w:val="bottom"/>
          </w:tcPr>
          <w:p>
            <w:pPr>
              <w:spacing w:after="0"/>
              <w:rPr>
                <w:sz w:val="22"/>
                <w:szCs w:val="2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16,055</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21,674</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w w:val="95"/>
              </w:rPr>
              <w:t>1,415,730</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40" w:type="dxa"/>
            <w:vAlign w:val="bottom"/>
            <w:gridSpan w:val="4"/>
          </w:tcPr>
          <w:p>
            <w:pPr>
              <w:jc w:val="right"/>
              <w:ind w:right="135"/>
              <w:spacing w:after="0" w:line="19" w:lineRule="exact"/>
              <w:rPr>
                <w:sz w:val="20"/>
                <w:szCs w:val="20"/>
                <w:color w:val="auto"/>
              </w:rPr>
            </w:pPr>
            <w:r>
              <w:rPr>
                <w:rFonts w:ascii="Arial" w:cs="Arial" w:eastAsia="Arial" w:hAnsi="Arial"/>
                <w:sz w:val="2"/>
                <w:szCs w:val="2"/>
                <w:color w:val="auto"/>
              </w:rPr>
              <w:t>12/15/2014</w:t>
            </w: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40" w:type="dxa"/>
            <w:vAlign w:val="bottom"/>
            <w:gridSpan w:val="4"/>
          </w:tcPr>
          <w:p>
            <w:pPr>
              <w:jc w:val="right"/>
              <w:spacing w:after="0" w:line="143" w:lineRule="exact"/>
              <w:rPr>
                <w:sz w:val="20"/>
                <w:szCs w:val="20"/>
                <w:color w:val="auto"/>
              </w:rPr>
            </w:pPr>
            <w:r>
              <w:rPr>
                <w:rFonts w:ascii="Arial" w:cs="Arial" w:eastAsia="Arial" w:hAnsi="Arial"/>
                <w:sz w:val="13"/>
                <w:szCs w:val="13"/>
                <w:color w:val="auto"/>
              </w:rPr>
              <w:t>(4)</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4,536</w:t>
            </w:r>
          </w:p>
        </w:tc>
        <w:tc>
          <w:tcPr>
            <w:tcW w:w="280" w:type="dxa"/>
            <w:vAlign w:val="bottom"/>
          </w:tcPr>
          <w:p>
            <w:pPr>
              <w:spacing w:after="0"/>
              <w:rPr>
                <w:sz w:val="12"/>
                <w:szCs w:val="12"/>
                <w:color w:val="auto"/>
              </w:rPr>
            </w:pPr>
          </w:p>
        </w:tc>
        <w:tc>
          <w:tcPr>
            <w:tcW w:w="760" w:type="dxa"/>
            <w:vAlign w:val="bottom"/>
            <w:gridSpan w:val="2"/>
            <w:vMerge w:val="restart"/>
          </w:tcPr>
          <w:p>
            <w:pPr>
              <w:jc w:val="right"/>
              <w:ind w:right="280"/>
              <w:spacing w:after="0" w:line="162" w:lineRule="exact"/>
              <w:rPr>
                <w:sz w:val="20"/>
                <w:szCs w:val="20"/>
                <w:color w:val="auto"/>
              </w:rPr>
            </w:pPr>
            <w:r>
              <w:rPr>
                <w:rFonts w:ascii="Arial" w:cs="Arial" w:eastAsia="Arial" w:hAnsi="Arial"/>
                <w:sz w:val="15"/>
                <w:szCs w:val="15"/>
                <w:color w:val="auto"/>
              </w:rPr>
              <w:t>22,681</w:t>
            </w:r>
          </w:p>
        </w:tc>
        <w:tc>
          <w:tcPr>
            <w:tcW w:w="940" w:type="dxa"/>
            <w:vAlign w:val="bottom"/>
            <w:gridSpan w:val="2"/>
            <w:vMerge w:val="restart"/>
          </w:tcPr>
          <w:p>
            <w:pPr>
              <w:jc w:val="right"/>
              <w:ind w:right="280"/>
              <w:spacing w:after="0" w:line="162" w:lineRule="exact"/>
              <w:rPr>
                <w:sz w:val="20"/>
                <w:szCs w:val="20"/>
                <w:color w:val="auto"/>
              </w:rPr>
            </w:pPr>
            <w:r>
              <w:rPr>
                <w:rFonts w:ascii="Arial" w:cs="Arial" w:eastAsia="Arial" w:hAnsi="Arial"/>
                <w:sz w:val="15"/>
                <w:szCs w:val="15"/>
                <w:color w:val="auto"/>
              </w:rPr>
              <w:t>32,207</w:t>
            </w:r>
          </w:p>
        </w:tc>
        <w:tc>
          <w:tcPr>
            <w:tcW w:w="740" w:type="dxa"/>
            <w:vAlign w:val="bottom"/>
            <w:gridSpan w:val="2"/>
            <w:vMerge w:val="restart"/>
          </w:tcPr>
          <w:p>
            <w:pPr>
              <w:jc w:val="right"/>
              <w:ind w:right="80"/>
              <w:spacing w:after="0" w:line="162" w:lineRule="exact"/>
              <w:rPr>
                <w:sz w:val="20"/>
                <w:szCs w:val="20"/>
                <w:color w:val="auto"/>
              </w:rPr>
            </w:pPr>
            <w:r>
              <w:rPr>
                <w:rFonts w:ascii="Arial" w:cs="Arial" w:eastAsia="Arial" w:hAnsi="Arial"/>
                <w:sz w:val="15"/>
                <w:szCs w:val="15"/>
                <w:color w:val="auto"/>
                <w:w w:val="95"/>
              </w:rPr>
              <w:t>2,000,000</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40" w:type="dxa"/>
            <w:vAlign w:val="bottom"/>
            <w:gridSpan w:val="4"/>
          </w:tcPr>
          <w:p>
            <w:pPr>
              <w:jc w:val="right"/>
              <w:ind w:right="135"/>
              <w:spacing w:after="0" w:line="19" w:lineRule="exact"/>
              <w:rPr>
                <w:sz w:val="20"/>
                <w:szCs w:val="20"/>
                <w:color w:val="auto"/>
              </w:rPr>
            </w:pPr>
            <w:r>
              <w:rPr>
                <w:rFonts w:ascii="Arial" w:cs="Arial" w:eastAsia="Arial" w:hAnsi="Arial"/>
                <w:sz w:val="2"/>
                <w:szCs w:val="2"/>
                <w:color w:val="auto"/>
              </w:rPr>
              <w:t>2/2/2015</w:t>
            </w: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14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Nathan E. Fagre</w:t>
            </w:r>
          </w:p>
        </w:tc>
        <w:tc>
          <w:tcPr>
            <w:tcW w:w="11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5"/>
                <w:szCs w:val="15"/>
                <w:color w:val="auto"/>
              </w:rPr>
              <w:t>10/1/2014</w:t>
            </w:r>
            <w:r>
              <w:rPr>
                <w:rFonts w:ascii="Arial" w:cs="Arial" w:eastAsia="Arial" w:hAnsi="Arial"/>
                <w:sz w:val="13"/>
                <w:szCs w:val="13"/>
                <w:color w:val="auto"/>
              </w:rPr>
              <w:t>(1)</w:t>
            </w:r>
          </w:p>
        </w:tc>
        <w:tc>
          <w:tcPr>
            <w:tcW w:w="1220" w:type="dxa"/>
            <w:vAlign w:val="bottom"/>
            <w:gridSpan w:val="3"/>
            <w:shd w:val="clear" w:color="auto" w:fill="CCEEFF"/>
          </w:tcPr>
          <w:p>
            <w:pPr>
              <w:jc w:val="right"/>
              <w:ind w:right="335"/>
              <w:spacing w:after="0" w:line="149" w:lineRule="exact"/>
              <w:rPr>
                <w:sz w:val="20"/>
                <w:szCs w:val="20"/>
                <w:color w:val="auto"/>
              </w:rPr>
            </w:pPr>
            <w:r>
              <w:rPr>
                <w:rFonts w:ascii="Arial" w:cs="Arial" w:eastAsia="Arial" w:hAnsi="Arial"/>
                <w:sz w:val="15"/>
                <w:szCs w:val="15"/>
                <w:color w:val="auto"/>
              </w:rPr>
              <w:t>56,250</w:t>
            </w:r>
          </w:p>
        </w:tc>
        <w:tc>
          <w:tcPr>
            <w:tcW w:w="1060" w:type="dxa"/>
            <w:vAlign w:val="bottom"/>
            <w:gridSpan w:val="2"/>
            <w:shd w:val="clear" w:color="auto" w:fill="CCEEFF"/>
          </w:tcPr>
          <w:p>
            <w:pPr>
              <w:jc w:val="right"/>
              <w:ind w:right="335"/>
              <w:spacing w:after="0" w:line="149" w:lineRule="exact"/>
              <w:rPr>
                <w:sz w:val="20"/>
                <w:szCs w:val="20"/>
                <w:color w:val="auto"/>
              </w:rPr>
            </w:pPr>
            <w:r>
              <w:rPr>
                <w:rFonts w:ascii="Arial" w:cs="Arial" w:eastAsia="Arial" w:hAnsi="Arial"/>
                <w:sz w:val="15"/>
                <w:szCs w:val="15"/>
                <w:color w:val="auto"/>
              </w:rPr>
              <w:t>225,000</w:t>
            </w:r>
          </w:p>
        </w:tc>
        <w:tc>
          <w:tcPr>
            <w:tcW w:w="1080" w:type="dxa"/>
            <w:vAlign w:val="bottom"/>
            <w:gridSpan w:val="2"/>
            <w:shd w:val="clear" w:color="auto" w:fill="CCEEFF"/>
          </w:tcPr>
          <w:p>
            <w:pPr>
              <w:jc w:val="right"/>
              <w:ind w:right="355"/>
              <w:spacing w:after="0" w:line="149" w:lineRule="exact"/>
              <w:rPr>
                <w:sz w:val="20"/>
                <w:szCs w:val="20"/>
                <w:color w:val="auto"/>
              </w:rPr>
            </w:pPr>
            <w:r>
              <w:rPr>
                <w:rFonts w:ascii="Arial" w:cs="Arial" w:eastAsia="Arial" w:hAnsi="Arial"/>
                <w:sz w:val="15"/>
                <w:szCs w:val="15"/>
                <w:color w:val="auto"/>
              </w:rPr>
              <w:t>450,000</w:t>
            </w:r>
          </w:p>
        </w:tc>
        <w:tc>
          <w:tcPr>
            <w:tcW w:w="620" w:type="dxa"/>
            <w:vAlign w:val="bottom"/>
            <w:vMerge w:val="restart"/>
            <w:shd w:val="clear" w:color="auto" w:fill="CCEEFF"/>
          </w:tcPr>
          <w:p>
            <w:pPr>
              <w:jc w:val="right"/>
              <w:spacing w:after="0" w:line="168" w:lineRule="exact"/>
              <w:rPr>
                <w:sz w:val="20"/>
                <w:szCs w:val="20"/>
                <w:color w:val="auto"/>
              </w:rPr>
            </w:pPr>
            <w:r>
              <w:rPr>
                <w:rFonts w:ascii="Arial" w:cs="Arial" w:eastAsia="Arial" w:hAnsi="Arial"/>
                <w:sz w:val="15"/>
                <w:szCs w:val="15"/>
                <w:color w:val="auto"/>
              </w:rPr>
              <w:t>3,479</w:t>
            </w:r>
          </w:p>
        </w:tc>
        <w:tc>
          <w:tcPr>
            <w:tcW w:w="2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80"/>
              <w:spacing w:after="0" w:line="168" w:lineRule="exact"/>
              <w:rPr>
                <w:sz w:val="20"/>
                <w:szCs w:val="20"/>
                <w:color w:val="auto"/>
              </w:rPr>
            </w:pPr>
            <w:r>
              <w:rPr>
                <w:rFonts w:ascii="Arial" w:cs="Arial" w:eastAsia="Arial" w:hAnsi="Arial"/>
                <w:sz w:val="15"/>
                <w:szCs w:val="15"/>
                <w:color w:val="auto"/>
              </w:rPr>
              <w:t>13,914</w:t>
            </w:r>
          </w:p>
        </w:tc>
        <w:tc>
          <w:tcPr>
            <w:tcW w:w="940" w:type="dxa"/>
            <w:vAlign w:val="bottom"/>
            <w:gridSpan w:val="2"/>
            <w:vMerge w:val="restart"/>
            <w:shd w:val="clear" w:color="auto" w:fill="CCEEFF"/>
          </w:tcPr>
          <w:p>
            <w:pPr>
              <w:jc w:val="right"/>
              <w:ind w:right="280"/>
              <w:spacing w:after="0" w:line="168" w:lineRule="exact"/>
              <w:rPr>
                <w:sz w:val="20"/>
                <w:szCs w:val="20"/>
                <w:color w:val="auto"/>
              </w:rPr>
            </w:pPr>
            <w:r>
              <w:rPr>
                <w:rFonts w:ascii="Arial" w:cs="Arial" w:eastAsia="Arial" w:hAnsi="Arial"/>
                <w:sz w:val="15"/>
                <w:szCs w:val="15"/>
                <w:color w:val="auto"/>
              </w:rPr>
              <w:t>18,784</w:t>
            </w:r>
          </w:p>
        </w:tc>
        <w:tc>
          <w:tcPr>
            <w:tcW w:w="740" w:type="dxa"/>
            <w:vAlign w:val="bottom"/>
            <w:gridSpan w:val="2"/>
            <w:vMerge w:val="restart"/>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w w:val="95"/>
              </w:rPr>
              <w:t>1,226,937</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140" w:type="dxa"/>
            <w:vAlign w:val="bottom"/>
            <w:gridSpan w:val="4"/>
            <w:shd w:val="clear" w:color="auto" w:fill="CCEEFF"/>
          </w:tcPr>
          <w:p>
            <w:pPr>
              <w:jc w:val="right"/>
              <w:ind w:right="135"/>
              <w:spacing w:after="0" w:line="19" w:lineRule="exact"/>
              <w:rPr>
                <w:sz w:val="20"/>
                <w:szCs w:val="20"/>
                <w:color w:val="auto"/>
              </w:rPr>
            </w:pPr>
            <w:r>
              <w:rPr>
                <w:rFonts w:ascii="Arial" w:cs="Arial" w:eastAsia="Arial" w:hAnsi="Arial"/>
                <w:sz w:val="2"/>
                <w:szCs w:val="2"/>
                <w:color w:val="auto"/>
              </w:rPr>
              <w:t>12/15/2014</w:t>
            </w: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vMerge w:val="continue"/>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gridSpan w:val="2"/>
            <w:vMerge w:val="continue"/>
            <w:shd w:val="clear" w:color="auto" w:fill="CCEEFF"/>
          </w:tcPr>
          <w:p>
            <w:pPr>
              <w:spacing w:after="0" w:line="20" w:lineRule="exact"/>
              <w:rPr>
                <w:sz w:val="1"/>
                <w:szCs w:val="1"/>
                <w:color w:val="auto"/>
              </w:rPr>
            </w:pPr>
          </w:p>
        </w:tc>
        <w:tc>
          <w:tcPr>
            <w:tcW w:w="940" w:type="dxa"/>
            <w:vAlign w:val="bottom"/>
            <w:gridSpan w:val="2"/>
            <w:vMerge w:val="continue"/>
            <w:shd w:val="clear" w:color="auto" w:fill="CCEEFF"/>
          </w:tcPr>
          <w:p>
            <w:pPr>
              <w:spacing w:after="0" w:line="20" w:lineRule="exact"/>
              <w:rPr>
                <w:sz w:val="1"/>
                <w:szCs w:val="1"/>
                <w:color w:val="auto"/>
              </w:rPr>
            </w:pPr>
          </w:p>
        </w:tc>
        <w:tc>
          <w:tcPr>
            <w:tcW w:w="74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spacing w:after="0" w:line="143" w:lineRule="exact"/>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line="162" w:lineRule="exact"/>
              <w:rPr>
                <w:sz w:val="20"/>
                <w:szCs w:val="20"/>
                <w:color w:val="auto"/>
              </w:rPr>
            </w:pPr>
            <w:r>
              <w:rPr>
                <w:rFonts w:ascii="Arial" w:cs="Arial" w:eastAsia="Arial" w:hAnsi="Arial"/>
                <w:sz w:val="15"/>
                <w:szCs w:val="15"/>
                <w:color w:val="auto"/>
              </w:rPr>
              <w:t>1,701</w:t>
            </w:r>
          </w:p>
        </w:tc>
        <w:tc>
          <w:tcPr>
            <w:tcW w:w="2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8,505</w:t>
            </w:r>
          </w:p>
        </w:tc>
        <w:tc>
          <w:tcPr>
            <w:tcW w:w="940" w:type="dxa"/>
            <w:vAlign w:val="bottom"/>
            <w:gridSpan w:val="2"/>
            <w:vMerge w:val="restart"/>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11,482</w:t>
            </w:r>
          </w:p>
        </w:tc>
        <w:tc>
          <w:tcPr>
            <w:tcW w:w="740" w:type="dxa"/>
            <w:vAlign w:val="bottom"/>
            <w:gridSpan w:val="2"/>
            <w:vMerge w:val="restart"/>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750,000</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140" w:type="dxa"/>
            <w:vAlign w:val="bottom"/>
            <w:gridSpan w:val="4"/>
            <w:shd w:val="clear" w:color="auto" w:fill="CCEEFF"/>
          </w:tcPr>
          <w:p>
            <w:pPr>
              <w:jc w:val="right"/>
              <w:ind w:right="135"/>
              <w:spacing w:after="0" w:line="19" w:lineRule="exact"/>
              <w:rPr>
                <w:sz w:val="20"/>
                <w:szCs w:val="20"/>
                <w:color w:val="auto"/>
              </w:rPr>
            </w:pPr>
            <w:r>
              <w:rPr>
                <w:rFonts w:ascii="Arial" w:cs="Arial" w:eastAsia="Arial" w:hAnsi="Arial"/>
                <w:sz w:val="2"/>
                <w:szCs w:val="2"/>
                <w:color w:val="auto"/>
              </w:rPr>
              <w:t>2/2/2015</w:t>
            </w: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vMerge w:val="continue"/>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gridSpan w:val="2"/>
            <w:vMerge w:val="continue"/>
            <w:shd w:val="clear" w:color="auto" w:fill="CCEEFF"/>
          </w:tcPr>
          <w:p>
            <w:pPr>
              <w:spacing w:after="0" w:line="20" w:lineRule="exact"/>
              <w:rPr>
                <w:sz w:val="1"/>
                <w:szCs w:val="1"/>
                <w:color w:val="auto"/>
              </w:rPr>
            </w:pPr>
          </w:p>
        </w:tc>
        <w:tc>
          <w:tcPr>
            <w:tcW w:w="940" w:type="dxa"/>
            <w:vAlign w:val="bottom"/>
            <w:gridSpan w:val="2"/>
            <w:vMerge w:val="continue"/>
            <w:shd w:val="clear" w:color="auto" w:fill="CCEEFF"/>
          </w:tcPr>
          <w:p>
            <w:pPr>
              <w:spacing w:after="0" w:line="20" w:lineRule="exact"/>
              <w:rPr>
                <w:sz w:val="1"/>
                <w:szCs w:val="1"/>
                <w:color w:val="auto"/>
              </w:rPr>
            </w:pPr>
          </w:p>
        </w:tc>
        <w:tc>
          <w:tcPr>
            <w:tcW w:w="74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580" w:type="dxa"/>
            <w:vAlign w:val="bottom"/>
            <w:gridSpan w:val="3"/>
          </w:tcPr>
          <w:p>
            <w:pPr>
              <w:spacing w:after="0"/>
              <w:rPr>
                <w:sz w:val="20"/>
                <w:szCs w:val="20"/>
                <w:color w:val="auto"/>
              </w:rPr>
            </w:pPr>
            <w:r>
              <w:rPr>
                <w:rFonts w:ascii="Arial" w:cs="Arial" w:eastAsia="Arial" w:hAnsi="Arial"/>
                <w:sz w:val="15"/>
                <w:szCs w:val="15"/>
                <w:color w:val="auto"/>
              </w:rPr>
              <w:t>Stacey L. Neu</w:t>
            </w:r>
          </w:p>
        </w:tc>
        <w:tc>
          <w:tcPr>
            <w:tcW w:w="1140" w:type="dxa"/>
            <w:vAlign w:val="bottom"/>
            <w:gridSpan w:val="4"/>
          </w:tcPr>
          <w:p>
            <w:pPr>
              <w:jc w:val="right"/>
              <w:spacing w:after="0"/>
              <w:rPr>
                <w:sz w:val="20"/>
                <w:szCs w:val="20"/>
                <w:color w:val="auto"/>
              </w:rPr>
            </w:pPr>
            <w:r>
              <w:rPr>
                <w:rFonts w:ascii="Arial" w:cs="Arial" w:eastAsia="Arial" w:hAnsi="Arial"/>
                <w:sz w:val="15"/>
                <w:szCs w:val="15"/>
                <w:color w:val="auto"/>
              </w:rPr>
              <w:t>10/1/2014</w:t>
            </w:r>
            <w:r>
              <w:rPr>
                <w:rFonts w:ascii="Arial" w:cs="Arial" w:eastAsia="Arial" w:hAnsi="Arial"/>
                <w:sz w:val="13"/>
                <w:szCs w:val="13"/>
                <w:color w:val="auto"/>
              </w:rPr>
              <w:t>(1)</w:t>
            </w:r>
          </w:p>
        </w:tc>
        <w:tc>
          <w:tcPr>
            <w:tcW w:w="1220" w:type="dxa"/>
            <w:vAlign w:val="bottom"/>
            <w:gridSpan w:val="3"/>
          </w:tcPr>
          <w:p>
            <w:pPr>
              <w:jc w:val="right"/>
              <w:ind w:right="335"/>
              <w:spacing w:after="0"/>
              <w:rPr>
                <w:sz w:val="20"/>
                <w:szCs w:val="20"/>
                <w:color w:val="auto"/>
              </w:rPr>
            </w:pPr>
            <w:r>
              <w:rPr>
                <w:rFonts w:ascii="Arial" w:cs="Arial" w:eastAsia="Arial" w:hAnsi="Arial"/>
                <w:sz w:val="15"/>
                <w:szCs w:val="15"/>
                <w:color w:val="auto"/>
              </w:rPr>
              <w:t>37,500</w:t>
            </w:r>
          </w:p>
        </w:tc>
        <w:tc>
          <w:tcPr>
            <w:tcW w:w="1060" w:type="dxa"/>
            <w:vAlign w:val="bottom"/>
            <w:gridSpan w:val="2"/>
          </w:tcPr>
          <w:p>
            <w:pPr>
              <w:jc w:val="right"/>
              <w:ind w:right="335"/>
              <w:spacing w:after="0"/>
              <w:rPr>
                <w:sz w:val="20"/>
                <w:szCs w:val="20"/>
                <w:color w:val="auto"/>
              </w:rPr>
            </w:pPr>
            <w:r>
              <w:rPr>
                <w:rFonts w:ascii="Arial" w:cs="Arial" w:eastAsia="Arial" w:hAnsi="Arial"/>
                <w:sz w:val="15"/>
                <w:szCs w:val="15"/>
                <w:color w:val="auto"/>
              </w:rPr>
              <w:t>150,000</w:t>
            </w:r>
          </w:p>
        </w:tc>
        <w:tc>
          <w:tcPr>
            <w:tcW w:w="1080" w:type="dxa"/>
            <w:vAlign w:val="bottom"/>
            <w:gridSpan w:val="2"/>
          </w:tcPr>
          <w:p>
            <w:pPr>
              <w:jc w:val="right"/>
              <w:ind w:right="355"/>
              <w:spacing w:after="0"/>
              <w:rPr>
                <w:sz w:val="20"/>
                <w:szCs w:val="20"/>
                <w:color w:val="auto"/>
              </w:rPr>
            </w:pPr>
            <w:r>
              <w:rPr>
                <w:rFonts w:ascii="Arial" w:cs="Arial" w:eastAsia="Arial" w:hAnsi="Arial"/>
                <w:sz w:val="15"/>
                <w:szCs w:val="15"/>
                <w:color w:val="auto"/>
              </w:rPr>
              <w:t>300,000</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2,007</w:t>
            </w:r>
          </w:p>
        </w:tc>
        <w:tc>
          <w:tcPr>
            <w:tcW w:w="280" w:type="dxa"/>
            <w:vAlign w:val="bottom"/>
          </w:tcPr>
          <w:p>
            <w:pPr>
              <w:spacing w:after="0"/>
              <w:rPr>
                <w:sz w:val="22"/>
                <w:szCs w:val="2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8,027</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10,836</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707,821</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40" w:type="dxa"/>
            <w:vAlign w:val="bottom"/>
            <w:gridSpan w:val="4"/>
          </w:tcPr>
          <w:p>
            <w:pPr>
              <w:jc w:val="right"/>
              <w:ind w:right="135"/>
              <w:spacing w:after="0" w:line="19" w:lineRule="exact"/>
              <w:rPr>
                <w:sz w:val="20"/>
                <w:szCs w:val="20"/>
                <w:color w:val="auto"/>
              </w:rPr>
            </w:pPr>
            <w:r>
              <w:rPr>
                <w:rFonts w:ascii="Arial" w:cs="Arial" w:eastAsia="Arial" w:hAnsi="Arial"/>
                <w:sz w:val="2"/>
                <w:szCs w:val="2"/>
                <w:color w:val="auto"/>
              </w:rPr>
              <w:t>12/15/2014</w:t>
            </w: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40" w:type="dxa"/>
            <w:vAlign w:val="bottom"/>
            <w:gridSpan w:val="4"/>
          </w:tcPr>
          <w:p>
            <w:pPr>
              <w:jc w:val="right"/>
              <w:spacing w:after="0" w:line="143" w:lineRule="exact"/>
              <w:rPr>
                <w:sz w:val="20"/>
                <w:szCs w:val="20"/>
                <w:color w:val="auto"/>
              </w:rPr>
            </w:pPr>
            <w:r>
              <w:rPr>
                <w:rFonts w:ascii="Arial" w:cs="Arial" w:eastAsia="Arial" w:hAnsi="Arial"/>
                <w:sz w:val="13"/>
                <w:szCs w:val="13"/>
                <w:color w:val="auto"/>
              </w:rPr>
              <w:t>(4)</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vMerge w:val="restart"/>
          </w:tcPr>
          <w:p>
            <w:pPr>
              <w:jc w:val="right"/>
              <w:ind w:right="280"/>
              <w:spacing w:after="0" w:line="162" w:lineRule="exact"/>
              <w:rPr>
                <w:sz w:val="20"/>
                <w:szCs w:val="20"/>
                <w:color w:val="auto"/>
              </w:rPr>
            </w:pPr>
            <w:r>
              <w:rPr>
                <w:rFonts w:ascii="Arial" w:cs="Arial" w:eastAsia="Arial" w:hAnsi="Arial"/>
                <w:sz w:val="15"/>
                <w:szCs w:val="15"/>
                <w:color w:val="auto"/>
              </w:rPr>
              <w:t>907</w:t>
            </w:r>
          </w:p>
        </w:tc>
        <w:tc>
          <w:tcPr>
            <w:tcW w:w="760" w:type="dxa"/>
            <w:vAlign w:val="bottom"/>
            <w:gridSpan w:val="2"/>
            <w:vMerge w:val="restart"/>
          </w:tcPr>
          <w:p>
            <w:pPr>
              <w:jc w:val="right"/>
              <w:ind w:right="280"/>
              <w:spacing w:after="0" w:line="162" w:lineRule="exact"/>
              <w:rPr>
                <w:sz w:val="20"/>
                <w:szCs w:val="20"/>
                <w:color w:val="auto"/>
              </w:rPr>
            </w:pPr>
            <w:r>
              <w:rPr>
                <w:rFonts w:ascii="Arial" w:cs="Arial" w:eastAsia="Arial" w:hAnsi="Arial"/>
                <w:sz w:val="15"/>
                <w:szCs w:val="15"/>
                <w:color w:val="auto"/>
              </w:rPr>
              <w:t>4,536</w:t>
            </w:r>
          </w:p>
        </w:tc>
        <w:tc>
          <w:tcPr>
            <w:tcW w:w="940" w:type="dxa"/>
            <w:vAlign w:val="bottom"/>
            <w:gridSpan w:val="2"/>
            <w:vMerge w:val="restart"/>
          </w:tcPr>
          <w:p>
            <w:pPr>
              <w:jc w:val="right"/>
              <w:ind w:right="280"/>
              <w:spacing w:after="0" w:line="162" w:lineRule="exact"/>
              <w:rPr>
                <w:sz w:val="20"/>
                <w:szCs w:val="20"/>
                <w:color w:val="auto"/>
              </w:rPr>
            </w:pPr>
            <w:r>
              <w:rPr>
                <w:rFonts w:ascii="Arial" w:cs="Arial" w:eastAsia="Arial" w:hAnsi="Arial"/>
                <w:sz w:val="15"/>
                <w:szCs w:val="15"/>
                <w:color w:val="auto"/>
              </w:rPr>
              <w:t>6,124</w:t>
            </w:r>
          </w:p>
        </w:tc>
        <w:tc>
          <w:tcPr>
            <w:tcW w:w="740" w:type="dxa"/>
            <w:vAlign w:val="bottom"/>
            <w:gridSpan w:val="2"/>
            <w:vMerge w:val="restart"/>
          </w:tcPr>
          <w:p>
            <w:pPr>
              <w:jc w:val="right"/>
              <w:ind w:right="80"/>
              <w:spacing w:after="0" w:line="162" w:lineRule="exact"/>
              <w:rPr>
                <w:sz w:val="20"/>
                <w:szCs w:val="20"/>
                <w:color w:val="auto"/>
              </w:rPr>
            </w:pPr>
            <w:r>
              <w:rPr>
                <w:rFonts w:ascii="Arial" w:cs="Arial" w:eastAsia="Arial" w:hAnsi="Arial"/>
                <w:sz w:val="15"/>
                <w:szCs w:val="15"/>
                <w:color w:val="auto"/>
              </w:rPr>
              <w:t>400,000</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40" w:type="dxa"/>
            <w:vAlign w:val="bottom"/>
            <w:gridSpan w:val="4"/>
          </w:tcPr>
          <w:p>
            <w:pPr>
              <w:jc w:val="right"/>
              <w:ind w:right="135"/>
              <w:spacing w:after="0" w:line="19" w:lineRule="exact"/>
              <w:rPr>
                <w:sz w:val="20"/>
                <w:szCs w:val="20"/>
                <w:color w:val="auto"/>
              </w:rPr>
            </w:pPr>
            <w:r>
              <w:rPr>
                <w:rFonts w:ascii="Arial" w:cs="Arial" w:eastAsia="Arial" w:hAnsi="Arial"/>
                <w:sz w:val="2"/>
                <w:szCs w:val="2"/>
                <w:color w:val="auto"/>
              </w:rPr>
              <w:t>2/2/2015</w:t>
            </w: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14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David R. Lumley</w:t>
            </w:r>
          </w:p>
        </w:tc>
        <w:tc>
          <w:tcPr>
            <w:tcW w:w="11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5"/>
                <w:szCs w:val="15"/>
                <w:color w:val="auto"/>
              </w:rPr>
              <w:t>10/1/2014</w:t>
            </w:r>
            <w:r>
              <w:rPr>
                <w:rFonts w:ascii="Arial" w:cs="Arial" w:eastAsia="Arial" w:hAnsi="Arial"/>
                <w:sz w:val="13"/>
                <w:szCs w:val="13"/>
                <w:color w:val="auto"/>
              </w:rPr>
              <w:t>(1)</w:t>
            </w:r>
          </w:p>
        </w:tc>
        <w:tc>
          <w:tcPr>
            <w:tcW w:w="1220" w:type="dxa"/>
            <w:vAlign w:val="bottom"/>
            <w:gridSpan w:val="3"/>
            <w:shd w:val="clear" w:color="auto" w:fill="CCEEFF"/>
          </w:tcPr>
          <w:p>
            <w:pPr>
              <w:jc w:val="right"/>
              <w:ind w:right="335"/>
              <w:spacing w:after="0" w:line="149" w:lineRule="exact"/>
              <w:rPr>
                <w:sz w:val="20"/>
                <w:szCs w:val="20"/>
                <w:color w:val="auto"/>
              </w:rPr>
            </w:pPr>
            <w:r>
              <w:rPr>
                <w:rFonts w:ascii="Arial" w:cs="Arial" w:eastAsia="Arial" w:hAnsi="Arial"/>
                <w:sz w:val="15"/>
                <w:szCs w:val="15"/>
                <w:color w:val="auto"/>
              </w:rPr>
              <w:t>271,688</w:t>
            </w:r>
          </w:p>
        </w:tc>
        <w:tc>
          <w:tcPr>
            <w:tcW w:w="1060" w:type="dxa"/>
            <w:vAlign w:val="bottom"/>
            <w:gridSpan w:val="2"/>
            <w:shd w:val="clear" w:color="auto" w:fill="CCEEFF"/>
          </w:tcPr>
          <w:p>
            <w:pPr>
              <w:jc w:val="right"/>
              <w:ind w:right="335"/>
              <w:spacing w:after="0" w:line="149" w:lineRule="exact"/>
              <w:rPr>
                <w:sz w:val="20"/>
                <w:szCs w:val="20"/>
                <w:color w:val="auto"/>
              </w:rPr>
            </w:pPr>
            <w:r>
              <w:rPr>
                <w:rFonts w:ascii="Arial" w:cs="Arial" w:eastAsia="Arial" w:hAnsi="Arial"/>
                <w:sz w:val="15"/>
                <w:szCs w:val="15"/>
                <w:color w:val="auto"/>
                <w:w w:val="95"/>
              </w:rPr>
              <w:t>1,086,750</w:t>
            </w:r>
          </w:p>
        </w:tc>
        <w:tc>
          <w:tcPr>
            <w:tcW w:w="1080" w:type="dxa"/>
            <w:vAlign w:val="bottom"/>
            <w:gridSpan w:val="2"/>
            <w:shd w:val="clear" w:color="auto" w:fill="CCEEFF"/>
          </w:tcPr>
          <w:p>
            <w:pPr>
              <w:jc w:val="right"/>
              <w:ind w:right="355"/>
              <w:spacing w:after="0" w:line="149" w:lineRule="exact"/>
              <w:rPr>
                <w:sz w:val="20"/>
                <w:szCs w:val="20"/>
                <w:color w:val="auto"/>
              </w:rPr>
            </w:pPr>
            <w:r>
              <w:rPr>
                <w:rFonts w:ascii="Arial" w:cs="Arial" w:eastAsia="Arial" w:hAnsi="Arial"/>
                <w:sz w:val="15"/>
                <w:szCs w:val="15"/>
                <w:color w:val="auto"/>
                <w:w w:val="95"/>
              </w:rPr>
              <w:t>2,716,875</w:t>
            </w:r>
          </w:p>
        </w:tc>
        <w:tc>
          <w:tcPr>
            <w:tcW w:w="900" w:type="dxa"/>
            <w:vAlign w:val="bottom"/>
            <w:gridSpan w:val="2"/>
            <w:vMerge w:val="restart"/>
            <w:shd w:val="clear" w:color="auto" w:fill="CCEEFF"/>
          </w:tcPr>
          <w:p>
            <w:pPr>
              <w:jc w:val="right"/>
              <w:ind w:right="360"/>
              <w:spacing w:after="0" w:line="168" w:lineRule="exact"/>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280"/>
              <w:spacing w:after="0" w:line="168" w:lineRule="exact"/>
              <w:rPr>
                <w:sz w:val="20"/>
                <w:szCs w:val="20"/>
                <w:color w:val="auto"/>
              </w:rPr>
            </w:pPr>
            <w:r>
              <w:rPr>
                <w:rFonts w:ascii="Arial" w:cs="Arial" w:eastAsia="Arial" w:hAnsi="Arial"/>
                <w:sz w:val="15"/>
                <w:szCs w:val="15"/>
                <w:color w:val="auto"/>
              </w:rPr>
              <w:t>54,771</w:t>
            </w:r>
          </w:p>
        </w:tc>
        <w:tc>
          <w:tcPr>
            <w:tcW w:w="940" w:type="dxa"/>
            <w:vAlign w:val="bottom"/>
            <w:gridSpan w:val="2"/>
            <w:vMerge w:val="restart"/>
            <w:shd w:val="clear" w:color="auto" w:fill="CCEEFF"/>
          </w:tcPr>
          <w:p>
            <w:pPr>
              <w:jc w:val="right"/>
              <w:ind w:right="280"/>
              <w:spacing w:after="0" w:line="168" w:lineRule="exact"/>
              <w:rPr>
                <w:sz w:val="20"/>
                <w:szCs w:val="20"/>
                <w:color w:val="auto"/>
              </w:rPr>
            </w:pPr>
            <w:r>
              <w:rPr>
                <w:rFonts w:ascii="Arial" w:cs="Arial" w:eastAsia="Arial" w:hAnsi="Arial"/>
                <w:sz w:val="15"/>
                <w:szCs w:val="15"/>
                <w:color w:val="auto"/>
              </w:rPr>
              <w:t>73,941</w:t>
            </w:r>
          </w:p>
        </w:tc>
        <w:tc>
          <w:tcPr>
            <w:tcW w:w="740" w:type="dxa"/>
            <w:vAlign w:val="bottom"/>
            <w:gridSpan w:val="2"/>
            <w:vMerge w:val="restart"/>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w w:val="95"/>
              </w:rPr>
              <w:t>4,829,707</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140" w:type="dxa"/>
            <w:vAlign w:val="bottom"/>
            <w:gridSpan w:val="4"/>
            <w:shd w:val="clear" w:color="auto" w:fill="CCEEFF"/>
          </w:tcPr>
          <w:p>
            <w:pPr>
              <w:jc w:val="right"/>
              <w:ind w:right="135"/>
              <w:spacing w:after="0" w:line="19" w:lineRule="exact"/>
              <w:rPr>
                <w:sz w:val="20"/>
                <w:szCs w:val="20"/>
                <w:color w:val="auto"/>
              </w:rPr>
            </w:pPr>
            <w:r>
              <w:rPr>
                <w:rFonts w:ascii="Arial" w:cs="Arial" w:eastAsia="Arial" w:hAnsi="Arial"/>
                <w:sz w:val="2"/>
                <w:szCs w:val="2"/>
                <w:color w:val="auto"/>
              </w:rPr>
              <w:t>12/15/2014</w:t>
            </w: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00" w:type="dxa"/>
            <w:vAlign w:val="bottom"/>
            <w:gridSpan w:val="2"/>
            <w:vMerge w:val="continue"/>
            <w:shd w:val="clear" w:color="auto" w:fill="CCEEFF"/>
          </w:tcPr>
          <w:p>
            <w:pPr>
              <w:spacing w:after="0" w:line="20" w:lineRule="exact"/>
              <w:rPr>
                <w:sz w:val="1"/>
                <w:szCs w:val="1"/>
                <w:color w:val="auto"/>
              </w:rPr>
            </w:pPr>
          </w:p>
        </w:tc>
        <w:tc>
          <w:tcPr>
            <w:tcW w:w="760" w:type="dxa"/>
            <w:vAlign w:val="bottom"/>
            <w:gridSpan w:val="2"/>
            <w:vMerge w:val="continue"/>
            <w:shd w:val="clear" w:color="auto" w:fill="CCEEFF"/>
          </w:tcPr>
          <w:p>
            <w:pPr>
              <w:spacing w:after="0" w:line="20" w:lineRule="exact"/>
              <w:rPr>
                <w:sz w:val="1"/>
                <w:szCs w:val="1"/>
                <w:color w:val="auto"/>
              </w:rPr>
            </w:pPr>
          </w:p>
        </w:tc>
        <w:tc>
          <w:tcPr>
            <w:tcW w:w="940" w:type="dxa"/>
            <w:vAlign w:val="bottom"/>
            <w:gridSpan w:val="2"/>
            <w:vMerge w:val="continue"/>
            <w:shd w:val="clear" w:color="auto" w:fill="CCEEFF"/>
          </w:tcPr>
          <w:p>
            <w:pPr>
              <w:spacing w:after="0" w:line="20" w:lineRule="exact"/>
              <w:rPr>
                <w:sz w:val="1"/>
                <w:szCs w:val="1"/>
                <w:color w:val="auto"/>
              </w:rPr>
            </w:pPr>
          </w:p>
        </w:tc>
        <w:tc>
          <w:tcPr>
            <w:tcW w:w="74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6" w:lineRule="exact"/>
        <w:rPr>
          <w:sz w:val="20"/>
          <w:szCs w:val="20"/>
          <w:color w:val="auto"/>
        </w:rPr>
      </w:pPr>
    </w:p>
    <w:p>
      <w:pPr>
        <w:ind w:left="340" w:right="100" w:hanging="332"/>
        <w:spacing w:after="0" w:line="246" w:lineRule="auto"/>
        <w:tabs>
          <w:tab w:leader="none" w:pos="340" w:val="left"/>
        </w:tabs>
        <w:numPr>
          <w:ilvl w:val="0"/>
          <w:numId w:val="69"/>
        </w:numPr>
        <w:rPr>
          <w:rFonts w:ascii="Arial" w:cs="Arial" w:eastAsia="Arial" w:hAnsi="Arial"/>
          <w:sz w:val="12"/>
          <w:szCs w:val="12"/>
          <w:color w:val="auto"/>
        </w:rPr>
      </w:pPr>
      <w:r>
        <w:rPr>
          <w:rFonts w:ascii="Arial" w:cs="Arial" w:eastAsia="Arial" w:hAnsi="Arial"/>
          <w:sz w:val="14"/>
          <w:szCs w:val="14"/>
          <w:color w:val="auto"/>
        </w:rPr>
        <w:t>Represents the threshold, target, and maximum payouts under the Company’s 2015 MIP. The actual amounts earned under the plan for Fiscal 2015 are disclosed in the Summary Compensation Table above as part of the column entitled “Non-Equity Incentive Plan Compensation.” For Mr. Lumley, the maximum payout for the disclosed award is equal to 250% of target, while the maximum payouts for Messrs. Rouvé, Martin, and Fagre and for Ms. Neu for the disclosed awards are equal to 200% of target. For Mr. Rouvé, the award disclosed in connection with this footnote relates to the grant made corresponding to his position as Chief Operating Officer of the Company.</w:t>
      </w:r>
    </w:p>
    <w:p>
      <w:pPr>
        <w:ind w:left="340" w:right="320" w:hanging="332"/>
        <w:spacing w:after="0" w:line="225" w:lineRule="auto"/>
        <w:tabs>
          <w:tab w:leader="none" w:pos="340" w:val="left"/>
        </w:tabs>
        <w:numPr>
          <w:ilvl w:val="0"/>
          <w:numId w:val="69"/>
        </w:numPr>
        <w:rPr>
          <w:rFonts w:ascii="Arial" w:cs="Arial" w:eastAsia="Arial" w:hAnsi="Arial"/>
          <w:sz w:val="13"/>
          <w:szCs w:val="13"/>
          <w:color w:val="auto"/>
        </w:rPr>
      </w:pPr>
      <w:r>
        <w:rPr>
          <w:rFonts w:ascii="Arial" w:cs="Arial" w:eastAsia="Arial" w:hAnsi="Arial"/>
          <w:sz w:val="15"/>
          <w:szCs w:val="15"/>
          <w:color w:val="auto"/>
        </w:rPr>
        <w:t>For Mr. Rouvé, the disclosed amount was denominated in Euros and converted to U.S. dollars at the rate of $1.12432 per Euro, which was the published rate from the OANDA Corporation currency database as of September 30, 2015.</w:t>
      </w:r>
    </w:p>
    <w:p>
      <w:pPr>
        <w:jc w:val="both"/>
        <w:ind w:left="340" w:right="260" w:hanging="332"/>
        <w:spacing w:after="0" w:line="225" w:lineRule="auto"/>
        <w:tabs>
          <w:tab w:leader="none" w:pos="340" w:val="left"/>
        </w:tabs>
        <w:numPr>
          <w:ilvl w:val="0"/>
          <w:numId w:val="69"/>
        </w:numPr>
        <w:rPr>
          <w:rFonts w:ascii="Arial" w:cs="Arial" w:eastAsia="Arial" w:hAnsi="Arial"/>
          <w:sz w:val="13"/>
          <w:szCs w:val="13"/>
          <w:color w:val="auto"/>
        </w:rPr>
      </w:pPr>
      <w:r>
        <w:rPr>
          <w:rFonts w:ascii="Arial" w:cs="Arial" w:eastAsia="Arial" w:hAnsi="Arial"/>
          <w:sz w:val="15"/>
          <w:szCs w:val="15"/>
          <w:color w:val="auto"/>
        </w:rPr>
        <w:t>For Mr. Rouvé, the disclosed amounts represent the threshold, target, and maximum payouts under the Company’s 2015 MIP for the grant made corresponding to his position as Chief Executive Officer of the Company. The actual amount earned under the plan for Fiscal 2015 is disclosed in the Summary Compensation Table above as part of the column entitled “Non-Equity Incentive Plan Compensation.” The maximum payout for the disclosed award is equal to 250% of target.</w:t>
      </w:r>
    </w:p>
    <w:p>
      <w:pPr>
        <w:spacing w:after="0" w:line="1" w:lineRule="exact"/>
        <w:rPr>
          <w:rFonts w:ascii="Arial" w:cs="Arial" w:eastAsia="Arial" w:hAnsi="Arial"/>
          <w:sz w:val="13"/>
          <w:szCs w:val="13"/>
          <w:color w:val="auto"/>
        </w:rPr>
      </w:pPr>
    </w:p>
    <w:p>
      <w:pPr>
        <w:ind w:left="340" w:right="180" w:hanging="332"/>
        <w:spacing w:after="0" w:line="225" w:lineRule="auto"/>
        <w:tabs>
          <w:tab w:leader="none" w:pos="340" w:val="left"/>
        </w:tabs>
        <w:numPr>
          <w:ilvl w:val="0"/>
          <w:numId w:val="69"/>
        </w:numPr>
        <w:rPr>
          <w:rFonts w:ascii="Arial" w:cs="Arial" w:eastAsia="Arial" w:hAnsi="Arial"/>
          <w:sz w:val="13"/>
          <w:szCs w:val="13"/>
          <w:color w:val="auto"/>
        </w:rPr>
      </w:pPr>
      <w:r>
        <w:rPr>
          <w:rFonts w:ascii="Arial" w:cs="Arial" w:eastAsia="Arial" w:hAnsi="Arial"/>
          <w:sz w:val="15"/>
          <w:szCs w:val="15"/>
          <w:color w:val="auto"/>
        </w:rPr>
        <w:t>Except as otherwise disclosed, the amounts represent the threshold, target, and maximum payouts, denominated in the number of shares of stock, in respect of performance-based RSUs granted under the Company’s 2015 EIP. For Mr. Lumley, he was provided no award opportunity for performance below target.</w:t>
      </w:r>
    </w:p>
    <w:p>
      <w:pPr>
        <w:ind w:left="340" w:right="400" w:hanging="332"/>
        <w:spacing w:after="0" w:line="260" w:lineRule="auto"/>
        <w:tabs>
          <w:tab w:leader="none" w:pos="340" w:val="left"/>
        </w:tabs>
        <w:numPr>
          <w:ilvl w:val="0"/>
          <w:numId w:val="69"/>
        </w:numPr>
        <w:rPr>
          <w:rFonts w:ascii="Arial" w:cs="Arial" w:eastAsia="Arial" w:hAnsi="Arial"/>
          <w:sz w:val="11"/>
          <w:szCs w:val="11"/>
          <w:color w:val="auto"/>
        </w:rPr>
      </w:pPr>
      <w:r>
        <w:rPr>
          <w:rFonts w:ascii="Arial" w:cs="Arial" w:eastAsia="Arial" w:hAnsi="Arial"/>
          <w:sz w:val="13"/>
          <w:szCs w:val="13"/>
          <w:color w:val="auto"/>
        </w:rPr>
        <w:t>Reflects the value at the grant date based upon the probable outcome of the relevant performance conditions at target. This amount is consistent with the estimate of aggregate compensation costs to be recognized over the service period determined as of the grant date under FASB ASC Topic 718, excluding the effect of any estimated forfeitures.</w:t>
      </w:r>
    </w:p>
    <w:p>
      <w:pPr>
        <w:ind w:left="340" w:right="100" w:hanging="332"/>
        <w:spacing w:after="0" w:line="252" w:lineRule="auto"/>
        <w:tabs>
          <w:tab w:leader="none" w:pos="340" w:val="left"/>
        </w:tabs>
        <w:numPr>
          <w:ilvl w:val="0"/>
          <w:numId w:val="69"/>
        </w:numPr>
        <w:rPr>
          <w:rFonts w:ascii="Arial" w:cs="Arial" w:eastAsia="Arial" w:hAnsi="Arial"/>
          <w:sz w:val="12"/>
          <w:szCs w:val="12"/>
          <w:color w:val="auto"/>
        </w:rPr>
      </w:pPr>
      <w:r>
        <w:rPr>
          <w:rFonts w:ascii="Arial" w:cs="Arial" w:eastAsia="Arial" w:hAnsi="Arial"/>
          <w:sz w:val="14"/>
          <w:szCs w:val="14"/>
          <w:color w:val="auto"/>
        </w:rPr>
        <w:t>Represents the threshold, target, and maximum payouts under the Company’s Spectrum $2B Plan for Fiscal 2015-2016. The potential award amounts are denominated in dollars, but will be payable in RSUs or shares of restricted stock based on the fair market value of the Company’s shares at the time of the award payout. For purposes of this table, the threshold, target, and maximum number of RSUs or shares of restricted stock disclosed with respect to the award are determined by dividing the dollar value of the potential award opportunity by the closing price per share of the Company’s common stock on the NYSE on the date of grant, which was $88.18 on October 1, 2014.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refer you to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and the “</w:t>
      </w:r>
      <w:r>
        <w:rPr>
          <w:rFonts w:ascii="Arial" w:cs="Arial" w:eastAsia="Arial" w:hAnsi="Arial"/>
          <w:sz w:val="16"/>
          <w:szCs w:val="16"/>
          <w:i w:val="1"/>
          <w:iCs w:val="1"/>
          <w:color w:val="auto"/>
        </w:rPr>
        <w:t>Termination and Change in Control Provisions</w:t>
      </w:r>
      <w:r>
        <w:rPr>
          <w:rFonts w:ascii="Arial" w:cs="Arial" w:eastAsia="Arial" w:hAnsi="Arial"/>
          <w:sz w:val="16"/>
          <w:szCs w:val="16"/>
          <w:color w:val="auto"/>
        </w:rPr>
        <w:t>” sections of this prospectus as well as the corresponding footnotes to the tables for material factors necessary for an understanding of the compensation detailed in the Summary Compensation Table, All Other Compensation Table for Fiscal Year 2015, and Grants of Plan-Based Awards Table for Fiscal Year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and footnotes set forth information regarding outstanding restricted stock and restricted stock unit awards as of September 30, 2015 for the named executive officers. The market value of shares that have not vested was determined by multiplying $91.51, the closing market price of the Company’s stock on September 30, 2015, the last trading day of Fiscal 2015, by the number of shares.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2015 Fiscal Year-End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Stock Awards</w:t>
            </w:r>
          </w:p>
        </w:tc>
        <w:tc>
          <w:tcPr>
            <w:tcW w:w="1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40" w:type="dxa"/>
            <w:vAlign w:val="bottom"/>
            <w:gridSpan w:val="2"/>
            <w:vMerge w:val="restart"/>
          </w:tcPr>
          <w:p>
            <w:pPr>
              <w:jc w:val="center"/>
              <w:ind w:right="763"/>
              <w:spacing w:after="0"/>
              <w:rPr>
                <w:sz w:val="20"/>
                <w:szCs w:val="20"/>
                <w:color w:val="auto"/>
              </w:rPr>
            </w:pPr>
            <w:r>
              <w:rPr>
                <w:rFonts w:ascii="Arial" w:cs="Arial" w:eastAsia="Arial" w:hAnsi="Arial"/>
                <w:sz w:val="14"/>
                <w:szCs w:val="14"/>
                <w:b w:val="1"/>
                <w:bCs w:val="1"/>
                <w:color w:val="auto"/>
                <w:w w:val="98"/>
              </w:rPr>
              <w:t>Equity</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40" w:type="dxa"/>
            <w:vAlign w:val="bottom"/>
            <w:gridSpan w:val="2"/>
          </w:tcPr>
          <w:p>
            <w:pPr>
              <w:jc w:val="center"/>
              <w:ind w:right="763"/>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40" w:type="dxa"/>
            <w:vAlign w:val="bottom"/>
            <w:gridSpan w:val="2"/>
          </w:tcPr>
          <w:p>
            <w:pPr>
              <w:jc w:val="center"/>
              <w:ind w:right="763"/>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Payout Value</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40" w:type="dxa"/>
            <w:vAlign w:val="bottom"/>
            <w:gridSpan w:val="2"/>
          </w:tcPr>
          <w:p>
            <w:pPr>
              <w:jc w:val="center"/>
              <w:ind w:right="763"/>
              <w:spacing w:after="0" w:line="149" w:lineRule="exact"/>
              <w:rPr>
                <w:sz w:val="20"/>
                <w:szCs w:val="20"/>
                <w:color w:val="auto"/>
              </w:rPr>
            </w:pPr>
            <w:r>
              <w:rPr>
                <w:rFonts w:ascii="Arial" w:cs="Arial" w:eastAsia="Arial" w:hAnsi="Arial"/>
                <w:sz w:val="14"/>
                <w:szCs w:val="14"/>
                <w:b w:val="1"/>
                <w:bCs w:val="1"/>
                <w:color w:val="auto"/>
                <w:w w:val="94"/>
              </w:rPr>
              <w:t>Number of</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120" w:type="dxa"/>
            <w:vAlign w:val="bottom"/>
            <w:gridSpan w:val="2"/>
            <w:vMerge w:val="restart"/>
          </w:tcPr>
          <w:p>
            <w:pPr>
              <w:jc w:val="center"/>
              <w:ind w:right="743"/>
              <w:spacing w:after="0"/>
              <w:rPr>
                <w:sz w:val="20"/>
                <w:szCs w:val="20"/>
                <w:color w:val="auto"/>
              </w:rPr>
            </w:pPr>
            <w:r>
              <w:rPr>
                <w:rFonts w:ascii="Arial" w:cs="Arial" w:eastAsia="Arial" w:hAnsi="Arial"/>
                <w:sz w:val="14"/>
                <w:szCs w:val="14"/>
                <w:b w:val="1"/>
                <w:bCs w:val="1"/>
                <w:color w:val="auto"/>
                <w:w w:val="93"/>
              </w:rPr>
              <w:t>Number of Shares or</w:t>
            </w:r>
          </w:p>
        </w:tc>
        <w:tc>
          <w:tcPr>
            <w:tcW w:w="21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4"/>
              </w:rPr>
              <w:t>Market Value of Shares</w:t>
            </w:r>
          </w:p>
        </w:tc>
        <w:tc>
          <w:tcPr>
            <w:tcW w:w="1940" w:type="dxa"/>
            <w:vAlign w:val="bottom"/>
            <w:gridSpan w:val="2"/>
          </w:tcPr>
          <w:p>
            <w:pPr>
              <w:jc w:val="center"/>
              <w:ind w:right="763"/>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940" w:type="dxa"/>
            <w:vAlign w:val="bottom"/>
            <w:gridSpan w:val="2"/>
          </w:tcPr>
          <w:p>
            <w:pPr>
              <w:jc w:val="center"/>
              <w:ind w:right="763"/>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or Other Rights</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120" w:type="dxa"/>
            <w:vAlign w:val="bottom"/>
            <w:gridSpan w:val="2"/>
          </w:tcPr>
          <w:p>
            <w:pPr>
              <w:jc w:val="center"/>
              <w:ind w:right="743"/>
              <w:spacing w:after="0" w:line="149" w:lineRule="exact"/>
              <w:rPr>
                <w:sz w:val="20"/>
                <w:szCs w:val="20"/>
                <w:color w:val="auto"/>
              </w:rPr>
            </w:pPr>
            <w:r>
              <w:rPr>
                <w:rFonts w:ascii="Arial" w:cs="Arial" w:eastAsia="Arial" w:hAnsi="Arial"/>
                <w:sz w:val="14"/>
                <w:szCs w:val="14"/>
                <w:b w:val="1"/>
                <w:bCs w:val="1"/>
                <w:color w:val="auto"/>
                <w:w w:val="92"/>
              </w:rPr>
              <w:t>Units of Stock That</w:t>
            </w:r>
          </w:p>
        </w:tc>
        <w:tc>
          <w:tcPr>
            <w:tcW w:w="2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or Units of Stock That</w:t>
            </w:r>
          </w:p>
        </w:tc>
        <w:tc>
          <w:tcPr>
            <w:tcW w:w="1940" w:type="dxa"/>
            <w:vAlign w:val="bottom"/>
            <w:gridSpan w:val="2"/>
          </w:tcPr>
          <w:p>
            <w:pPr>
              <w:jc w:val="center"/>
              <w:ind w:right="763"/>
              <w:spacing w:after="0" w:line="149" w:lineRule="exact"/>
              <w:rPr>
                <w:sz w:val="20"/>
                <w:szCs w:val="20"/>
                <w:color w:val="auto"/>
              </w:rPr>
            </w:pPr>
            <w:r>
              <w:rPr>
                <w:rFonts w:ascii="Arial" w:cs="Arial" w:eastAsia="Arial" w:hAnsi="Arial"/>
                <w:sz w:val="14"/>
                <w:szCs w:val="14"/>
                <w:b w:val="1"/>
                <w:bCs w:val="1"/>
                <w:color w:val="auto"/>
                <w:w w:val="96"/>
              </w:rPr>
              <w:t>Rights That Have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120" w:type="dxa"/>
            <w:vAlign w:val="bottom"/>
            <w:gridSpan w:val="2"/>
          </w:tcPr>
          <w:p>
            <w:pPr>
              <w:jc w:val="center"/>
              <w:ind w:right="743"/>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2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940" w:type="dxa"/>
            <w:vAlign w:val="bottom"/>
            <w:gridSpan w:val="2"/>
          </w:tcPr>
          <w:p>
            <w:pPr>
              <w:jc w:val="center"/>
              <w:ind w:right="763"/>
              <w:spacing w:after="0" w:line="149" w:lineRule="exact"/>
              <w:rPr>
                <w:sz w:val="20"/>
                <w:szCs w:val="20"/>
                <w:color w:val="auto"/>
              </w:rPr>
            </w:pPr>
            <w:r>
              <w:rPr>
                <w:rFonts w:ascii="Arial" w:cs="Arial" w:eastAsia="Arial" w:hAnsi="Arial"/>
                <w:sz w:val="14"/>
                <w:szCs w:val="14"/>
                <w:b w:val="1"/>
                <w:bCs w:val="1"/>
                <w:color w:val="auto"/>
                <w:w w:val="90"/>
              </w:rPr>
              <w:t>Not Vested</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Andrea Rouvé</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8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87"/>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1,290,199</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34,530</w:t>
            </w:r>
          </w:p>
        </w:tc>
        <w:tc>
          <w:tcPr>
            <w:tcW w:w="8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87"/>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Douglas L. Martin</w:t>
            </w:r>
          </w:p>
        </w:tc>
        <w:tc>
          <w:tcPr>
            <w:tcW w:w="2120" w:type="dxa"/>
            <w:vAlign w:val="bottom"/>
            <w:gridSpan w:val="2"/>
          </w:tcPr>
          <w:p>
            <w:pPr>
              <w:jc w:val="right"/>
              <w:ind w:right="843"/>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83"/>
              <w:spacing w:after="0"/>
              <w:rPr>
                <w:sz w:val="20"/>
                <w:szCs w:val="20"/>
                <w:color w:val="auto"/>
              </w:rPr>
            </w:pPr>
            <w:r>
              <w:rPr>
                <w:rFonts w:ascii="Arial" w:cs="Arial" w:eastAsia="Arial" w:hAnsi="Arial"/>
                <w:sz w:val="18"/>
                <w:szCs w:val="18"/>
                <w:color w:val="auto"/>
              </w:rPr>
              <w:t>16,055</w:t>
            </w:r>
            <w:r>
              <w:rPr>
                <w:rFonts w:ascii="Arial" w:cs="Arial" w:eastAsia="Arial" w:hAnsi="Arial"/>
                <w:sz w:val="15"/>
                <w:szCs w:val="15"/>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1,469,193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Nathan E. Fagre</w:t>
            </w:r>
          </w:p>
        </w:tc>
        <w:tc>
          <w:tcPr>
            <w:tcW w:w="2120" w:type="dxa"/>
            <w:vAlign w:val="bottom"/>
            <w:gridSpan w:val="2"/>
            <w:shd w:val="clear" w:color="auto" w:fill="CCEEFF"/>
          </w:tcPr>
          <w:p>
            <w:pPr>
              <w:jc w:val="right"/>
              <w:ind w:right="563"/>
              <w:spacing w:after="0"/>
              <w:rPr>
                <w:sz w:val="20"/>
                <w:szCs w:val="20"/>
                <w:color w:val="auto"/>
              </w:rPr>
            </w:pPr>
            <w:r>
              <w:rPr>
                <w:rFonts w:ascii="Arial" w:cs="Arial" w:eastAsia="Arial" w:hAnsi="Arial"/>
                <w:sz w:val="18"/>
                <w:szCs w:val="18"/>
                <w:color w:val="auto"/>
              </w:rPr>
              <w:t>10,254</w:t>
            </w:r>
            <w:r>
              <w:rPr>
                <w:rFonts w:ascii="Arial" w:cs="Arial" w:eastAsia="Arial" w:hAnsi="Arial"/>
                <w:sz w:val="15"/>
                <w:szCs w:val="15"/>
                <w:color w:val="auto"/>
              </w:rPr>
              <w:t>(4)</w:t>
            </w:r>
          </w:p>
        </w:tc>
        <w:tc>
          <w:tcPr>
            <w:tcW w:w="2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938,344</w:t>
            </w:r>
          </w:p>
        </w:tc>
        <w:tc>
          <w:tcPr>
            <w:tcW w:w="1940" w:type="dxa"/>
            <w:vAlign w:val="bottom"/>
            <w:gridSpan w:val="2"/>
            <w:shd w:val="clear" w:color="auto" w:fill="CCEEFF"/>
          </w:tcPr>
          <w:p>
            <w:pPr>
              <w:jc w:val="right"/>
              <w:ind w:right="583"/>
              <w:spacing w:after="0"/>
              <w:rPr>
                <w:sz w:val="20"/>
                <w:szCs w:val="20"/>
                <w:color w:val="auto"/>
              </w:rPr>
            </w:pPr>
            <w:r>
              <w:rPr>
                <w:rFonts w:ascii="Arial" w:cs="Arial" w:eastAsia="Arial" w:hAnsi="Arial"/>
                <w:sz w:val="18"/>
                <w:szCs w:val="18"/>
                <w:color w:val="auto"/>
              </w:rPr>
              <w:t>15,444</w:t>
            </w:r>
            <w:r>
              <w:rPr>
                <w:rFonts w:ascii="Arial" w:cs="Arial" w:eastAsia="Arial" w:hAnsi="Arial"/>
                <w:sz w:val="15"/>
                <w:szCs w:val="15"/>
                <w:color w:val="auto"/>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Stacey L. Neu</w:t>
            </w:r>
          </w:p>
        </w:tc>
        <w:tc>
          <w:tcPr>
            <w:tcW w:w="2120" w:type="dxa"/>
            <w:vAlign w:val="bottom"/>
            <w:gridSpan w:val="2"/>
          </w:tcPr>
          <w:p>
            <w:pPr>
              <w:jc w:val="right"/>
              <w:ind w:right="563"/>
              <w:spacing w:after="0"/>
              <w:rPr>
                <w:sz w:val="20"/>
                <w:szCs w:val="20"/>
                <w:color w:val="auto"/>
              </w:rPr>
            </w:pPr>
            <w:r>
              <w:rPr>
                <w:rFonts w:ascii="Arial" w:cs="Arial" w:eastAsia="Arial" w:hAnsi="Arial"/>
                <w:sz w:val="18"/>
                <w:szCs w:val="18"/>
                <w:color w:val="auto"/>
              </w:rPr>
              <w:t>3,524</w:t>
            </w:r>
            <w:r>
              <w:rPr>
                <w:rFonts w:ascii="Arial" w:cs="Arial" w:eastAsia="Arial" w:hAnsi="Arial"/>
                <w:sz w:val="15"/>
                <w:szCs w:val="15"/>
                <w:color w:val="auto"/>
              </w:rPr>
              <w:t>(6)</w:t>
            </w:r>
          </w:p>
        </w:tc>
        <w:tc>
          <w:tcPr>
            <w:tcW w:w="2160" w:type="dxa"/>
            <w:vAlign w:val="bottom"/>
            <w:gridSpan w:val="2"/>
          </w:tcPr>
          <w:p>
            <w:pPr>
              <w:jc w:val="right"/>
              <w:ind w:right="700"/>
              <w:spacing w:after="0"/>
              <w:rPr>
                <w:sz w:val="20"/>
                <w:szCs w:val="20"/>
                <w:color w:val="auto"/>
              </w:rPr>
            </w:pPr>
            <w:r>
              <w:rPr>
                <w:rFonts w:ascii="Arial" w:cs="Arial" w:eastAsia="Arial" w:hAnsi="Arial"/>
                <w:sz w:val="18"/>
                <w:szCs w:val="18"/>
                <w:color w:val="auto"/>
              </w:rPr>
              <w:t>322,481</w:t>
            </w:r>
          </w:p>
        </w:tc>
        <w:tc>
          <w:tcPr>
            <w:tcW w:w="1940" w:type="dxa"/>
            <w:vAlign w:val="bottom"/>
            <w:gridSpan w:val="2"/>
          </w:tcPr>
          <w:p>
            <w:pPr>
              <w:jc w:val="right"/>
              <w:ind w:right="583"/>
              <w:spacing w:after="0"/>
              <w:rPr>
                <w:sz w:val="20"/>
                <w:szCs w:val="20"/>
                <w:color w:val="auto"/>
              </w:rPr>
            </w:pPr>
            <w:r>
              <w:rPr>
                <w:rFonts w:ascii="Arial" w:cs="Arial" w:eastAsia="Arial" w:hAnsi="Arial"/>
                <w:sz w:val="18"/>
                <w:szCs w:val="18"/>
                <w:color w:val="auto"/>
              </w:rPr>
              <w:t>8,498</w:t>
            </w:r>
            <w:r>
              <w:rPr>
                <w:rFonts w:ascii="Arial" w:cs="Arial" w:eastAsia="Arial" w:hAnsi="Arial"/>
                <w:sz w:val="15"/>
                <w:szCs w:val="15"/>
                <w:color w:val="auto"/>
              </w:rPr>
              <w:t>(7)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777,652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David R. Lumley</w:t>
            </w:r>
          </w:p>
        </w:tc>
        <w:tc>
          <w:tcPr>
            <w:tcW w:w="2120" w:type="dxa"/>
            <w:vAlign w:val="bottom"/>
            <w:gridSpan w:val="2"/>
            <w:shd w:val="clear" w:color="auto" w:fill="CCEEFF"/>
          </w:tcPr>
          <w:p>
            <w:pPr>
              <w:jc w:val="right"/>
              <w:ind w:right="563"/>
              <w:spacing w:after="0"/>
              <w:rPr>
                <w:sz w:val="20"/>
                <w:szCs w:val="20"/>
                <w:color w:val="auto"/>
              </w:rPr>
            </w:pPr>
            <w:r>
              <w:rPr>
                <w:rFonts w:ascii="Arial" w:cs="Arial" w:eastAsia="Arial" w:hAnsi="Arial"/>
                <w:sz w:val="18"/>
                <w:szCs w:val="18"/>
                <w:color w:val="auto"/>
              </w:rPr>
              <w:t>72,101</w:t>
            </w:r>
            <w:r>
              <w:rPr>
                <w:rFonts w:ascii="Arial" w:cs="Arial" w:eastAsia="Arial" w:hAnsi="Arial"/>
                <w:sz w:val="15"/>
                <w:szCs w:val="15"/>
                <w:color w:val="auto"/>
              </w:rPr>
              <w:t>(8)</w:t>
            </w:r>
          </w:p>
        </w:tc>
        <w:tc>
          <w:tcPr>
            <w:tcW w:w="2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6,597,963</w:t>
            </w:r>
          </w:p>
        </w:tc>
        <w:tc>
          <w:tcPr>
            <w:tcW w:w="1940" w:type="dxa"/>
            <w:vAlign w:val="bottom"/>
            <w:gridSpan w:val="2"/>
            <w:shd w:val="clear" w:color="auto" w:fill="CCEEFF"/>
          </w:tcPr>
          <w:p>
            <w:pPr>
              <w:jc w:val="right"/>
              <w:ind w:right="583"/>
              <w:spacing w:after="0"/>
              <w:rPr>
                <w:sz w:val="20"/>
                <w:szCs w:val="20"/>
                <w:color w:val="auto"/>
              </w:rPr>
            </w:pPr>
            <w:r>
              <w:rPr>
                <w:rFonts w:ascii="Arial" w:cs="Arial" w:eastAsia="Arial" w:hAnsi="Arial"/>
                <w:sz w:val="18"/>
                <w:szCs w:val="18"/>
                <w:color w:val="auto"/>
              </w:rPr>
              <w:t>54,771</w:t>
            </w:r>
            <w:r>
              <w:rPr>
                <w:rFonts w:ascii="Arial" w:cs="Arial" w:eastAsia="Arial" w:hAnsi="Arial"/>
                <w:sz w:val="15"/>
                <w:szCs w:val="15"/>
                <w:color w:val="auto"/>
              </w:rPr>
              <w:t>(9)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Anthony L. Genito</w:t>
            </w:r>
          </w:p>
        </w:tc>
        <w:tc>
          <w:tcPr>
            <w:tcW w:w="2120" w:type="dxa"/>
            <w:vAlign w:val="bottom"/>
            <w:gridSpan w:val="2"/>
          </w:tcPr>
          <w:p>
            <w:pPr>
              <w:jc w:val="right"/>
              <w:ind w:right="843"/>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86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0" w:hanging="452"/>
        <w:spacing w:after="0" w:line="256"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8"/>
          <w:szCs w:val="18"/>
          <w:color w:val="auto"/>
        </w:rPr>
        <w:t>Represents 11,788 performance-based RSUs granted to Mr. Rouvé pursuant to the Company’s 2014 EIP, and 2,311 performance-based RSUs granted pursuant to the Spectrum 750 Plan. The RSUs granted to Mr. Rouvé under both the 2014 EIP and Spectrum 750 Plan vest as follows: 50% of the award vested on December 1, 2014, and the remaining 50% vested on December 1, 2015.</w:t>
      </w:r>
    </w:p>
    <w:p>
      <w:pPr>
        <w:ind w:left="460" w:right="160" w:hanging="452"/>
        <w:spacing w:after="0" w:line="250"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8"/>
          <w:szCs w:val="18"/>
          <w:color w:val="auto"/>
        </w:rPr>
        <w:t>Represents 32,572 performance-based RSUs granted to Mr. Rouvé pursuant to the Company’s 2015 EIP, and 1,958 performance-based RSUs granted pursuant to the Company’s 2014 EIP for reaching or exceeding the upper achievement thresholds for the performance goals. The RSUs granted to Mr. Rouvé under the 2015 EIP vest as follows: 50% of the award vested on December 1, 2015, and the remaining 50% (plus any over-achievement upside) will vest on December 1, 2016, subject to continued employment on that date. The RSUs granted to Mr. Rouvé under the 2014 EIP relating to the over-achievement upside vested on December 1, 2015.</w:t>
      </w:r>
    </w:p>
    <w:p>
      <w:pPr>
        <w:spacing w:after="0" w:line="2"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8"/>
          <w:szCs w:val="18"/>
          <w:color w:val="auto"/>
        </w:rPr>
        <w:t>Represents 16,055 performance-based RSUs granted to Mr. Martin pursuant to the Company’s 2015 EIP. The RSUs granted to Mr. Martin under the 2015 EIP vest as follows: 50% of the award vested on December 1, 2015, and the remaining 50% (plus any over-achievement upside) will vest on December 1, 2016, subject to continued employment on that date. The RSUs granted to Mr. Martin under the 2014 EIP relating to the over-achievement upside vested on December 1, 2015.</w:t>
      </w:r>
    </w:p>
    <w:p>
      <w:pPr>
        <w:spacing w:after="0" w:line="1" w:lineRule="exact"/>
        <w:rPr>
          <w:rFonts w:ascii="Arial" w:cs="Arial" w:eastAsia="Arial" w:hAnsi="Arial"/>
          <w:sz w:val="15"/>
          <w:szCs w:val="15"/>
          <w:color w:val="auto"/>
        </w:rPr>
      </w:pPr>
    </w:p>
    <w:p>
      <w:pPr>
        <w:ind w:left="460" w:right="100" w:hanging="452"/>
        <w:spacing w:after="0" w:line="250"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8"/>
          <w:szCs w:val="18"/>
          <w:color w:val="auto"/>
        </w:rPr>
        <w:t>Represents 9,210 performance-based RSUs granted to Mr. Fagre pursuant to the Company’s 2014 EIP, and 1,044 performance-based RSUs granted pursuant to the Spectrum 750 Plan. The RSUs granted to Mr. Fagre under both the 2014 EIP and Spectrum 750 Plan vest as follows: 50% of the award vested on December 1, 2014, and the remaining 50% vested on December 1, 2015.</w:t>
      </w:r>
    </w:p>
    <w:p>
      <w:pPr>
        <w:spacing w:after="0" w:line="1" w:lineRule="exact"/>
        <w:rPr>
          <w:rFonts w:ascii="Arial" w:cs="Arial" w:eastAsia="Arial" w:hAnsi="Arial"/>
          <w:sz w:val="15"/>
          <w:szCs w:val="15"/>
          <w:color w:val="auto"/>
        </w:rPr>
      </w:pPr>
    </w:p>
    <w:p>
      <w:pPr>
        <w:ind w:left="460" w:right="240" w:hanging="452"/>
        <w:spacing w:after="0" w:line="261"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8"/>
          <w:szCs w:val="18"/>
          <w:color w:val="auto"/>
        </w:rPr>
        <w:t>Represents 13,914 performance-based RSUs granted to Mr. Fagre pursuant to the Company’s 2015 EIP, and 1,530 performance-based RSUs granted pursuant to the Company’s 2014 EIP for reaching or exceeding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80"/>
        <w:spacing w:after="0" w:line="287" w:lineRule="auto"/>
        <w:rPr>
          <w:sz w:val="20"/>
          <w:szCs w:val="20"/>
          <w:color w:val="auto"/>
        </w:rPr>
      </w:pPr>
      <w:r>
        <w:rPr>
          <w:rFonts w:ascii="Arial" w:cs="Arial" w:eastAsia="Arial" w:hAnsi="Arial"/>
          <w:sz w:val="16"/>
          <w:szCs w:val="16"/>
          <w:color w:val="auto"/>
        </w:rPr>
        <w:t>upper achievement thresholds for the performance goals. The RSUs granted to Mr. Fagre under the 2015 EIP vest as follows: 50% of the award vested on December 1, 2015, and the remaining 50% (plus any over-achievement upside) will vest on December 1, 2016, subject to continued employment on that date. The RSUs granted to Mr. Fagre under the 2014 EIP relating to the over-achievement upside vested on December 1, 2015.</w:t>
      </w:r>
    </w:p>
    <w:p>
      <w:pPr>
        <w:spacing w:after="0" w:line="1" w:lineRule="exact"/>
        <w:rPr>
          <w:sz w:val="20"/>
          <w:szCs w:val="20"/>
          <w:color w:val="auto"/>
        </w:rPr>
      </w:pPr>
    </w:p>
    <w:p>
      <w:pPr>
        <w:ind w:left="460" w:right="200" w:hanging="452"/>
        <w:spacing w:after="0" w:line="251"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8"/>
          <w:szCs w:val="18"/>
          <w:color w:val="auto"/>
        </w:rPr>
        <w:t>Represents 2,834 performance-based RSUs granted to Ms. Neu pursuant to the Company’s 2014 EIP, and 690 performance-based RSUs granted pursuant to the Spectrum 750 Plan. The RSUs granted to Ms. Neu under both the 2014 EIP and Spectrum 750 Plan vest as follows: 50% of the award vested on December 1, 2014, and the remaining 50% vested on December 1, 2015.</w:t>
      </w:r>
    </w:p>
    <w:p>
      <w:pPr>
        <w:ind w:left="460" w:right="60" w:hanging="452"/>
        <w:spacing w:after="0" w:line="250"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8"/>
          <w:szCs w:val="18"/>
          <w:color w:val="auto"/>
        </w:rPr>
        <w:t>Represents 8,027 performance-based RSUs granted to Ms. Neu pursuant to the Company’s 2015 EIP, and 471 performance-based RSUs granted pursuant to the Company’s 2014 EIP for reaching or exceeding the upper achievement thresholds for the performance goals. The RSUs granted to Ms. Neu under the 2015 EIP vest as follows: 50% of the award vested on December 1, 2015, and the remaining 50% (plus any over-achievement upside) will vest on December 1, 2016, subject to continued employment on that date. The RSUs granted to Ms. Neu under the 2014 EIP relating to the over-achievement upside vested on December 1, 2015.</w:t>
      </w:r>
    </w:p>
    <w:p>
      <w:pPr>
        <w:spacing w:after="0" w:line="2" w:lineRule="exact"/>
        <w:rPr>
          <w:rFonts w:ascii="Arial" w:cs="Arial" w:eastAsia="Arial" w:hAnsi="Arial"/>
          <w:sz w:val="15"/>
          <w:szCs w:val="15"/>
          <w:color w:val="auto"/>
        </w:rPr>
      </w:pPr>
    </w:p>
    <w:p>
      <w:pPr>
        <w:ind w:left="460" w:right="20" w:hanging="452"/>
        <w:spacing w:after="0" w:line="250"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8"/>
          <w:szCs w:val="18"/>
          <w:color w:val="auto"/>
        </w:rPr>
        <w:t>Represents 38,963 performance-based RSUs granted to Mr. Lumley pursuant to the Company’s 2014 EIP, and 33,138 performance-based RSUs granted pursuant to the Spectrum 750 Plan. The RSUs granted to Mr. Lumley under both the 2014 EIP and Spectrum 750 Plan vest as follows: 50% of the award vested on December 1, 2014, and the remaining 50% vested on December 1, 2015.</w:t>
      </w:r>
    </w:p>
    <w:p>
      <w:pPr>
        <w:spacing w:after="0" w:line="1" w:lineRule="exact"/>
        <w:rPr>
          <w:rFonts w:ascii="Arial" w:cs="Arial" w:eastAsia="Arial" w:hAnsi="Arial"/>
          <w:sz w:val="15"/>
          <w:szCs w:val="15"/>
          <w:color w:val="auto"/>
        </w:rPr>
      </w:pPr>
    </w:p>
    <w:p>
      <w:pPr>
        <w:ind w:left="460" w:right="160" w:hanging="452"/>
        <w:spacing w:after="0" w:line="290" w:lineRule="auto"/>
        <w:tabs>
          <w:tab w:leader="none" w:pos="460" w:val="left"/>
        </w:tabs>
        <w:numPr>
          <w:ilvl w:val="0"/>
          <w:numId w:val="71"/>
        </w:numPr>
        <w:rPr>
          <w:rFonts w:ascii="Arial" w:cs="Arial" w:eastAsia="Arial" w:hAnsi="Arial"/>
          <w:sz w:val="14"/>
          <w:szCs w:val="14"/>
          <w:color w:val="auto"/>
        </w:rPr>
      </w:pPr>
      <w:r>
        <w:rPr>
          <w:rFonts w:ascii="Arial" w:cs="Arial" w:eastAsia="Arial" w:hAnsi="Arial"/>
          <w:sz w:val="17"/>
          <w:szCs w:val="17"/>
          <w:color w:val="auto"/>
        </w:rPr>
        <w:t>Represents 54,771 performance-based RSUs granted to Mr. Lumley pursuant to the Company’s 2015 EIP. The RSUs granted to Mr. Lumley under the 2015 EIP vest as follows: 50% of the award vested on December 1, 2015, and the remaining 50% will vest on December 1,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and footnotes provide information regarding stock vesting during Fiscal 2015 for the named executive officers. No options were outstanding during Fiscal 2015.</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Vesting Information for Fiscal Year 2015</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00" w:type="dxa"/>
            <w:vAlign w:val="bottom"/>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1020" w:type="dxa"/>
            <w:vAlign w:val="bottom"/>
            <w:gridSpan w:val="2"/>
          </w:tcPr>
          <w:p>
            <w:pPr>
              <w:jc w:val="center"/>
              <w:ind w:left="14"/>
              <w:spacing w:after="0" w:line="119" w:lineRule="exact"/>
              <w:rPr>
                <w:sz w:val="20"/>
                <w:szCs w:val="20"/>
                <w:color w:val="auto"/>
              </w:rPr>
            </w:pPr>
            <w:r>
              <w:rPr>
                <w:rFonts w:ascii="Arial" w:cs="Arial" w:eastAsia="Arial" w:hAnsi="Arial"/>
                <w:sz w:val="13"/>
                <w:szCs w:val="13"/>
                <w:b w:val="1"/>
                <w:bCs w:val="1"/>
                <w:color w:val="auto"/>
              </w:rPr>
              <w:t>Value Realized</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80" w:type="dxa"/>
            <w:vAlign w:val="bottom"/>
            <w:vMerge w:val="restart"/>
          </w:tcPr>
          <w:p>
            <w:pPr>
              <w:spacing w:after="0"/>
              <w:rPr>
                <w:sz w:val="12"/>
                <w:szCs w:val="12"/>
                <w:color w:val="auto"/>
              </w:rPr>
            </w:pPr>
          </w:p>
        </w:tc>
        <w:tc>
          <w:tcPr>
            <w:tcW w:w="4080" w:type="dxa"/>
            <w:vAlign w:val="bottom"/>
            <w:gridSpan w:val="3"/>
          </w:tcPr>
          <w:p>
            <w:pPr>
              <w:jc w:val="center"/>
              <w:ind w:left="1053"/>
              <w:spacing w:after="0" w:line="149" w:lineRule="exact"/>
              <w:rPr>
                <w:sz w:val="20"/>
                <w:szCs w:val="20"/>
                <w:color w:val="auto"/>
              </w:rPr>
            </w:pPr>
            <w:r>
              <w:rPr>
                <w:rFonts w:ascii="Arial" w:cs="Arial" w:eastAsia="Arial" w:hAnsi="Arial"/>
                <w:sz w:val="14"/>
                <w:szCs w:val="14"/>
                <w:b w:val="1"/>
                <w:bCs w:val="1"/>
                <w:color w:val="auto"/>
                <w:w w:val="92"/>
              </w:rPr>
              <w:t>Acquired on Vesting</w:t>
            </w:r>
          </w:p>
        </w:tc>
        <w:tc>
          <w:tcPr>
            <w:tcW w:w="100" w:type="dxa"/>
            <w:vAlign w:val="bottom"/>
          </w:tcPr>
          <w:p>
            <w:pPr>
              <w:spacing w:after="0"/>
              <w:rPr>
                <w:sz w:val="12"/>
                <w:szCs w:val="12"/>
                <w:color w:val="auto"/>
              </w:rPr>
            </w:pPr>
          </w:p>
        </w:tc>
        <w:tc>
          <w:tcPr>
            <w:tcW w:w="116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1"/>
              </w:rPr>
              <w:t>On Vesting</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2980" w:type="dxa"/>
            <w:vAlign w:val="bottom"/>
            <w:tcBorders>
              <w:bottom w:val="single" w:sz="8" w:color="CCEEFF"/>
            </w:tcBorders>
            <w:vMerge w:val="continue"/>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Andreas Rouvé</w:t>
            </w: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2,580,810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28,868</w:t>
            </w:r>
          </w:p>
        </w:tc>
        <w:tc>
          <w:tcPr>
            <w:tcW w:w="8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2,545,580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E. Fagre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8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1,875,209</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Stacey L. Neu</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8,864</w:t>
            </w:r>
          </w:p>
        </w:tc>
        <w:tc>
          <w:tcPr>
            <w:tcW w:w="8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811,780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Lumley</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140,993</w:t>
            </w:r>
          </w:p>
        </w:tc>
        <w:tc>
          <w:tcPr>
            <w:tcW w:w="8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12,863,641</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Anthony L. Genito</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98,108</w:t>
            </w:r>
          </w:p>
        </w:tc>
        <w:tc>
          <w:tcPr>
            <w:tcW w:w="8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9,153,584</w:t>
            </w:r>
            <w:r>
              <w:rPr>
                <w:rFonts w:ascii="Arial" w:cs="Arial" w:eastAsia="Arial" w:hAnsi="Arial"/>
                <w:sz w:val="15"/>
                <w:szCs w:val="15"/>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54" w:lineRule="auto"/>
        <w:tabs>
          <w:tab w:leader="none" w:pos="46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The amount for Mr. Rouvé in this column represents the value realized upon the vesting of 10,000 RSUs on November 25, 2014, 14,097 RSUs on December 1, 2014, and 4,117 RSUs on December 5, 2014. The value was computed by multiplying the number of shares vested by the closing price per share of the Company’s common stock on each such vesting date, which was $89.75 on November 25, 2014, $91.72 on December 1, 2014, and $94.81 on December 5, 2014.</w:t>
      </w:r>
    </w:p>
    <w:p>
      <w:pPr>
        <w:spacing w:after="0" w:line="2" w:lineRule="exact"/>
        <w:rPr>
          <w:rFonts w:ascii="Arial" w:cs="Arial" w:eastAsia="Arial" w:hAnsi="Arial"/>
          <w:sz w:val="15"/>
          <w:szCs w:val="15"/>
          <w:color w:val="auto"/>
        </w:rPr>
      </w:pPr>
    </w:p>
    <w:p>
      <w:pPr>
        <w:ind w:left="460" w:right="140" w:hanging="452"/>
        <w:spacing w:after="0" w:line="254" w:lineRule="auto"/>
        <w:tabs>
          <w:tab w:leader="none" w:pos="46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The amount for Mr. Martin in this column represents the value realized upon the vesting of 28,868 shares of time-based restricted stock on October 1, 2014. This restricted stock award was granted on September 1, 2014 in connection with Mr. Martin’s appointment as the Executive Vice President and Chief Financial Officer of the Company. The value was computed by multiplying the number of shares vested by the closing price per share of the Company’s common stock on the vesting date, which was $88.18 on October 1, 2014.</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hanging="452"/>
        <w:spacing w:after="0" w:line="254"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8"/>
          <w:szCs w:val="18"/>
          <w:color w:val="auto"/>
        </w:rPr>
        <w:t>The amount for Mr. Fagre in this column represents the value realized upon the vesting of 7,500 RSUs on November 25, 2014, 10,252 RSUs on December 1, 2014, and 2,761 RSUs on December 5, 2014. The value was computed by multiplying the number of shares vested by the closing price per share of the Company’s common stock on each such vesting date, which was $89.75 on November 25, 2014, $91.72 on December 1, 2014, and $94.81 on December 5, 2014.</w:t>
      </w:r>
    </w:p>
    <w:p>
      <w:pPr>
        <w:spacing w:after="0" w:line="2" w:lineRule="exact"/>
        <w:rPr>
          <w:rFonts w:ascii="Arial" w:cs="Arial" w:eastAsia="Arial" w:hAnsi="Arial"/>
          <w:sz w:val="15"/>
          <w:szCs w:val="15"/>
          <w:color w:val="auto"/>
        </w:rPr>
      </w:pPr>
    </w:p>
    <w:p>
      <w:pPr>
        <w:ind w:left="460" w:right="220" w:hanging="452"/>
        <w:spacing w:after="0" w:line="250"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8"/>
          <w:szCs w:val="18"/>
          <w:color w:val="auto"/>
        </w:rPr>
        <w:t>The amount for Ms. Neu in this column represents the value realized upon the vesting of 3,500 RSUs on November 25, 2014, 3,523 RSUs on December 1, 2014, and 1,841 RSUs on December 5, 2014. The value was computed by multiplying the number of shares vested by the closing price per share of the Company’s common stock on each such vesting date, which was $89.75 on November 25, 2014, $91.72 on December 1, 2014, and $94.81 on December 5, 2014.</w:t>
      </w:r>
    </w:p>
    <w:p>
      <w:pPr>
        <w:spacing w:after="0" w:line="1" w:lineRule="exact"/>
        <w:rPr>
          <w:rFonts w:ascii="Arial" w:cs="Arial" w:eastAsia="Arial" w:hAnsi="Arial"/>
          <w:sz w:val="15"/>
          <w:szCs w:val="15"/>
          <w:color w:val="auto"/>
        </w:rPr>
      </w:pPr>
    </w:p>
    <w:p>
      <w:pPr>
        <w:ind w:left="460" w:right="120" w:hanging="452"/>
        <w:spacing w:after="0" w:line="250"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8"/>
          <w:szCs w:val="18"/>
          <w:color w:val="auto"/>
        </w:rPr>
        <w:t>The amount for Mr. Lumley in this column represents the value realized upon the vesting of 55,556 RSUs on November 25, 2014, 72,101 RSUs on December 1, 2014, and 13,336 RSUs on December 5, 2014. The value was computed by multiplying the number of shares vested by the closing price per share of the Company’s common stock on each such vesting date, which was $89.75 on November 25, 2014, $91.72 on December 1, 2014, and $94.81 on December 5, 2014.</w:t>
      </w:r>
    </w:p>
    <w:p>
      <w:pPr>
        <w:spacing w:after="0" w:line="1" w:lineRule="exact"/>
        <w:rPr>
          <w:rFonts w:ascii="Arial" w:cs="Arial" w:eastAsia="Arial" w:hAnsi="Arial"/>
          <w:sz w:val="15"/>
          <w:szCs w:val="15"/>
          <w:color w:val="auto"/>
        </w:rPr>
      </w:pPr>
    </w:p>
    <w:p>
      <w:pPr>
        <w:ind w:left="460" w:right="20" w:hanging="452"/>
        <w:spacing w:after="0" w:line="270"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7"/>
          <w:szCs w:val="17"/>
          <w:color w:val="auto"/>
        </w:rPr>
        <w:t>The amount for Mr. Genito in this column represents the value realized upon the vesting of 27,778 RSUs on November 25, 2014, 28,689 RSUs on December 1, 2014, 5,890 RSUs on December 5, 2014, 28,691 RSUs on January 1, 2015, 5,491 RSUs on July 1, 2015, 755 RSUs on August 1, 2015, and 814 RSUs on September 1, 2015. The value was computed by multiplying the number of shares vested by the closing price per share of the Company’s common stock on each such vesting date (or, as applicable, the last trading date immediately prior to the vesting date if the vesting date fell on a date when the NYSE was closed), which was $89.75 on November 25, 2014, $91.72 on December 1, 2014, $94.81 on December 5, 2014, $95.68 on December 31, 2014, $103.34 on July 1, 2015, $105.95 on July 31, 2015, and $95.99 on September 1,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None of our named executive officers participated in any Company pension plans during or as of the end of Fiscal 2015. Mr. Rouvé is entitled to receive certain pension payments under a Pension Agreement between Mr. Rouvé and VARTA Geratebatterie GmbH dated May 17, 1989 as supplemented on July 1, 1999. The Company’s subsidiary, Rayovac Europe, has assumed the obligations of this agreement. For a description of this pension agreement and the payments to Mr. Rouvé thereunder, see “</w:t>
      </w:r>
      <w:r>
        <w:rPr>
          <w:rFonts w:ascii="Arial" w:cs="Arial" w:eastAsia="Arial" w:hAnsi="Arial"/>
          <w:sz w:val="16"/>
          <w:szCs w:val="16"/>
          <w:i w:val="1"/>
          <w:iCs w:val="1"/>
          <w:color w:val="auto"/>
        </w:rPr>
        <w:t>—Executive Specific Provisions—Andreas Rouvé</w:t>
      </w:r>
      <w:r>
        <w:rPr>
          <w:rFonts w:ascii="Arial" w:cs="Arial" w:eastAsia="Arial" w:hAnsi="Arial"/>
          <w:sz w:val="16"/>
          <w:szCs w:val="16"/>
          <w:color w:val="auto"/>
        </w:rPr>
        <w:t>” below, which description is incorporated by reference herein.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named executive officers participated in any Company non-qualified deferred compensation programs during or as of the end of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in Control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Awards under the Company’s Incentive Plans</w:t>
      </w:r>
    </w:p>
    <w:p>
      <w:pPr>
        <w:spacing w:after="0" w:line="11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i w:val="1"/>
          <w:iCs w:val="1"/>
          <w:color w:val="auto"/>
        </w:rPr>
        <w:t>Awards under the 2011 Plan</w:t>
      </w:r>
      <w:r>
        <w:rPr>
          <w:rFonts w:ascii="Arial" w:cs="Arial" w:eastAsia="Arial" w:hAnsi="Arial"/>
          <w:sz w:val="16"/>
          <w:szCs w:val="16"/>
          <w:color w:val="auto"/>
        </w:rPr>
        <w:t>. During Fiscal 2013, 2014, and 2015 each current named executive officer received RSU awards under the 2011 Plan</w:t>
      </w:r>
      <w:r>
        <w:rPr>
          <w:rFonts w:ascii="Arial" w:cs="Arial" w:eastAsia="Arial" w:hAnsi="Arial"/>
          <w:sz w:val="16"/>
          <w:szCs w:val="16"/>
          <w:i w:val="1"/>
          <w:iCs w:val="1"/>
          <w:color w:val="auto"/>
        </w:rPr>
        <w:t xml:space="preserve"> </w:t>
      </w:r>
      <w:r>
        <w:rPr>
          <w:rFonts w:ascii="Arial" w:cs="Arial" w:eastAsia="Arial" w:hAnsi="Arial"/>
          <w:sz w:val="16"/>
          <w:szCs w:val="16"/>
          <w:color w:val="auto"/>
        </w:rPr>
        <w:t>made pursuant to the Company’s incentive programs. Each of these is governed by the 2011 Plan and, as such, contain provisions triggered by a change in control of the Company. For purposes of these incentive plans, change in control generally means the occurrence of any of the following events:</w:t>
      </w:r>
    </w:p>
    <w:p>
      <w:pPr>
        <w:spacing w:after="0" w:line="52" w:lineRule="exact"/>
        <w:rPr>
          <w:sz w:val="20"/>
          <w:szCs w:val="20"/>
          <w:color w:val="auto"/>
        </w:rPr>
      </w:pPr>
    </w:p>
    <w:p>
      <w:pPr>
        <w:ind w:left="900" w:right="28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of beneficial ownership of more than 50% of the combined voting power of the Company’s then outstanding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individuals who constituted the Board of Directors at the effective time of the plan and directors who are nominated and elected as their successors from time to time cease for any reason to constitute at least a majority of the Board;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consummation of a merger or consolidation of the Company or any direct or indirect subsidiary of the Company with any other entity, other than</w:t>
      </w:r>
    </w:p>
    <w:p>
      <w:pPr>
        <w:spacing w:after="0" w:line="46" w:lineRule="exact"/>
        <w:rPr>
          <w:rFonts w:ascii="Arial" w:cs="Arial" w:eastAsia="Arial" w:hAnsi="Arial"/>
          <w:sz w:val="16"/>
          <w:szCs w:val="16"/>
          <w:color w:val="auto"/>
        </w:rPr>
      </w:pPr>
    </w:p>
    <w:p>
      <w:pPr>
        <w:ind w:left="900" w:right="80"/>
        <w:spacing w:after="0" w:line="268" w:lineRule="auto"/>
        <w:rPr>
          <w:rFonts w:ascii="Arial" w:cs="Arial" w:eastAsia="Arial" w:hAnsi="Arial"/>
          <w:sz w:val="16"/>
          <w:szCs w:val="16"/>
          <w:color w:val="auto"/>
        </w:rPr>
      </w:pPr>
      <w:r>
        <w:rPr>
          <w:rFonts w:ascii="Arial" w:cs="Arial" w:eastAsia="Arial" w:hAnsi="Arial"/>
          <w:sz w:val="17"/>
          <w:szCs w:val="17"/>
          <w:color w:val="auto"/>
        </w:rPr>
        <w:t>(A) a merger or consolidation which results in the voting securities of the Company outstanding immediately prior to such merger or consolidation continuing to represent (either by remaining outstanding or by being converted into voting securities of the surviving entity or any parent thereof) more than 50% of the combined voting power of the voting securities of the Company or such surviving entity or any parent thereof outstanding immediately after such merger or consolidation, (B) a merger or consolidation effected to implement a recapitalization of the Company (or similar transaction) in which no individual, entity or group is or becomes the beneficial owner, directly or indirectly, of voting securities of the Company (not including in the securities beneficially owned by such individual, entity or group any securities acquired directly from the Company or any of its direct or indirect subsidiaries) representing 50% or more of the combined voting power of the Company’s then outstanding voting securities or (C) a merger or consolidation affecting the Company as a result of which a Designated Holder owns after such transaction more than 50% of the combined voting power of the voting securities of the Company or such surviving entity or any parent thereof outstanding immediately after such merger or consolidation; or</w:t>
      </w:r>
    </w:p>
    <w:p>
      <w:pPr>
        <w:spacing w:after="0" w:line="85" w:lineRule="exact"/>
        <w:rPr>
          <w:rFonts w:ascii="Arial" w:cs="Arial" w:eastAsia="Arial" w:hAnsi="Arial"/>
          <w:sz w:val="16"/>
          <w:szCs w:val="16"/>
          <w:color w:val="auto"/>
        </w:rPr>
      </w:pPr>
    </w:p>
    <w:p>
      <w:pPr>
        <w:ind w:left="900" w:hanging="446"/>
        <w:spacing w:after="0" w:line="279"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approval by the stockholders of the Company of either a complete liquidation or dissolution of the Company or the sale or other disposition of all or substantially all of the assets of the Company, other than a sale or disposition by the Company of all or substantially all of the assets of the Company to an entity, more than 50% of the combined voting power of the voting securities of which are owned by stockholders of the Company in substantially the same proportions as their ownership of the Company immediately prior to such sale.</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Provided that, in each case, it shall not be a change in control if, immediately following the occurrence of the event described above (i) the record holders of the common stock of the Company immediately prior to the event continue to have substantially the same proportionate ownership in an entity which owns all or substantially all of the assets of the Company immediately following the event, or (ii) the Harbinger Master Fund, the Harbinger Special Situations Fund, HRG, and their respective affiliates and subsidiaries beneficially own, directly or indirectly, more than 50% of the combined voting power of the Company or any successor.</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In general, in the event a change in control occurs, the Board of Directors may, in its sole discretion, provide that, with respect to any particular outstanding awards:</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stock options and stock appreciation rights outstanding as of immediately prior to the change in control will become immediately exercisable;</w:t>
      </w:r>
    </w:p>
    <w:p>
      <w:pPr>
        <w:spacing w:after="0" w:line="153" w:lineRule="exact"/>
        <w:rPr>
          <w:rFonts w:ascii="Arial" w:cs="Arial" w:eastAsia="Arial" w:hAnsi="Arial"/>
          <w:sz w:val="16"/>
          <w:szCs w:val="16"/>
          <w:color w:val="auto"/>
        </w:rPr>
      </w:pPr>
    </w:p>
    <w:p>
      <w:pPr>
        <w:ind w:left="900" w:right="28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restricted period shall expire immediately prior to the change in control with respect to up to 100 percent of the then-outstanding shares of restricted stock or RSUs (including, without limitation, a waiver of any applicable performance goals);</w:t>
      </w:r>
    </w:p>
    <w:p>
      <w:pPr>
        <w:spacing w:after="0" w:line="75"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incomplete performance periods in effect on the date the change in control occurs shall end on that date, and the Compensation Committee may (i) determine the extent to which performance goals with respect to each such performance period have been met based on such audited or unaudited financial information or other information then available it deems relevant and (ii) cause the participant to receive partial or full payment of awards for each such performance period based upon the Compensation Committee’s determination of the degree of attainment of such performance goals, or assuming that the applicable “target” levels of performance have been attained or on such other basis determined by the Compensation Committee; and</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awards previously deferred shall be settled as soon as practicable.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Executive-Specific Provisions</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As discussed under the heading “</w:t>
      </w:r>
      <w:r>
        <w:rPr>
          <w:rFonts w:ascii="Arial" w:cs="Arial" w:eastAsia="Arial" w:hAnsi="Arial"/>
          <w:sz w:val="17"/>
          <w:szCs w:val="17"/>
          <w:i w:val="1"/>
          <w:iCs w:val="1"/>
          <w:color w:val="auto"/>
        </w:rPr>
        <w:t>Current Employment and Severance Agreements</w:t>
      </w:r>
      <w:r>
        <w:rPr>
          <w:rFonts w:ascii="Arial" w:cs="Arial" w:eastAsia="Arial" w:hAnsi="Arial"/>
          <w:sz w:val="17"/>
          <w:szCs w:val="17"/>
          <w:color w:val="auto"/>
        </w:rPr>
        <w:t>,” each of the continuing named executive officers are parties to continuing employment or other written agreements with the Company that govern various aspects of the employment relationship, including the rights and obligations of the parties upon termination of that employment relationship. Set forth below is a brief description of the provisions of those agreements with respect to a termination of employment and/or in the event of a change in control, as well as descriptions of certain transition and retention agreements entered into with named executive officers who have departed the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Andreas Rouvé</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Rouvé Employment Agreement contains the following provisions applicable upon the termination of Mr. Rouvé’s employment with the Company.</w:t>
      </w:r>
    </w:p>
    <w:p>
      <w:pPr>
        <w:spacing w:after="0" w:line="24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Termination with Cause or Voluntary Termination by the Executive (other than for Good Reason)</w:t>
      </w:r>
      <w:r>
        <w:rPr>
          <w:rFonts w:ascii="Arial" w:cs="Arial" w:eastAsia="Arial" w:hAnsi="Arial"/>
          <w:sz w:val="17"/>
          <w:szCs w:val="17"/>
          <w:color w:val="auto"/>
        </w:rPr>
        <w:t>. In the event that Mr. Rouvé is terminated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“cause” or terminates his employment voluntarily, other than for “good reason,” Mr. Rouvé’s salary and other benefits provided under his employment agreement cease at the time of such termination and Mr. Rouvé is entitled to no further compensation under his employment agreement. Notwithstanding this, Mr. Rouvé would be entitled to continue to participate in the Company’s medical benefit plans to the extent required by law. Further, upon any such termination of employment, the Company would pay to Mr. Rouvé accrued pay and benefits.</w:t>
      </w:r>
    </w:p>
    <w:p>
      <w:pPr>
        <w:spacing w:after="0" w:line="1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Termination without Cause, for Good Reason, Death, or Disability</w:t>
      </w:r>
      <w:r>
        <w:rPr>
          <w:rFonts w:ascii="Arial" w:cs="Arial" w:eastAsia="Arial" w:hAnsi="Arial"/>
          <w:sz w:val="16"/>
          <w:szCs w:val="16"/>
          <w:color w:val="auto"/>
        </w:rPr>
        <w:t>. If the employment of Mr. Rouvé with the Company is terminated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“cause,” by Mr. Rouvé for “good reason,” or is terminated due to Mr. Rouvé’s death or disability, Mr. Rouvé is entitled to receive certain post-termination benefits, detailed below, contingent upon execution of a separation agreement with a release of claims agreeable to the Company and Mr. Rouvé’s compliance with the non-competition and confidentiality restrictions set forth in his employment agreement. In such event the Company will:</w:t>
      </w:r>
    </w:p>
    <w:p>
      <w:pPr>
        <w:spacing w:after="0" w:line="60" w:lineRule="exact"/>
        <w:rPr>
          <w:sz w:val="20"/>
          <w:szCs w:val="20"/>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 Mr. Rouvé a cash payment equal to 1.5x his base salary, and a cash payment equal to 1x the target annual MIP bonus of 125% of Mr. Rouvé’s then current base salary, each payable ratably on a monthly basis over the 18-month period following termination;</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 Mr. Rouvé a pro rata portion, in cash, of the annual MIP bonus Mr. Rouvé would have earned for the fiscal year in which termination occurs if his employment had not ceased;</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medical insurance coverage and certain other employee benefits for Mr. Rouvé and his dependents for the 18-month period following termination;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 Mr. Rouvé his accrued vacation time pursuant to Company policy.</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Mr. Rouvé, “good reason” is defined, in general, subject to notification and cure rights as described above under the heading “</w:t>
      </w:r>
      <w:r>
        <w:rPr>
          <w:rFonts w:ascii="Arial" w:cs="Arial" w:eastAsia="Arial" w:hAnsi="Arial"/>
          <w:sz w:val="18"/>
          <w:szCs w:val="18"/>
          <w:i w:val="1"/>
          <w:iCs w:val="1"/>
          <w:color w:val="auto"/>
        </w:rPr>
        <w:t>Use of 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as the occurrence of any of the following events without Mr. Rouvé’s consent:</w:t>
      </w:r>
    </w:p>
    <w:p>
      <w:pPr>
        <w:spacing w:after="0" w:line="76"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reduction in Mr. Rouvé’s base salary or target MIP bonus opportunity then in effect;</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relocation of the Company’s office at which he is principally employed as of April 1, 2015 to a location more than 50 miles from such office, or the requirement by the Company that Mr. Rouvé be based at an office other than the Company’s office at such location on an extended basis, except for required business travel;</w:t>
      </w:r>
    </w:p>
    <w:p>
      <w:pPr>
        <w:spacing w:after="0" w:line="86" w:lineRule="exact"/>
        <w:rPr>
          <w:rFonts w:ascii="Arial" w:cs="Arial" w:eastAsia="Arial" w:hAnsi="Arial"/>
          <w:sz w:val="18"/>
          <w:szCs w:val="18"/>
          <w:color w:val="auto"/>
        </w:rPr>
      </w:pPr>
    </w:p>
    <w:p>
      <w:pPr>
        <w:ind w:left="5580" w:right="20" w:hanging="5126"/>
        <w:spacing w:after="0" w:line="449" w:lineRule="auto"/>
        <w:tabs>
          <w:tab w:leader="none" w:pos="89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substantial diminution or other substantive adverse change in the nature or scope of his responsibilities, authorities, powers, functions, or duties; 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breach by the Company of any of its material obligations under the Rouvé Employment Agreement; or</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failure of the Company to obtain the agreement for any successor to the Company to assume and agree to perform the Rouvé Employment Agreement.</w:t>
      </w:r>
    </w:p>
    <w:p>
      <w:pPr>
        <w:spacing w:after="0" w:line="170"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For Mr. Rouvé, “cause” is defined, in general, subject to notification and cure rights as described above in “</w:t>
      </w:r>
      <w:r>
        <w:rPr>
          <w:rFonts w:ascii="Arial" w:cs="Arial" w:eastAsia="Arial" w:hAnsi="Arial"/>
          <w:sz w:val="16"/>
          <w:szCs w:val="16"/>
          <w:i w:val="1"/>
          <w:iCs w:val="1"/>
          <w:color w:val="auto"/>
        </w:rPr>
        <w:t>Use of Employment Agreements</w:t>
      </w:r>
      <w:r>
        <w:rPr>
          <w:rFonts w:ascii="Arial" w:cs="Arial" w:eastAsia="Arial" w:hAnsi="Arial"/>
          <w:sz w:val="16"/>
          <w:szCs w:val="16"/>
          <w:color w:val="auto"/>
        </w:rPr>
        <w:t>,” as the occurrence of any of the following events: (i) the commission by Mr. Rouvé of any deliberate and premeditated act taken by Mr. Rouvé in bad faith against the interests of the Company that causes or is reasonably anticipated to cause material harm to the Company; (ii) Mr. Rouvé has been convicted of, or pleads nolo contendere with respect to any felony, or of any lesser crime or offense having as its predicate element fraud, dishonesty, or misappropriation of the property of the Company that causes or is reasonably anticipated to cause material harm to the Company; (iii) the habitual drug addiction or intoxication of Mr. Rouvé which negatively impacts his job performance or Mr. Rouvé’s failure of a company-required drug test; (iv) the willful failure or refusal of</w:t>
      </w:r>
    </w:p>
    <w:p>
      <w:pPr>
        <w:spacing w:after="0" w:line="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Mr. Rouvé to perform his duties as set forth in the employment agreement or the willful failure or refusal to follow the direction of the Board of Directors, provided such failure or refusal continues after 30 calendar days of the receipt of written notice from the Board of such failure or refusal; or (v) Mr. Rouvé materially breaches any of the terms of the Rouvé Employment Agreement.</w:t>
      </w:r>
    </w:p>
    <w:p>
      <w:pPr>
        <w:spacing w:after="0" w:line="1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above benefits will cease immediately upon the discovery by the Company of Mr. Rouvé’s breach of the non-compete and non-solicitation provisions or the secret processes and confidentiality provisions included in his employment agreement. The Rouvé Employment Agreement includes non-competition and non-solicitation provisions that extend for 18 months following Mr. Rouvé’s termination, and confidentiality provisions that extend for seven years following Mr. Rouvé’s termination.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subsidiary, Rayovac Europe, also assumed the obligations of the Pension Agreement between Mr. Rouvé and VARTA Geratebatterie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GmbH dated May 17, 1989 as supplemented on July 1, 1999 (the “Rouvé Pension Agreement”). Under the Rouvé Pension Agreement, pension payments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paid to Mr. Rouvé upon permanent disablement, reaching 65 years of life or earlier retirement at the requirement of the Company. Pension pay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$20,120 (€17,895) per year. In the case of resignation or termination the acquired pension benefit is nonlapsable. The pension plan is based on accruals during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employment period of Mr. Rouvé, for which Rayovac Europe makes all contributions to the accrual. As of September 30, 2015 the accrual for</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Rouvé’s pension plan equaled $243,259 (€216,361). Rayovac Europe’s allocation to the accrual amount for Fiscal 2015 was $40,601 (€36,112). Every three years after retirement the current pay will be increased according to the Employers’ Retirement Benefits Law (Betriebsrentengesetz). All amounts in this paragraph for Mr. Rouvé were denominated in Euros and converted to U.S. dollars at the rate of $1.12432 per Euro, which was the published rate from the OANDA Corporation currency database as of September 30, 2015.</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Douglas L. Martin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Martin Employment Agreement contains the following provisions applicable upon the termination of Mr. Martin’s employment with the Company or in the event of a change in control of the Company.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Termination with Cause or Voluntary Termination by the Executive (other than for Good Reason)</w:t>
      </w:r>
      <w:r>
        <w:rPr>
          <w:rFonts w:ascii="Arial" w:cs="Arial" w:eastAsia="Arial" w:hAnsi="Arial"/>
          <w:sz w:val="18"/>
          <w:szCs w:val="18"/>
          <w:color w:val="auto"/>
        </w:rPr>
        <w:t>. In the event that Mr. Martin is terminated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“cause” or terminates his employment voluntarily, other than for “good reason,” Mr. Martin’s salary and other benefits provided under his employment agreement cease at the time of such termination and Mr. Martin is entitled to no further compensation under his employment agreement. Notwithstanding this, Mr. Martin would be entitled to continue to participate in the Company’s medical benefit plans to the extent required by law. Further, upon any such termination of employment, the Company would pay to Mr. Martin accrued pay and benefits.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Termination without Cause, for Good Reason, Death, or Disability, or Upon a Change in Control</w:t>
      </w:r>
      <w:r>
        <w:rPr>
          <w:rFonts w:ascii="Arial" w:cs="Arial" w:eastAsia="Arial" w:hAnsi="Arial"/>
          <w:sz w:val="18"/>
          <w:szCs w:val="18"/>
          <w:color w:val="auto"/>
        </w:rPr>
        <w:t>. If the employment of Mr. Martin with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is terminated by the Company without “cause,” by Mr. Martin for “good reason,” is terminated due to Mr. Martin’s death or disability, or by Mr. Martin following a change in control (as defined in the 2011 Plan), Mr. Martin is entitled to receive certain post-termination benefits, detailed below, contingent upon execution of a separation agreement with a release of claims agreeable to the Company and Mr. Martin’s compliance with the non-competition and confidentiality restrictions set forth in his employment agreement. In such event the Company will:</w:t>
      </w:r>
    </w:p>
    <w:p>
      <w:pPr>
        <w:spacing w:after="0" w:line="94" w:lineRule="exact"/>
        <w:rPr>
          <w:sz w:val="20"/>
          <w:szCs w:val="20"/>
          <w:color w:val="auto"/>
        </w:rPr>
      </w:pPr>
    </w:p>
    <w:p>
      <w:pPr>
        <w:ind w:left="900" w:right="2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 Mr. Martin (i) 1.5 times his base salary in effect immediately prior to his termination, plus (ii) 1.0 times his target annual bonus award for the fiscal year in which such termination occurs, ratably over the 18-month period immediately following his termination;</w:t>
      </w:r>
    </w:p>
    <w:p>
      <w:pPr>
        <w:spacing w:after="0" w:line="75" w:lineRule="exact"/>
        <w:rPr>
          <w:rFonts w:ascii="Arial" w:cs="Arial" w:eastAsia="Arial" w:hAnsi="Arial"/>
          <w:sz w:val="18"/>
          <w:szCs w:val="18"/>
          <w:color w:val="auto"/>
        </w:rPr>
      </w:pPr>
    </w:p>
    <w:p>
      <w:pPr>
        <w:jc w:val="both"/>
        <w:ind w:left="900" w:right="340" w:hanging="446"/>
        <w:spacing w:after="0" w:line="286"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pay Mr. Martin the pro rata portion of the annual bonus (if any) he would have earned by him pursuant to any annual bonus or incentive plan maintained by the Company in respect of the fiscal year in which such termination occurs if his employment had not ceased, to be paid at the same time such bonus would have been paid to Mr. Martin for such fiscal year if his employment had not terminated; and</w:t>
      </w:r>
    </w:p>
    <w:p>
      <w:pPr>
        <w:spacing w:after="0" w:line="70" w:lineRule="exact"/>
        <w:rPr>
          <w:rFonts w:ascii="Arial" w:cs="Arial" w:eastAsia="Arial" w:hAnsi="Arial"/>
          <w:sz w:val="17"/>
          <w:szCs w:val="17"/>
          <w:color w:val="auto"/>
        </w:rPr>
      </w:pPr>
    </w:p>
    <w:p>
      <w:pPr>
        <w:jc w:val="both"/>
        <w:ind w:left="900" w:right="360" w:hanging="446"/>
        <w:spacing w:after="0" w:line="31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the 18-month period immediately following such termination, arrange to provide Mr. Martin and his dependents with insurance and other benefits on a basis substantially similar to those provided to Mr. Martin and his dependents by the Company immediately prior to the date of termination at no greater cost to Mr. Martin or the Company than the cost to Mr. Martin and the Company immediately prior to such date.</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Mr. Martin, “good reason” is defined, in general, subject to notification and cure rights as described above under the heading “</w:t>
      </w:r>
      <w:r>
        <w:rPr>
          <w:rFonts w:ascii="Arial" w:cs="Arial" w:eastAsia="Arial" w:hAnsi="Arial"/>
          <w:sz w:val="18"/>
          <w:szCs w:val="18"/>
          <w:i w:val="1"/>
          <w:iCs w:val="1"/>
          <w:color w:val="auto"/>
        </w:rPr>
        <w:t>Use of 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as, the occurrence of any of the following events without Mr. Martin’s consent:</w:t>
      </w:r>
    </w:p>
    <w:p>
      <w:pPr>
        <w:spacing w:after="0" w:line="76"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material reduction in Mr. Martin’s annual base salary;</w:t>
      </w:r>
    </w:p>
    <w:p>
      <w:pPr>
        <w:spacing w:after="0" w:line="130" w:lineRule="exact"/>
        <w:rPr>
          <w:rFonts w:ascii="Arial" w:cs="Arial" w:eastAsia="Arial" w:hAnsi="Arial"/>
          <w:sz w:val="18"/>
          <w:szCs w:val="18"/>
          <w:color w:val="auto"/>
        </w:rPr>
      </w:pPr>
    </w:p>
    <w:p>
      <w:pPr>
        <w:ind w:left="900" w:right="240" w:hanging="446"/>
        <w:spacing w:after="0" w:line="308"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required relocation of Mr. Martin’s place of principal employment to a location more than 50 miles from Mr. Martin’s current office, or the requirement by the Company that Mr. Martin be based at an office other than his current office on an extended basis;</w:t>
      </w:r>
    </w:p>
    <w:p>
      <w:pPr>
        <w:spacing w:after="0" w:line="51"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substantial diminution or other substantive adverse change in the nature or scope of Mr. Martin’s responsibilities, authorities, powers, functions, or duties;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breach by the Company of any of its other material obligations under the Martin Employment Agreement; or</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failure of the Company to obtain the agreement of any successor to the Company to assume and agree to perform the Martin Employment Agreement.</w:t>
      </w:r>
    </w:p>
    <w:p>
      <w:pPr>
        <w:spacing w:after="0" w:line="170"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color w:val="auto"/>
        </w:rPr>
        <w:t>For Mr. Martin, “cause” is defined, in general, subject to notification and cure rights as described above in “</w:t>
      </w:r>
      <w:r>
        <w:rPr>
          <w:rFonts w:ascii="Arial" w:cs="Arial" w:eastAsia="Arial" w:hAnsi="Arial"/>
          <w:sz w:val="16"/>
          <w:szCs w:val="16"/>
          <w:i w:val="1"/>
          <w:iCs w:val="1"/>
          <w:color w:val="auto"/>
        </w:rPr>
        <w:t>Use of Employment Agreements</w:t>
      </w:r>
      <w:r>
        <w:rPr>
          <w:rFonts w:ascii="Arial" w:cs="Arial" w:eastAsia="Arial" w:hAnsi="Arial"/>
          <w:sz w:val="16"/>
          <w:szCs w:val="16"/>
          <w:color w:val="auto"/>
        </w:rPr>
        <w:t>,” as the occurrence of any of the following events: (i) the commission by Mr. Martin of any deliberate and premeditated act taken by Mr. Martin in bad faith against the interests of the Company; (ii) Mr. Martin has been convicted of, or pleads nolo contendere with respect to any felony, or of any lesser crime or offense having as its predicate element fraud, dishonesty or misappropriation of the property of the Company; (iii) the habitual drug addiction or intoxication of Mr. Martin which negatively impacts his job performance or Mr. Martin’s failure of a company-required drug test; (iv) the willful failure or refusal of</w:t>
      </w:r>
    </w:p>
    <w:p>
      <w:pPr>
        <w:spacing w:after="0" w:line="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Mr. Martin to perform his duties as set forth in the employment agreement or the willful failure or refusal to follow the direction of the Chief Executive Officer or the Board of Directors; or (v) Mr. Martin materially breaches any of the terms of the Martin Employment Agreement.</w:t>
      </w:r>
    </w:p>
    <w:p>
      <w:pPr>
        <w:spacing w:after="0" w:line="18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above benefits will cease immediately upon the discovery by the Company of Mr. Martin’s breach of the non-compete and non-solicitation provisions or the secret processes and confidentiality provisions included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his employment agreement. The Martin Employment Agreement includes non-competition and non-solicitation provisions that extend for 18 months following Mr. Martin’s termination, and confidentiality provisions that extend for seven years following Mr. Martin’s termination.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Nathan E. Fagre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Fagre Severance Agreement contains the following provisions applicable upon the termination of Mr. Fagre’s employment with the Company or in the event of a change in control of the Company.</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Termination for Cause or Voluntary Termination by the Executive</w:t>
      </w:r>
      <w:r>
        <w:rPr>
          <w:rFonts w:ascii="Arial" w:cs="Arial" w:eastAsia="Arial" w:hAnsi="Arial"/>
          <w:sz w:val="18"/>
          <w:szCs w:val="18"/>
          <w:color w:val="auto"/>
        </w:rPr>
        <w:t>. In the event that Mr. Fagre is terminated for “cause” or terminates his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voluntarily, Mr. Fagre’s salary and other benefits provided under his severance agreement cease at the time of such termination and Mr. Fagre is entitled to no further compensation under his severance agreement. Notwithstanding this, Mr. Fagre would be entitled to continue to participate in the Company’s medical benefit plans to the extent required by law. Further, upon any such termination of employment, the Company would pay to Mr. Fagre accrued pay and benefits.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Termination without Cause or for Death or Disability</w:t>
      </w:r>
      <w:r>
        <w:rPr>
          <w:rFonts w:ascii="Arial" w:cs="Arial" w:eastAsia="Arial" w:hAnsi="Arial"/>
          <w:sz w:val="16"/>
          <w:szCs w:val="16"/>
          <w:color w:val="auto"/>
        </w:rPr>
        <w:t>. If the employment of Mr. Fagre with the Company is terminated by the Company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“cause” or due to Mr. Fagre’s death or disability, Mr. Fagre is entitled to receive certain post-termination benefits, detailed below, contingent upon execution of a separation agreement with a release of claims agreeable to the Company within 30 days following his termination date. In such event the Company will pay Mr. Fagre an amount in cash equal to the sum of Mr. Fagre’s (i) annual base salary in effect immediately prior to Mr. Fagre’s termination, and (ii) target annual bonus award for the fiscal year in which such termination occurs, to be paid ratably over the 12-month period immediately following his termination. In addition, for the 12-month period immediately following such termination, the Company will arrange to provide Mr. Fagre and his dependents with insurance and other benefits on a basis substantially similar to those provided to Mr. Fagre and his dependents prior to his termination. For Mr. Fagre, “cause” is defined, in general, subject to notification and cure rights as described above in “</w:t>
      </w:r>
      <w:r>
        <w:rPr>
          <w:rFonts w:ascii="Arial" w:cs="Arial" w:eastAsia="Arial" w:hAnsi="Arial"/>
          <w:sz w:val="16"/>
          <w:szCs w:val="16"/>
          <w:i w:val="1"/>
          <w:iCs w:val="1"/>
          <w:color w:val="auto"/>
        </w:rPr>
        <w:t>Use of Employment Agreements</w:t>
      </w:r>
      <w:r>
        <w:rPr>
          <w:rFonts w:ascii="Arial" w:cs="Arial" w:eastAsia="Arial" w:hAnsi="Arial"/>
          <w:sz w:val="16"/>
          <w:szCs w:val="16"/>
          <w:color w:val="auto"/>
        </w:rPr>
        <w:t>,” as the occurrence of any of the following events: (i) the commission by Mr. Fagre of any deliberate and premeditated act taken by Mr. Fagre in bad faith against the interests of the Company; (ii) Mr. Fagre has been convicted of, or pleads nolo contendere with respect to any felony or other crime, the elements of which are substantially related to the duties and responsibilities associated with Mr. Fagre’s employment; (iii) Mr. Fagre’s willful misconduct; (iv) the willful failure or refusal of Mr. Fagre to perform his duties as set forth herein or the willful failure or refusal to follow the direction of the Chief Executive Officer or the Board of Directors; or (v) Mr. Fagre materially breaches any of the terms of the Fagre Severance Agreement.</w:t>
      </w:r>
    </w:p>
    <w:p>
      <w:pPr>
        <w:spacing w:after="0" w:line="175"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above benefits will cease immediately upon the discovery by the Company of Mr. Fagre’s breach of the agreement not to compete and secret processes and confidentiality provisions included in the Fagre Severance Agreement. The Fagre Severance Agreement includes non-competition and non-solicitation provisions that extend for two years following Mr. Fagre’s termination and confidentiality provisions that extend for seven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Stacey L. Neu</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Neu Severance Agreement contains the following provisions applicable upon the termination of Ms. Neu’s employment with the Company.</w:t>
      </w:r>
    </w:p>
    <w:p>
      <w:pPr>
        <w:spacing w:after="0" w:line="23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Termination for Cause or Voluntary Termination by the Executive</w:t>
      </w:r>
      <w:r>
        <w:rPr>
          <w:rFonts w:ascii="Arial" w:cs="Arial" w:eastAsia="Arial" w:hAnsi="Arial"/>
          <w:sz w:val="16"/>
          <w:szCs w:val="16"/>
          <w:color w:val="auto"/>
        </w:rPr>
        <w:t>. In the event that Ms. Neu is terminated for “cause” or terminates her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voluntarily, Ms. Neu’s salary and other benefits provided under her severance agreement cease at the time of such termination and Ms. Neu is entitled to no further compensation under her severance agreement. Notwithstanding this, Ms. Neu would be entitled to continue to participate in the Company’s medical benefit plans to the extent required by law. Further, upon any such termination of employment, the Company would pay to Ms. Neu accrued pay and benefits.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Termination without Cause or for Death or Disability</w:t>
      </w:r>
      <w:r>
        <w:rPr>
          <w:rFonts w:ascii="Arial" w:cs="Arial" w:eastAsia="Arial" w:hAnsi="Arial"/>
          <w:sz w:val="16"/>
          <w:szCs w:val="16"/>
          <w:color w:val="auto"/>
        </w:rPr>
        <w:t>. If the employment of Ms. Neu with the Company is terminated by the Company without “cause”</w:t>
      </w:r>
      <w:r>
        <w:rPr>
          <w:rFonts w:ascii="Arial" w:cs="Arial" w:eastAsia="Arial" w:hAnsi="Arial"/>
          <w:sz w:val="16"/>
          <w:szCs w:val="16"/>
          <w:i w:val="1"/>
          <w:iCs w:val="1"/>
          <w:color w:val="auto"/>
        </w:rPr>
        <w:t xml:space="preserve"> </w:t>
      </w:r>
      <w:r>
        <w:rPr>
          <w:rFonts w:ascii="Arial" w:cs="Arial" w:eastAsia="Arial" w:hAnsi="Arial"/>
          <w:sz w:val="16"/>
          <w:szCs w:val="16"/>
          <w:color w:val="auto"/>
        </w:rPr>
        <w:t>or due to Ms. Neu’s death or disability, Ms. Neu is entitled to receive certain post-termination benefits, detailed below, contingent upon execution of a separation agreement with a release of claims agreeable to the Company. In such event the Company will pay Ms. Neu an amount in cash equal to the sum of Ms. Neu’s (i) annual base salary in effect at the time such termination occurs, which will be paid in equal semi-monthly installments for the period ending one year after the date of termination, and (ii) target annual MIP bonus award for the fiscal year in which such termination occurs, which will be paid in a single lump sum to Ms. Neu on or before December 31</w:t>
      </w:r>
      <w:r>
        <w:rPr>
          <w:rFonts w:ascii="Arial" w:cs="Arial" w:eastAsia="Arial" w:hAnsi="Arial"/>
          <w:sz w:val="13"/>
          <w:szCs w:val="13"/>
          <w:color w:val="auto"/>
        </w:rPr>
        <w:t>st</w:t>
      </w:r>
      <w:r>
        <w:rPr>
          <w:rFonts w:ascii="Arial" w:cs="Arial" w:eastAsia="Arial" w:hAnsi="Arial"/>
          <w:sz w:val="16"/>
          <w:szCs w:val="16"/>
          <w:color w:val="auto"/>
        </w:rPr>
        <w:t xml:space="preserve"> following the end of the fiscal year in which termination occurs. In addition, for the 12-month period immediately following such termination, the Company will arrange to provide Ms. Neu and her dependents with insurance benefits on a basis substantially similar to those provided to Ms. Neu and her dependents prior to her termination. For Ms. Neu, “cause” is defined, in general, subject to notification and cure rights as described above in “</w:t>
      </w:r>
      <w:r>
        <w:rPr>
          <w:rFonts w:ascii="Arial" w:cs="Arial" w:eastAsia="Arial" w:hAnsi="Arial"/>
          <w:sz w:val="16"/>
          <w:szCs w:val="16"/>
          <w:i w:val="1"/>
          <w:iCs w:val="1"/>
          <w:color w:val="auto"/>
        </w:rPr>
        <w:t>Use of Employment Agreements</w:t>
      </w:r>
      <w:r>
        <w:rPr>
          <w:rFonts w:ascii="Arial" w:cs="Arial" w:eastAsia="Arial" w:hAnsi="Arial"/>
          <w:sz w:val="16"/>
          <w:szCs w:val="16"/>
          <w:color w:val="auto"/>
        </w:rPr>
        <w:t>,” as the occurrence of any of the following events: (i) the commission by Ms. Neu of any fraud, embezzlement, or other material act of dishonesty with respect to the Company or any of its affiliates (including the unauthorized disclosure of confidential or proprietary information of the Company or any of its affiliates or subsidiaries); (ii) Ms. Neu has been convicted of, or pleads nolo contendere with respect to any felony or other crime, the elements of which are substantially related to the duties and responsibilities associated with Ms. Neu’s employment;</w:t>
      </w:r>
    </w:p>
    <w:p>
      <w:pPr>
        <w:spacing w:after="0" w:line="4" w:lineRule="exact"/>
        <w:rPr>
          <w:sz w:val="20"/>
          <w:szCs w:val="20"/>
          <w:color w:val="auto"/>
        </w:rPr>
      </w:pPr>
    </w:p>
    <w:p>
      <w:pPr>
        <w:ind w:right="100" w:firstLine="8"/>
        <w:spacing w:after="0" w:line="254" w:lineRule="auto"/>
        <w:tabs>
          <w:tab w:leader="none" w:pos="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Ms. Neu’s willful misconduct; (iv) the willful failure or refusal of Ms. Neu to perform her duties and responsibilities to the Company or any of its affiliates which failure or refusal to perform is not remedied within 30 days after receipt of written notice from the Company of such failure or refusal to perform; or (v) Ms. Neu breaches any of the terms of the Neu Severance Agreement and such breach is not cured within 30 days after receiving notice of the breach from the Company.</w:t>
      </w:r>
    </w:p>
    <w:p>
      <w:pPr>
        <w:spacing w:after="0" w:line="190"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The above benefits will cease immediately upon the discovery by the Company of Ms. Neu’s breach of the agreement not to compete and secret processes and confidentiality provisions included in the Neu Severance Agreement. The Neu Severance Agreement includes non-competition and non-solicitation provisions that extend for one year following Ms. Neu’s termination and confidentiality provisions that extend for two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Lumley Transition Agreement</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Effective January 8, 2015, the Company entered into a transition employment agreement (the “Lumley Transition Agreement”) with Mr. Lumley providing for his continued employment as the Chief Executive Officer of the Company through a mutually agreed upon transition period (the “Transition Period”) and the payment of certain amounts upon his departure from the Company. Effective April 1, 2015, Mr. Lumley resigned from his position as Chief Executive Officer of the Company in accordance with Mr. Rouvé’s appointment as the new Chief Executive Officer and President. Mr. Lumley continued to be employed with the Company through September 30, 2015, at which time he retired from the Company.</w:t>
      </w:r>
    </w:p>
    <w:p>
      <w:pPr>
        <w:spacing w:after="0" w:line="17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Lumley Transition Agreement provided that during the Transition Period, Mr. Lumley would continue to receive his base salary and employee benefits as set forth in his employment agreement with the Company dated as of August 11, 2010, as amended from time to time (the “Lumley Employment Agreement”). For Fiscal 2015, Mr. Lumley was entitled to participate in the annual cash bonus program and received an equity award consisting of restricted stock units equal to $5 million on the date of grant, provided that such award would vest and be payable only if the Company achieved adjusted EBITDA of at least $760 million for Fiscal 2015. The equity award, to the extent earned based on achievement of $760 million of adjusted EBITDA for Fiscal 2015, would vest 50% each year over the following two years. Mr. Lumley will not receive any grants or participate in the Company’s annual bonus plan or equity plan for Fiscal 2016 and will not participate in the Spectrum $2B Plan.</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At the end of the Transition Period, the Lumley Transition Agreement provides that, subject to Mr. Lumley’s execution of a separation agreement and release of claims, the Company will pay pursuant to a retention bonus for Mr. Lumley’s agreement to enter into the Lumley Transition Agreement, an amount in cash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equal to two times the sum of Mr. Lumley’s base salary and prior year’s annual target bonus, payable in installments over 24 months generally commencing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the six month anniversary of the end of the Transition Period. In addition, Mr. Lumley would be entitled to $25,000 on the first anniversary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termination date as well as the continuation of certain benefits for a period of 24 months following the termination date, plus an additional 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 Mr. Lumley is not entitled to any severance, whether pursuant to the Lumley Employment Agreement or the Lumley Transition Agreement.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Transition Period and for a period of two years thereafter, Mr. Lumley is subject to noncompete and nonsolicit covenants.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Genito Retention Agreement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April 29, 2014, SBI and Mr. Genito mutually agreed that, effective December 31, 2014 (or such other date that is agreed to), Mr. Genito’s employment would terminate and he would resign from any and all titles, positions, and appointments that he held with the Company. In connection with his resignation, the Company and Mr. Genito entered into the Genito Retention Agreement. Effective January 2, 2015, Mr. Genito resigned from his position as Executive Vice President and Chief Accounting Officer of the Company.</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terms of the Genito Retention Agreement, Mr. Genito would continue to remain employed by the Company through December 31, 2014 (unless earlier terminated) and was required to assist with the transition of the hiring of a new Chief Financial Officer (Mr. Martin was appointed the Company’s new Chief Financial Officer on September 1, 2014). Under the Genito Retention Agreement, Mr. Genito was entitled to receive the following payments and benefits: (i) $1,920,000, which was equal to two (2) times Mr. Genito’s annual base salary and target bonus, payable in monthly installments of $80,000 in the form of Company common stock over a period of twenty-four (24) months; (ii) an additional MIP payment for 2014 equal to the amount determined for Mr. Genito pursuant to the Company’s 2014 MIP based on the Company’s actual performance results for Fiscal 2014, which amount was paid at the same time as other payments are made to 2014 MIP participants, and in any case no later than December 31, 2014; (iii) payment for accrued but unused vacation days; (iv) for a period of twenty-four (24) months, a monthly payment equal to the monthly COBRA continuation coverage cost; (v) the Executive Life Insurance benefit for Mr. Genito and his eligible dependents for twenty-four (24) months at the level and of the type provided to active employees of the Company from time to time; (vi) entitlement to purchase his Company vehicle pursuant to Company policy; and (vii) the reimbursement of any unreimbursed business expenses. In addition, if Mr. Genito performed his duties and responsibilities in a satisfactory matter (including the smooth transition of his duties to a new Chief Financial Officer and the related preparation, filing, and certification of the Company’s annual filings for Fiscal 2014) as determined by the Chairman of the Compensation Committee, then Mr. Genito was entitled to receive a payment of $500,000 (payable in the form of Company common stock).</w:t>
      </w:r>
    </w:p>
    <w:p>
      <w:pPr>
        <w:spacing w:after="0" w:line="17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addition, Mr. Genito was eligible to earn and vest in restricted stock units under the Company’s 2014 equity award programs and the Spectrum 750 Plan, to the extent that the applicable performance criteria were met for Fiscal 2014.</w:t>
      </w:r>
    </w:p>
    <w:p>
      <w:pPr>
        <w:spacing w:after="0" w:line="17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Mr. Genito agreed to a customary release of potential claims against the Company and to customary post-employment restrictive covenants in favor of the Company, as well as being available to consult with the Company during the 24-month period after termination of his employment.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Tables of Amounts Payable Upon Termination or Change of Control</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tables set forth the amounts that would have been payable at September 30, 2015 to each of the named executive officers who are currently employed by the Company under the various scenarios for termination of employment or a change-in-control of the Company had such scenarios occurred on September 30, 2015.</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January 8, 2015, the Company and Mr. Lumley entered into the Lumley Transition Agreement providing for Mr. Lumley’s retirement as Chief Executive Officer and President and his continued employment with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Company through September 30, 2015 or such earlier date as determined by the Board of Directors (see “</w:t>
      </w:r>
      <w:r>
        <w:rPr>
          <w:rFonts w:ascii="Arial" w:cs="Arial" w:eastAsia="Arial" w:hAnsi="Arial"/>
          <w:sz w:val="18"/>
          <w:szCs w:val="18"/>
          <w:i w:val="1"/>
          <w:iCs w:val="1"/>
          <w:color w:val="auto"/>
        </w:rPr>
        <w:t>Lumley Transition Agreement</w:t>
      </w:r>
      <w:r>
        <w:rPr>
          <w:rFonts w:ascii="Arial" w:cs="Arial" w:eastAsia="Arial" w:hAnsi="Arial"/>
          <w:sz w:val="18"/>
          <w:szCs w:val="18"/>
          <w:color w:val="auto"/>
        </w:rPr>
        <w:t>” above). In connection with Mr. Rouvé’s appointment as Chief Executive Officer and President of the Company, effective April 1, 2015, Mr. Lumley resigned from his positions as Chief Executive Officer and President and retired from the Company effective September 30, 2015. The amounts to be paid to Mr. Lumley under the provisions of the Lumley Transition Agreement in connection with retirement from the Company are set forth below in “</w:t>
      </w:r>
      <w:r>
        <w:rPr>
          <w:rFonts w:ascii="Arial" w:cs="Arial" w:eastAsia="Arial" w:hAnsi="Arial"/>
          <w:sz w:val="18"/>
          <w:szCs w:val="18"/>
          <w:i w:val="1"/>
          <w:iCs w:val="1"/>
          <w:color w:val="auto"/>
        </w:rPr>
        <w:t>Payments to David R. Lumley</w:t>
      </w:r>
      <w:r>
        <w:rPr>
          <w:rFonts w:ascii="Arial" w:cs="Arial" w:eastAsia="Arial" w:hAnsi="Arial"/>
          <w:sz w:val="18"/>
          <w:szCs w:val="18"/>
          <w:color w:val="auto"/>
        </w:rPr>
        <w:t xml:space="preserve"> </w:t>
      </w:r>
      <w:r>
        <w:rPr>
          <w:rFonts w:ascii="Arial" w:cs="Arial" w:eastAsia="Arial" w:hAnsi="Arial"/>
          <w:sz w:val="18"/>
          <w:szCs w:val="18"/>
          <w:i w:val="1"/>
          <w:iCs w:val="1"/>
          <w:color w:val="auto"/>
        </w:rPr>
        <w:t>Upon Retirement</w:t>
      </w:r>
      <w:r>
        <w:rPr>
          <w:rFonts w:ascii="Arial" w:cs="Arial" w:eastAsia="Arial" w:hAnsi="Arial"/>
          <w:sz w:val="18"/>
          <w:szCs w:val="18"/>
          <w:color w:val="auto"/>
        </w:rPr>
        <w:t>.”</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on April 29, 2014, SBI and Mr. Genito mutually agreed that, effective December 31, 2014 (or such other date that is agreed to), Mr. Genito’s employment would terminate and he would resign from any and all titles, positions, and appointments that he held with the Company. In connection with his resignation, the Company and Mr. Genito entered into the Genito Retention Agreement (see “</w:t>
      </w:r>
      <w:r>
        <w:rPr>
          <w:rFonts w:ascii="Arial" w:cs="Arial" w:eastAsia="Arial" w:hAnsi="Arial"/>
          <w:sz w:val="18"/>
          <w:szCs w:val="18"/>
          <w:i w:val="1"/>
          <w:iCs w:val="1"/>
          <w:color w:val="auto"/>
        </w:rPr>
        <w:t>Genito Retention Agreement</w:t>
      </w:r>
      <w:r>
        <w:rPr>
          <w:rFonts w:ascii="Arial" w:cs="Arial" w:eastAsia="Arial" w:hAnsi="Arial"/>
          <w:sz w:val="18"/>
          <w:szCs w:val="18"/>
          <w:color w:val="auto"/>
        </w:rPr>
        <w:t>” above). Effective January 2, 2015, Mr. Genito resigned from his position as Executive Vice President and Chief Accounting Officer of the Company. The amounts to be paid to Mr. Genito under the provisions of the Genito Retention Agreement in connection with his termination of employment from the Company are set forth below in “</w:t>
      </w:r>
      <w:r>
        <w:rPr>
          <w:rFonts w:ascii="Arial" w:cs="Arial" w:eastAsia="Arial" w:hAnsi="Arial"/>
          <w:sz w:val="18"/>
          <w:szCs w:val="18"/>
          <w:i w:val="1"/>
          <w:iCs w:val="1"/>
          <w:color w:val="auto"/>
        </w:rPr>
        <w:t>Payments to Anthony L. Genito Upon Resignation</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Andreas Rouvé</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Termination Scenarios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(assumes termination 9/30/2015)</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 Good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right"/>
              <w:ind w:right="840"/>
              <w:spacing w:after="0" w:line="119" w:lineRule="exact"/>
              <w:rPr>
                <w:sz w:val="20"/>
                <w:szCs w:val="20"/>
                <w:color w:val="auto"/>
              </w:rPr>
            </w:pPr>
            <w:r>
              <w:rPr>
                <w:rFonts w:ascii="Arial" w:cs="Arial" w:eastAsia="Arial" w:hAnsi="Arial"/>
                <w:sz w:val="13"/>
                <w:szCs w:val="13"/>
                <w:b w:val="1"/>
                <w:bCs w:val="1"/>
                <w:color w:val="auto"/>
              </w:rPr>
              <w:t>With Good</w:t>
            </w:r>
          </w:p>
        </w:tc>
        <w:tc>
          <w:tcPr>
            <w:tcW w:w="100" w:type="dxa"/>
            <w:vAlign w:val="bottom"/>
          </w:tcPr>
          <w:p>
            <w:pPr>
              <w:spacing w:after="0"/>
              <w:rPr>
                <w:sz w:val="10"/>
                <w:szCs w:val="10"/>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8"/>
              </w:rPr>
              <w:t>Death or</w:t>
            </w:r>
          </w:p>
        </w:tc>
        <w:tc>
          <w:tcPr>
            <w:tcW w:w="26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in Control</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Reason or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3"/>
              </w:rPr>
              <w:t>Reason or</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For Cause</w:t>
            </w:r>
          </w:p>
        </w:tc>
        <w:tc>
          <w:tcPr>
            <w:tcW w:w="5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Without Cause</w:t>
            </w:r>
          </w:p>
        </w:tc>
        <w:tc>
          <w:tcPr>
            <w:tcW w:w="1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Disability</w:t>
            </w:r>
          </w:p>
        </w:tc>
        <w:tc>
          <w:tcPr>
            <w:tcW w:w="26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Termination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Severance</w:t>
            </w:r>
            <w:r>
              <w:rPr>
                <w:rFonts w:ascii="Arial" w:cs="Arial" w:eastAsia="Arial" w:hAnsi="Arial"/>
                <w:sz w:val="15"/>
                <w:szCs w:val="15"/>
                <w:color w:val="auto"/>
              </w:rPr>
              <w:t>(1)</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2,021,250</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2,021,250</w:t>
            </w:r>
          </w:p>
        </w:tc>
        <w:tc>
          <w:tcPr>
            <w:tcW w:w="4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2,021,250</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Annual Bonus</w:t>
            </w:r>
            <w:r>
              <w:rPr>
                <w:rFonts w:ascii="Arial" w:cs="Arial" w:eastAsia="Arial" w:hAnsi="Arial"/>
                <w:sz w:val="15"/>
                <w:szCs w:val="15"/>
                <w:color w:val="auto"/>
              </w:rPr>
              <w:t>(2)</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639,520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639,520</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639,520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Awards (Intrinsic Value)</w:t>
            </w:r>
            <w:r>
              <w:rPr>
                <w:rFonts w:ascii="Arial" w:cs="Arial" w:eastAsia="Arial" w:hAnsi="Arial"/>
                <w:sz w:val="15"/>
                <w:szCs w:val="15"/>
                <w:color w:val="auto"/>
              </w:rPr>
              <w:t>(3)</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Unvested Restricted Stock</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4,348,647</w:t>
            </w:r>
            <w:r>
              <w:rPr>
                <w:rFonts w:ascii="Arial" w:cs="Arial" w:eastAsia="Arial" w:hAnsi="Arial"/>
                <w:sz w:val="15"/>
                <w:szCs w:val="15"/>
                <w:color w:val="auto"/>
                <w:w w:val="99"/>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211,480</w:t>
            </w:r>
            <w:r>
              <w:rPr>
                <w:rFonts w:ascii="Arial" w:cs="Arial" w:eastAsia="Arial" w:hAnsi="Arial"/>
                <w:sz w:val="15"/>
                <w:szCs w:val="15"/>
                <w:color w:val="auto"/>
              </w:rPr>
              <w:t>(5)</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4,348,647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Health and Welfare</w:t>
            </w:r>
            <w:r>
              <w:rPr>
                <w:rFonts w:ascii="Arial" w:cs="Arial" w:eastAsia="Arial" w:hAnsi="Arial"/>
                <w:sz w:val="15"/>
                <w:szCs w:val="15"/>
                <w:color w:val="auto"/>
              </w:rPr>
              <w:t>(6)</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9,424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9,424</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Leased Vehicle</w:t>
            </w:r>
            <w:r>
              <w:rPr>
                <w:rFonts w:ascii="Arial" w:cs="Arial" w:eastAsia="Arial" w:hAnsi="Arial"/>
                <w:sz w:val="15"/>
                <w:szCs w:val="15"/>
                <w:color w:val="auto"/>
              </w:rPr>
              <w:t>(7)</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25,561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25,561</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25,561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Tax Gross-Up</w:t>
            </w:r>
            <w:r>
              <w:rPr>
                <w:rFonts w:ascii="Arial" w:cs="Arial" w:eastAsia="Arial" w:hAnsi="Arial"/>
                <w:sz w:val="15"/>
                <w:szCs w:val="15"/>
                <w:color w:val="auto"/>
              </w:rPr>
              <w:t>(8)</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7,044,402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2,907,234</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7,044,402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20" w:hanging="452"/>
        <w:spacing w:after="0" w:line="256"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Reflects cash severance payment, under the applicable termination scenarios, of 1.5x the sum of the executive’s current base salary and 1.0x the Fiscal 2015 target bonus. Payments are to be made in monthly installments over 18 months, subject to the requirements of Section 409A of the Internal Revenue Code.</w:t>
      </w:r>
    </w:p>
    <w:p>
      <w:pPr>
        <w:ind w:left="460" w:right="120" w:hanging="452"/>
        <w:spacing w:after="0" w:line="250"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Reflects annual MIP bonus earned based on Fiscal 2015 performance. Payment is subject to the requirements of Section 409A of the Internal Revenue Code.</w:t>
      </w:r>
    </w:p>
    <w:p>
      <w:pPr>
        <w:ind w:left="460" w:hanging="452"/>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Reflects equity value using a stock price of $91.51, which was the Company’s closing price on September 30, 2015.</w:t>
      </w:r>
    </w:p>
    <w:p>
      <w:pPr>
        <w:spacing w:after="0" w:line="9" w:lineRule="exact"/>
        <w:rPr>
          <w:rFonts w:ascii="Arial" w:cs="Arial" w:eastAsia="Arial" w:hAnsi="Arial"/>
          <w:sz w:val="15"/>
          <w:szCs w:val="15"/>
          <w:color w:val="auto"/>
        </w:rPr>
      </w:pPr>
    </w:p>
    <w:p>
      <w:pPr>
        <w:jc w:val="both"/>
        <w:ind w:left="460" w:hanging="452"/>
        <w:spacing w:after="0" w:line="250"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Upon a termination without cause or in connection with a change in control, or for resignation with good reason, 50% of the Fiscal 2014 EIP award (the unvested portion of the 2014 EIP award) and all RSUs earned under the Spectrum 750 award would vest immediately. Additionally, 96.6% of the Fiscal 2015 EIP award would be paid in full.</w:t>
      </w:r>
    </w:p>
    <w:p>
      <w:pPr>
        <w:spacing w:after="0" w:line="1" w:lineRule="exact"/>
        <w:rPr>
          <w:rFonts w:ascii="Arial" w:cs="Arial" w:eastAsia="Arial" w:hAnsi="Arial"/>
          <w:sz w:val="15"/>
          <w:szCs w:val="15"/>
          <w:color w:val="auto"/>
        </w:rPr>
      </w:pPr>
    </w:p>
    <w:p>
      <w:pPr>
        <w:ind w:left="460" w:right="340" w:hanging="452"/>
        <w:spacing w:after="0" w:line="250"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Upon a termination due to death or disability, all RSUs earned under the Spectrum 750 award would vest immediately. Any unvested portion of the Fiscal 2014 EIP award and the entire Fiscal 2015 EIP award would be forfeited and cancelled.</w:t>
      </w:r>
    </w:p>
    <w:p>
      <w:pPr>
        <w:ind w:left="460" w:hanging="452"/>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Reflects 18 months of insurance and other benefits continuation for the executive and any dependents.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Reflects 12 months of car allowance continuation.</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The Company does not provide any tax gross-up payments to cover excise taxes.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L. Martin</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Termination Scenarios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(assumes termination 9/30/2015)</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0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 Good</w:t>
            </w:r>
          </w:p>
        </w:tc>
        <w:tc>
          <w:tcPr>
            <w:tcW w:w="120" w:type="dxa"/>
            <w:vAlign w:val="bottom"/>
          </w:tcPr>
          <w:p>
            <w:pPr>
              <w:spacing w:after="0"/>
              <w:rPr>
                <w:sz w:val="10"/>
                <w:szCs w:val="10"/>
                <w:color w:val="auto"/>
              </w:rPr>
            </w:pPr>
          </w:p>
        </w:tc>
        <w:tc>
          <w:tcPr>
            <w:tcW w:w="11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With Good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Death or</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in Control</w:t>
            </w:r>
          </w:p>
        </w:tc>
        <w:tc>
          <w:tcPr>
            <w:tcW w:w="0" w:type="dxa"/>
            <w:vAlign w:val="bottom"/>
          </w:tcPr>
          <w:p>
            <w:pPr>
              <w:spacing w:after="0"/>
              <w:rPr>
                <w:sz w:val="1"/>
                <w:szCs w:val="1"/>
                <w:color w:val="auto"/>
              </w:rPr>
            </w:pPr>
          </w:p>
        </w:tc>
      </w:tr>
      <w:tr>
        <w:trPr>
          <w:trHeight w:val="149"/>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Reason or</w:t>
            </w: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Reason or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For Cause</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Without Cause</w:t>
            </w: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Disability</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Termination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Severance</w:t>
            </w:r>
            <w:r>
              <w:rPr>
                <w:rFonts w:ascii="Arial" w:cs="Arial" w:eastAsia="Arial" w:hAnsi="Arial"/>
                <w:sz w:val="15"/>
                <w:szCs w:val="15"/>
                <w:color w:val="auto"/>
              </w:rPr>
              <w:t>(1)</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1,320,000</w:t>
            </w:r>
          </w:p>
        </w:tc>
        <w:tc>
          <w:tcPr>
            <w:tcW w:w="3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1,320,000</w:t>
            </w:r>
          </w:p>
        </w:tc>
        <w:tc>
          <w:tcPr>
            <w:tcW w:w="30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1,320,000</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Annual Bonus</w:t>
            </w:r>
            <w:r>
              <w:rPr>
                <w:rFonts w:ascii="Arial" w:cs="Arial" w:eastAsia="Arial" w:hAnsi="Arial"/>
                <w:sz w:val="15"/>
                <w:szCs w:val="15"/>
                <w:color w:val="auto"/>
              </w:rPr>
              <w:t>(2)</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523,363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523,363</w:t>
            </w:r>
          </w:p>
        </w:tc>
        <w:tc>
          <w:tcPr>
            <w:tcW w:w="3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523,363</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Awards (Intrinsic Value)</w:t>
            </w:r>
            <w:r>
              <w:rPr>
                <w:rFonts w:ascii="Arial" w:cs="Arial" w:eastAsia="Arial" w:hAnsi="Arial"/>
                <w:sz w:val="15"/>
                <w:szCs w:val="15"/>
                <w:color w:val="auto"/>
              </w:rPr>
              <w:t>(3)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360"/>
              <w:spacing w:after="0"/>
              <w:rPr>
                <w:sz w:val="20"/>
                <w:szCs w:val="20"/>
                <w:color w:val="auto"/>
              </w:rPr>
            </w:pPr>
            <w:r>
              <w:rPr>
                <w:rFonts w:ascii="Arial" w:cs="Arial" w:eastAsia="Arial" w:hAnsi="Arial"/>
                <w:sz w:val="18"/>
                <w:szCs w:val="18"/>
                <w:color w:val="auto"/>
              </w:rPr>
              <w:t>Unvested Restricted Stock</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1,419,137</w:t>
            </w:r>
            <w:r>
              <w:rPr>
                <w:rFonts w:ascii="Arial" w:cs="Arial" w:eastAsia="Arial" w:hAnsi="Arial"/>
                <w:sz w:val="15"/>
                <w:szCs w:val="15"/>
                <w:color w:val="auto"/>
                <w:w w:val="99"/>
              </w:rPr>
              <w:t>(4)</w:t>
            </w: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1,419,137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360"/>
              <w:spacing w:after="0"/>
              <w:rPr>
                <w:sz w:val="20"/>
                <w:szCs w:val="20"/>
                <w:color w:val="auto"/>
              </w:rPr>
            </w:pPr>
            <w:r>
              <w:rPr>
                <w:rFonts w:ascii="Arial" w:cs="Arial" w:eastAsia="Arial" w:hAnsi="Arial"/>
                <w:sz w:val="18"/>
                <w:szCs w:val="18"/>
                <w:color w:val="auto"/>
              </w:rPr>
              <w:t>Health and Welfare</w:t>
            </w:r>
            <w:r>
              <w:rPr>
                <w:rFonts w:ascii="Arial" w:cs="Arial" w:eastAsia="Arial" w:hAnsi="Arial"/>
                <w:sz w:val="15"/>
                <w:szCs w:val="15"/>
                <w:color w:val="auto"/>
              </w:rPr>
              <w:t>(6)</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9,424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9,424</w:t>
            </w:r>
          </w:p>
        </w:tc>
        <w:tc>
          <w:tcPr>
            <w:tcW w:w="3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Gross-Up</w:t>
            </w:r>
            <w:r>
              <w:rPr>
                <w:rFonts w:ascii="Arial" w:cs="Arial" w:eastAsia="Arial" w:hAnsi="Arial"/>
                <w:sz w:val="15"/>
                <w:szCs w:val="15"/>
                <w:color w:val="auto"/>
              </w:rPr>
              <w:t>(7)</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3,271,924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1,852,787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3,271,924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line="291" w:lineRule="auto"/>
        <w:tabs>
          <w:tab w:leader="none" w:pos="460" w:val="left"/>
        </w:tabs>
        <w:numPr>
          <w:ilvl w:val="0"/>
          <w:numId w:val="84"/>
        </w:numPr>
        <w:rPr>
          <w:rFonts w:ascii="Arial" w:cs="Arial" w:eastAsia="Arial" w:hAnsi="Arial"/>
          <w:sz w:val="14"/>
          <w:szCs w:val="14"/>
          <w:color w:val="auto"/>
        </w:rPr>
      </w:pPr>
      <w:r>
        <w:rPr>
          <w:rFonts w:ascii="Arial" w:cs="Arial" w:eastAsia="Arial" w:hAnsi="Arial"/>
          <w:sz w:val="16"/>
          <w:szCs w:val="16"/>
          <w:color w:val="auto"/>
        </w:rPr>
        <w:t>Reflects cash severance payment, under the applicable termination scenarios, of 1.5x the executive’s current base salary, plus 1.0x the Fiscal 2015 target bonus. Payments are to be made in monthly installments over 18 months, subject to the requirements of Section 409A of the Internal Revenue Code.</w:t>
      </w:r>
    </w:p>
    <w:p>
      <w:pPr>
        <w:ind w:left="460" w:right="140" w:hanging="452"/>
        <w:spacing w:after="0" w:line="250"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8"/>
          <w:szCs w:val="18"/>
          <w:color w:val="auto"/>
        </w:rPr>
        <w:t>Reflects annual MIP bonus earned based on Fiscal 2015 performance. Payment is subject to the requirements of Section 409A of the Internal Revenue Code.</w:t>
      </w:r>
    </w:p>
    <w:p>
      <w:pPr>
        <w:ind w:left="460" w:hanging="452"/>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8"/>
          <w:szCs w:val="18"/>
          <w:color w:val="auto"/>
        </w:rPr>
        <w:t>Reflects equity value using a stock price of $91.51, which was the Company’s closing price on September 30, 2015.</w:t>
      </w:r>
    </w:p>
    <w:p>
      <w:pPr>
        <w:spacing w:after="0" w:line="9" w:lineRule="exact"/>
        <w:rPr>
          <w:rFonts w:ascii="Arial" w:cs="Arial" w:eastAsia="Arial" w:hAnsi="Arial"/>
          <w:sz w:val="15"/>
          <w:szCs w:val="15"/>
          <w:color w:val="auto"/>
        </w:rPr>
      </w:pPr>
    </w:p>
    <w:p>
      <w:pPr>
        <w:jc w:val="both"/>
        <w:ind w:left="460" w:right="20" w:hanging="452"/>
        <w:spacing w:after="0" w:line="250"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8"/>
          <w:szCs w:val="18"/>
          <w:color w:val="auto"/>
        </w:rPr>
        <w:t>Upon a termination without cause or in connection with a change in control, or for resignation with good reason, 50% of the Fiscal 2014 EIP award (the unvested portion of the 2014 EIP award) and all RSUs earned under the Spectrum 750 award would vest immediately. Additionally, 96.6% of the Fiscal 2015 EIP award would be payable.</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8"/>
          <w:szCs w:val="18"/>
          <w:color w:val="auto"/>
        </w:rPr>
        <w:t>Upon a termination due to death or disability, the entire Fiscal 2015 EIP award would be forfeited and cancelled.</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8"/>
          <w:szCs w:val="18"/>
          <w:color w:val="auto"/>
        </w:rPr>
        <w:t>Reflects 18 months of insurance and other benefits continuation for the executive and any dependents.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8"/>
          <w:szCs w:val="18"/>
          <w:color w:val="auto"/>
        </w:rPr>
        <w:t>The Company does not provide any tax gross-up payments to cover excise taxes.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Nathan E. Fagre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Termination Scenarios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(assumes termination 9/30/2015)</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68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Without Good</w:t>
            </w:r>
          </w:p>
        </w:tc>
        <w:tc>
          <w:tcPr>
            <w:tcW w:w="100" w:type="dxa"/>
            <w:vAlign w:val="bottom"/>
          </w:tcPr>
          <w:p>
            <w:pPr>
              <w:spacing w:after="0"/>
              <w:rPr>
                <w:sz w:val="10"/>
                <w:szCs w:val="10"/>
                <w:color w:val="auto"/>
              </w:rPr>
            </w:pPr>
          </w:p>
        </w:tc>
        <w:tc>
          <w:tcPr>
            <w:tcW w:w="134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With Good</w:t>
            </w:r>
          </w:p>
        </w:tc>
        <w:tc>
          <w:tcPr>
            <w:tcW w:w="340" w:type="dxa"/>
            <w:vAlign w:val="bottom"/>
          </w:tcPr>
          <w:p>
            <w:pPr>
              <w:spacing w:after="0"/>
              <w:rPr>
                <w:sz w:val="10"/>
                <w:szCs w:val="10"/>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Death or</w:t>
            </w:r>
          </w:p>
        </w:tc>
        <w:tc>
          <w:tcPr>
            <w:tcW w:w="34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in Control</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w:t>
            </w:r>
          </w:p>
        </w:tc>
        <w:tc>
          <w:tcPr>
            <w:tcW w:w="16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Reason or</w:t>
            </w:r>
          </w:p>
        </w:tc>
        <w:tc>
          <w:tcPr>
            <w:tcW w:w="100" w:type="dxa"/>
            <w:vAlign w:val="bottom"/>
          </w:tcPr>
          <w:p>
            <w:pPr>
              <w:spacing w:after="0"/>
              <w:rPr>
                <w:sz w:val="12"/>
                <w:szCs w:val="12"/>
                <w:color w:val="auto"/>
              </w:rPr>
            </w:pP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6"/>
              </w:rPr>
              <w:t>Reason or</w:t>
            </w:r>
          </w:p>
        </w:tc>
        <w:tc>
          <w:tcPr>
            <w:tcW w:w="3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6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For Cause</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Without Cause</w:t>
            </w:r>
          </w:p>
        </w:tc>
        <w:tc>
          <w:tcPr>
            <w:tcW w:w="34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Disability</w:t>
            </w:r>
          </w:p>
        </w:tc>
        <w:tc>
          <w:tcPr>
            <w:tcW w:w="34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Termination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Severance</w:t>
            </w:r>
            <w:r>
              <w:rPr>
                <w:rFonts w:ascii="Arial" w:cs="Arial" w:eastAsia="Arial" w:hAnsi="Arial"/>
                <w:sz w:val="15"/>
                <w:szCs w:val="15"/>
                <w:color w:val="auto"/>
              </w:rPr>
              <w:t>(1)</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600,000</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Equity Awards (Intrinsic Value)</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Unvested Restricted Stock</w:t>
            </w:r>
          </w:p>
        </w:tc>
        <w:tc>
          <w:tcPr>
            <w:tcW w:w="1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2,308,248</w:t>
            </w:r>
            <w:r>
              <w:rPr>
                <w:rFonts w:ascii="Arial" w:cs="Arial" w:eastAsia="Arial" w:hAnsi="Arial"/>
                <w:sz w:val="15"/>
                <w:szCs w:val="15"/>
                <w:color w:val="auto"/>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95,536</w:t>
            </w:r>
            <w:r>
              <w:rPr>
                <w:rFonts w:ascii="Arial" w:cs="Arial" w:eastAsia="Arial" w:hAnsi="Arial"/>
                <w:sz w:val="15"/>
                <w:szCs w:val="15"/>
                <w:color w:val="auto"/>
              </w:rPr>
              <w:t>(4)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2,308,248</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Other Benefits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Health and Welfare</w:t>
            </w:r>
            <w:r>
              <w:rPr>
                <w:rFonts w:ascii="Arial" w:cs="Arial" w:eastAsia="Arial" w:hAnsi="Arial"/>
                <w:sz w:val="15"/>
                <w:szCs w:val="15"/>
                <w:color w:val="auto"/>
              </w:rPr>
              <w:t>(5)</w:t>
            </w:r>
          </w:p>
        </w:tc>
        <w:tc>
          <w:tcPr>
            <w:tcW w:w="1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Tax Gross-Up</w:t>
            </w:r>
            <w:r>
              <w:rPr>
                <w:rFonts w:ascii="Arial" w:cs="Arial" w:eastAsia="Arial" w:hAnsi="Arial"/>
                <w:sz w:val="15"/>
                <w:szCs w:val="15"/>
                <w:color w:val="auto"/>
              </w:rPr>
              <w:t>(6)</w:t>
            </w:r>
          </w:p>
        </w:tc>
        <w:tc>
          <w:tcPr>
            <w:tcW w:w="16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2,914,531</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701,819</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2,914,531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256" w:lineRule="auto"/>
        <w:tabs>
          <w:tab w:leader="none" w:pos="460" w:val="left"/>
        </w:tabs>
        <w:numPr>
          <w:ilvl w:val="0"/>
          <w:numId w:val="85"/>
        </w:numPr>
        <w:rPr>
          <w:rFonts w:ascii="Arial" w:cs="Arial" w:eastAsia="Arial" w:hAnsi="Arial"/>
          <w:sz w:val="15"/>
          <w:szCs w:val="15"/>
          <w:color w:val="auto"/>
        </w:rPr>
      </w:pPr>
      <w:r>
        <w:rPr>
          <w:rFonts w:ascii="Arial" w:cs="Arial" w:eastAsia="Arial" w:hAnsi="Arial"/>
          <w:sz w:val="18"/>
          <w:szCs w:val="18"/>
          <w:color w:val="auto"/>
        </w:rPr>
        <w:t>Reflects cash severance payment, under the applicable termination scenarios, of 1.0x the sum of executive’s current base salary and 1.0x the Fiscal 2015 target bonus. Payments are to be made in semi-monthly installments over 12 months, subject to the requirements of Section 409A of the Internal Revenue Code.</w:t>
      </w:r>
    </w:p>
    <w:p>
      <w:pPr>
        <w:ind w:left="460" w:hanging="452"/>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8"/>
          <w:szCs w:val="18"/>
          <w:color w:val="auto"/>
        </w:rPr>
        <w:t>Reflects equity value using a stock price of $91.51, which was the Company’s closing price on September 30,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 w:hanging="452"/>
        <w:spacing w:after="0" w:line="256" w:lineRule="auto"/>
        <w:tabs>
          <w:tab w:leader="none" w:pos="460" w:val="left"/>
        </w:tabs>
        <w:numPr>
          <w:ilvl w:val="0"/>
          <w:numId w:val="86"/>
        </w:numPr>
        <w:rPr>
          <w:rFonts w:ascii="Arial" w:cs="Arial" w:eastAsia="Arial" w:hAnsi="Arial"/>
          <w:sz w:val="15"/>
          <w:szCs w:val="15"/>
          <w:color w:val="auto"/>
        </w:rPr>
      </w:pPr>
      <w:r>
        <w:rPr>
          <w:rFonts w:ascii="Arial" w:cs="Arial" w:eastAsia="Arial" w:hAnsi="Arial"/>
          <w:sz w:val="18"/>
          <w:szCs w:val="18"/>
          <w:color w:val="auto"/>
        </w:rPr>
        <w:t>Upon a termination without cause or in connection with a change in control, or for resignation with good reason, 50% of the Fiscal 2014 EIP award (the unvested portion of the 2014 EIP award) and all RSUs earned under the Spectrum 750 award would vest immediately. Additionally, 96.6% of the Fiscal 2015 EIP award would be payable.</w:t>
      </w:r>
    </w:p>
    <w:p>
      <w:pPr>
        <w:ind w:left="460" w:right="360" w:hanging="452"/>
        <w:spacing w:after="0" w:line="250" w:lineRule="auto"/>
        <w:tabs>
          <w:tab w:leader="none" w:pos="460" w:val="left"/>
        </w:tabs>
        <w:numPr>
          <w:ilvl w:val="0"/>
          <w:numId w:val="86"/>
        </w:numPr>
        <w:rPr>
          <w:rFonts w:ascii="Arial" w:cs="Arial" w:eastAsia="Arial" w:hAnsi="Arial"/>
          <w:sz w:val="15"/>
          <w:szCs w:val="15"/>
          <w:color w:val="auto"/>
        </w:rPr>
      </w:pPr>
      <w:r>
        <w:rPr>
          <w:rFonts w:ascii="Arial" w:cs="Arial" w:eastAsia="Arial" w:hAnsi="Arial"/>
          <w:sz w:val="18"/>
          <w:szCs w:val="18"/>
          <w:color w:val="auto"/>
        </w:rPr>
        <w:t>Upon a termination due to death or disability, all RSUs earned under the Spectrum 750 award would vest immediately. Any unvested portion of the Fiscal 2014 EIP award and the entire Fiscal 2015 EIP award would be forfeited and cancelled.</w:t>
      </w:r>
    </w:p>
    <w:p>
      <w:pPr>
        <w:ind w:left="460" w:hanging="452"/>
        <w:spacing w:after="0"/>
        <w:tabs>
          <w:tab w:leader="none" w:pos="460" w:val="left"/>
        </w:tabs>
        <w:numPr>
          <w:ilvl w:val="0"/>
          <w:numId w:val="86"/>
        </w:numPr>
        <w:rPr>
          <w:rFonts w:ascii="Arial" w:cs="Arial" w:eastAsia="Arial" w:hAnsi="Arial"/>
          <w:sz w:val="15"/>
          <w:szCs w:val="15"/>
          <w:color w:val="auto"/>
        </w:rPr>
      </w:pPr>
      <w:r>
        <w:rPr>
          <w:rFonts w:ascii="Arial" w:cs="Arial" w:eastAsia="Arial" w:hAnsi="Arial"/>
          <w:sz w:val="18"/>
          <w:szCs w:val="18"/>
          <w:color w:val="auto"/>
        </w:rPr>
        <w:t>Reflects 12 months of insurance and other benefits continuation for the executive and any dependents.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6"/>
        </w:numPr>
        <w:rPr>
          <w:rFonts w:ascii="Arial" w:cs="Arial" w:eastAsia="Arial" w:hAnsi="Arial"/>
          <w:sz w:val="15"/>
          <w:szCs w:val="15"/>
          <w:color w:val="auto"/>
        </w:rPr>
      </w:pPr>
      <w:r>
        <w:rPr>
          <w:rFonts w:ascii="Arial" w:cs="Arial" w:eastAsia="Arial" w:hAnsi="Arial"/>
          <w:sz w:val="18"/>
          <w:szCs w:val="18"/>
          <w:color w:val="auto"/>
        </w:rPr>
        <w:t>The Company does not provide any tax gross-up payments to cover excise taxes.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Stacey L. Neu</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Termination Scenarios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(assumes termination 9/30/2015)</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68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Without Good</w:t>
            </w:r>
          </w:p>
        </w:tc>
        <w:tc>
          <w:tcPr>
            <w:tcW w:w="100" w:type="dxa"/>
            <w:vAlign w:val="bottom"/>
          </w:tcPr>
          <w:p>
            <w:pPr>
              <w:spacing w:after="0"/>
              <w:rPr>
                <w:sz w:val="10"/>
                <w:szCs w:val="10"/>
                <w:color w:val="auto"/>
              </w:rPr>
            </w:pPr>
          </w:p>
        </w:tc>
        <w:tc>
          <w:tcPr>
            <w:tcW w:w="134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With Good</w:t>
            </w:r>
          </w:p>
        </w:tc>
        <w:tc>
          <w:tcPr>
            <w:tcW w:w="340" w:type="dxa"/>
            <w:vAlign w:val="bottom"/>
          </w:tcPr>
          <w:p>
            <w:pPr>
              <w:spacing w:after="0"/>
              <w:rPr>
                <w:sz w:val="10"/>
                <w:szCs w:val="10"/>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Death or</w:t>
            </w:r>
          </w:p>
        </w:tc>
        <w:tc>
          <w:tcPr>
            <w:tcW w:w="34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in Control</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w:t>
            </w:r>
          </w:p>
        </w:tc>
        <w:tc>
          <w:tcPr>
            <w:tcW w:w="16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Reason or</w:t>
            </w:r>
          </w:p>
        </w:tc>
        <w:tc>
          <w:tcPr>
            <w:tcW w:w="100" w:type="dxa"/>
            <w:vAlign w:val="bottom"/>
          </w:tcPr>
          <w:p>
            <w:pPr>
              <w:spacing w:after="0"/>
              <w:rPr>
                <w:sz w:val="12"/>
                <w:szCs w:val="12"/>
                <w:color w:val="auto"/>
              </w:rPr>
            </w:pP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6"/>
              </w:rPr>
              <w:t>Reason or</w:t>
            </w:r>
          </w:p>
        </w:tc>
        <w:tc>
          <w:tcPr>
            <w:tcW w:w="3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6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For Cause</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Without Cause</w:t>
            </w:r>
          </w:p>
        </w:tc>
        <w:tc>
          <w:tcPr>
            <w:tcW w:w="34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Disability</w:t>
            </w:r>
          </w:p>
        </w:tc>
        <w:tc>
          <w:tcPr>
            <w:tcW w:w="34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Termination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Severance</w:t>
            </w:r>
            <w:r>
              <w:rPr>
                <w:rFonts w:ascii="Arial" w:cs="Arial" w:eastAsia="Arial" w:hAnsi="Arial"/>
                <w:sz w:val="15"/>
                <w:szCs w:val="15"/>
                <w:color w:val="auto"/>
              </w:rPr>
              <w:t>(1)</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400,000</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Equity Awards (Intrinsic Value)</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Unvested Restricted Stock</w:t>
            </w:r>
          </w:p>
        </w:tc>
        <w:tc>
          <w:tcPr>
            <w:tcW w:w="1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1,075,151</w:t>
            </w:r>
            <w:r>
              <w:rPr>
                <w:rFonts w:ascii="Arial" w:cs="Arial" w:eastAsia="Arial" w:hAnsi="Arial"/>
                <w:sz w:val="15"/>
                <w:szCs w:val="15"/>
                <w:color w:val="auto"/>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63,142</w:t>
            </w:r>
            <w:r>
              <w:rPr>
                <w:rFonts w:ascii="Arial" w:cs="Arial" w:eastAsia="Arial" w:hAnsi="Arial"/>
                <w:sz w:val="15"/>
                <w:szCs w:val="15"/>
                <w:color w:val="auto"/>
              </w:rPr>
              <w:t>(4)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1,075,151</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Other Benefits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Health and Welfare</w:t>
            </w:r>
            <w:r>
              <w:rPr>
                <w:rFonts w:ascii="Arial" w:cs="Arial" w:eastAsia="Arial" w:hAnsi="Arial"/>
                <w:sz w:val="15"/>
                <w:szCs w:val="15"/>
                <w:color w:val="auto"/>
              </w:rPr>
              <w:t>(5)</w:t>
            </w:r>
          </w:p>
        </w:tc>
        <w:tc>
          <w:tcPr>
            <w:tcW w:w="1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Tax Gross-Up</w:t>
            </w:r>
            <w:r>
              <w:rPr>
                <w:rFonts w:ascii="Arial" w:cs="Arial" w:eastAsia="Arial" w:hAnsi="Arial"/>
                <w:sz w:val="15"/>
                <w:szCs w:val="15"/>
                <w:color w:val="auto"/>
              </w:rPr>
              <w:t>(6)</w:t>
            </w:r>
          </w:p>
        </w:tc>
        <w:tc>
          <w:tcPr>
            <w:tcW w:w="16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1,481,433</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469,424</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1,481,433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4"/>
          <w:szCs w:val="14"/>
          <w:color w:val="auto"/>
        </w:rPr>
      </w:pPr>
      <w:r>
        <w:rPr>
          <w:rFonts w:ascii="Arial" w:cs="Arial" w:eastAsia="Arial" w:hAnsi="Arial"/>
          <w:sz w:val="16"/>
          <w:szCs w:val="16"/>
          <w:color w:val="auto"/>
        </w:rPr>
        <w:t>Reflects cash severance payment, under the applicable termination scenarios, of 1.0x the sum of executive’s current base salary and 1.0x the Fiscal</w:t>
      </w:r>
    </w:p>
    <w:p>
      <w:pPr>
        <w:spacing w:after="0" w:line="46" w:lineRule="exact"/>
        <w:rPr>
          <w:rFonts w:ascii="Arial" w:cs="Arial" w:eastAsia="Arial" w:hAnsi="Arial"/>
          <w:sz w:val="14"/>
          <w:szCs w:val="14"/>
          <w:color w:val="auto"/>
        </w:rPr>
      </w:pPr>
    </w:p>
    <w:p>
      <w:pPr>
        <w:ind w:left="460" w:right="160"/>
        <w:spacing w:after="0" w:line="250" w:lineRule="auto"/>
        <w:rPr>
          <w:rFonts w:ascii="Arial" w:cs="Arial" w:eastAsia="Arial" w:hAnsi="Arial"/>
          <w:sz w:val="14"/>
          <w:szCs w:val="14"/>
          <w:color w:val="auto"/>
        </w:rPr>
      </w:pPr>
      <w:r>
        <w:rPr>
          <w:rFonts w:ascii="Arial" w:cs="Arial" w:eastAsia="Arial" w:hAnsi="Arial"/>
          <w:sz w:val="18"/>
          <w:szCs w:val="18"/>
          <w:color w:val="auto"/>
        </w:rPr>
        <w:t>2015 target bonus. Payments are to be made in semi-monthly installments over 12 months, subject to the requirements of Section 409A of the Internal Revenue Code.</w:t>
      </w:r>
    </w:p>
    <w:p>
      <w:pPr>
        <w:ind w:left="460" w:hanging="452"/>
        <w:spacing w:after="0"/>
        <w:tabs>
          <w:tab w:leader="none" w:pos="460" w:val="left"/>
        </w:tabs>
        <w:numPr>
          <w:ilvl w:val="0"/>
          <w:numId w:val="87"/>
        </w:numPr>
        <w:rPr>
          <w:rFonts w:ascii="Arial" w:cs="Arial" w:eastAsia="Arial" w:hAnsi="Arial"/>
          <w:sz w:val="15"/>
          <w:szCs w:val="15"/>
          <w:color w:val="auto"/>
        </w:rPr>
      </w:pPr>
      <w:r>
        <w:rPr>
          <w:rFonts w:ascii="Arial" w:cs="Arial" w:eastAsia="Arial" w:hAnsi="Arial"/>
          <w:sz w:val="18"/>
          <w:szCs w:val="18"/>
          <w:color w:val="auto"/>
        </w:rPr>
        <w:t>Reflects equity value using a stock price of $91.51, which was the Company’s closing price on September 30, 2015.</w:t>
      </w:r>
    </w:p>
    <w:p>
      <w:pPr>
        <w:spacing w:after="0" w:line="9" w:lineRule="exact"/>
        <w:rPr>
          <w:rFonts w:ascii="Arial" w:cs="Arial" w:eastAsia="Arial" w:hAnsi="Arial"/>
          <w:sz w:val="15"/>
          <w:szCs w:val="15"/>
          <w:color w:val="auto"/>
        </w:rPr>
      </w:pPr>
    </w:p>
    <w:p>
      <w:pPr>
        <w:jc w:val="both"/>
        <w:ind w:left="460" w:right="20" w:hanging="452"/>
        <w:spacing w:after="0" w:line="250"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8"/>
          <w:szCs w:val="18"/>
          <w:color w:val="auto"/>
        </w:rPr>
        <w:t>Upon a termination without cause or in connection with a change in control, or for resignation with good reason, 50% of the Fiscal 2014 EIP award (the unvested portion of the 2014 EIP award) and all RSUs earned under the Spectrum 750 award would vest immediately. Additionally, 96.6% of the Fiscal 2015 EIP award would be payable.</w:t>
      </w:r>
    </w:p>
    <w:p>
      <w:pPr>
        <w:spacing w:after="0" w:line="1" w:lineRule="exact"/>
        <w:rPr>
          <w:rFonts w:ascii="Arial" w:cs="Arial" w:eastAsia="Arial" w:hAnsi="Arial"/>
          <w:sz w:val="15"/>
          <w:szCs w:val="15"/>
          <w:color w:val="auto"/>
        </w:rPr>
      </w:pPr>
    </w:p>
    <w:p>
      <w:pPr>
        <w:ind w:left="460" w:right="360" w:hanging="452"/>
        <w:spacing w:after="0" w:line="250"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8"/>
          <w:szCs w:val="18"/>
          <w:color w:val="auto"/>
        </w:rPr>
        <w:t>Upon a termination due to death or disability, all RSUs earned under the Spectrum 750 award would vest immediately. Any unvested portion of the Fiscal 2014 EIP award and the entire Fiscal 2015 EIP award would be forfeited and cancelled.</w:t>
      </w:r>
    </w:p>
    <w:p>
      <w:pPr>
        <w:ind w:left="460" w:hanging="452"/>
        <w:spacing w:after="0"/>
        <w:tabs>
          <w:tab w:leader="none" w:pos="460" w:val="left"/>
        </w:tabs>
        <w:numPr>
          <w:ilvl w:val="0"/>
          <w:numId w:val="87"/>
        </w:numPr>
        <w:rPr>
          <w:rFonts w:ascii="Arial" w:cs="Arial" w:eastAsia="Arial" w:hAnsi="Arial"/>
          <w:sz w:val="15"/>
          <w:szCs w:val="15"/>
          <w:color w:val="auto"/>
        </w:rPr>
      </w:pPr>
      <w:r>
        <w:rPr>
          <w:rFonts w:ascii="Arial" w:cs="Arial" w:eastAsia="Arial" w:hAnsi="Arial"/>
          <w:sz w:val="18"/>
          <w:szCs w:val="18"/>
          <w:color w:val="auto"/>
        </w:rPr>
        <w:t>Reflects 12 months of insurance and other benefits continuation for the executive and any dependents.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7"/>
        </w:numPr>
        <w:rPr>
          <w:rFonts w:ascii="Arial" w:cs="Arial" w:eastAsia="Arial" w:hAnsi="Arial"/>
          <w:sz w:val="15"/>
          <w:szCs w:val="15"/>
          <w:color w:val="auto"/>
        </w:rPr>
      </w:pPr>
      <w:r>
        <w:rPr>
          <w:rFonts w:ascii="Arial" w:cs="Arial" w:eastAsia="Arial" w:hAnsi="Arial"/>
          <w:sz w:val="18"/>
          <w:szCs w:val="18"/>
          <w:color w:val="auto"/>
        </w:rPr>
        <w:t>The Company does not provide any tax gross-up payments to cover excise taxes.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to David R. Lumley Upon Retirement</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discussed above, David R. Lumley resigned as the Company’s Chief Executive Officer and President effective April 1, 2015 and retired from the Company effective September 30, 2015 pursuant to the terms of the Lumley Transition Agreement. Therefore, pursuant to Regulation S-K Item 402(j), Instruction 4, the following table illustrates the actual payments made to Mr. Lumley or amounts accrued under the provisions of the Lumley Transition Agreement in connection with his retirement from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4"/>
          </w:tcPr>
          <w:p>
            <w:pPr>
              <w:jc w:val="center"/>
              <w:ind w:right="363"/>
              <w:spacing w:after="0"/>
              <w:rPr>
                <w:sz w:val="20"/>
                <w:szCs w:val="20"/>
                <w:color w:val="auto"/>
              </w:rPr>
            </w:pPr>
            <w:r>
              <w:rPr>
                <w:rFonts w:ascii="Arial" w:cs="Arial" w:eastAsia="Arial" w:hAnsi="Arial"/>
                <w:sz w:val="14"/>
                <w:szCs w:val="14"/>
                <w:b w:val="1"/>
                <w:bCs w:val="1"/>
                <w:color w:val="auto"/>
                <w:w w:val="94"/>
              </w:rPr>
              <w:t>Equity Awards (Intrinsic</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4"/>
          </w:tcPr>
          <w:p>
            <w:pPr>
              <w:jc w:val="center"/>
              <w:ind w:right="38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(4)</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Cash Retention</w:t>
            </w:r>
          </w:p>
        </w:tc>
        <w:tc>
          <w:tcPr>
            <w:tcW w:w="3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Retention</w:t>
            </w:r>
          </w:p>
        </w:tc>
        <w:tc>
          <w:tcPr>
            <w:tcW w:w="300" w:type="dxa"/>
            <w:vAlign w:val="bottom"/>
          </w:tcPr>
          <w:p>
            <w:pPr>
              <w:spacing w:after="0"/>
              <w:rPr>
                <w:sz w:val="10"/>
                <w:szCs w:val="10"/>
                <w:color w:val="auto"/>
              </w:rPr>
            </w:pPr>
          </w:p>
        </w:tc>
        <w:tc>
          <w:tcPr>
            <w:tcW w:w="11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Annual</w:t>
            </w:r>
          </w:p>
        </w:tc>
        <w:tc>
          <w:tcPr>
            <w:tcW w:w="1280" w:type="dxa"/>
            <w:vAlign w:val="bottom"/>
            <w:tcBorders>
              <w:top w:val="single" w:sz="8" w:color="auto"/>
            </w:tcBorders>
            <w:gridSpan w:val="2"/>
            <w:vMerge w:val="restart"/>
          </w:tcPr>
          <w:p>
            <w:pPr>
              <w:jc w:val="center"/>
              <w:ind w:right="363"/>
              <w:spacing w:after="0"/>
              <w:rPr>
                <w:sz w:val="20"/>
                <w:szCs w:val="20"/>
                <w:color w:val="auto"/>
              </w:rPr>
            </w:pPr>
            <w:r>
              <w:rPr>
                <w:rFonts w:ascii="Arial" w:cs="Arial" w:eastAsia="Arial" w:hAnsi="Arial"/>
                <w:sz w:val="14"/>
                <w:szCs w:val="14"/>
                <w:b w:val="1"/>
                <w:bCs w:val="1"/>
                <w:color w:val="auto"/>
                <w:w w:val="97"/>
              </w:rPr>
              <w:t>2014 EIP</w:t>
            </w:r>
          </w:p>
        </w:tc>
        <w:tc>
          <w:tcPr>
            <w:tcW w:w="84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Spectrum</w:t>
            </w:r>
          </w:p>
        </w:tc>
        <w:tc>
          <w:tcPr>
            <w:tcW w:w="44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Healthcare</w:t>
            </w:r>
          </w:p>
        </w:tc>
        <w:tc>
          <w:tcPr>
            <w:tcW w:w="16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Vehicles</w:t>
            </w:r>
            <w:r>
              <w:rPr>
                <w:rFonts w:ascii="Arial" w:cs="Arial" w:eastAsia="Arial" w:hAnsi="Arial"/>
                <w:sz w:val="12"/>
                <w:szCs w:val="12"/>
                <w:b w:val="1"/>
                <w:bCs w:val="1"/>
                <w:color w:val="auto"/>
              </w:rPr>
              <w:t>(7)</w:t>
            </w:r>
          </w:p>
        </w:tc>
        <w:tc>
          <w:tcPr>
            <w:tcW w:w="0" w:type="dxa"/>
            <w:vAlign w:val="bottom"/>
          </w:tcPr>
          <w:p>
            <w:pPr>
              <w:spacing w:after="0"/>
              <w:rPr>
                <w:sz w:val="1"/>
                <w:szCs w:val="1"/>
                <w:color w:val="auto"/>
              </w:rPr>
            </w:pPr>
          </w:p>
        </w:tc>
      </w:tr>
      <w:tr>
        <w:trPr>
          <w:trHeight w:val="144"/>
        </w:trPr>
        <w:tc>
          <w:tcPr>
            <w:tcW w:w="3640" w:type="dxa"/>
            <w:vAlign w:val="bottom"/>
            <w:gridSpan w:val="2"/>
            <w:vMerge w:val="continue"/>
          </w:tcPr>
          <w:p>
            <w:pPr>
              <w:spacing w:after="0"/>
              <w:rPr>
                <w:sz w:val="12"/>
                <w:szCs w:val="12"/>
                <w:color w:val="auto"/>
              </w:rPr>
            </w:pPr>
          </w:p>
        </w:tc>
        <w:tc>
          <w:tcPr>
            <w:tcW w:w="9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Bonus</w:t>
            </w:r>
            <w:r>
              <w:rPr>
                <w:rFonts w:ascii="Arial" w:cs="Arial" w:eastAsia="Arial" w:hAnsi="Arial"/>
                <w:sz w:val="12"/>
                <w:szCs w:val="12"/>
                <w:b w:val="1"/>
                <w:bCs w:val="1"/>
                <w:color w:val="auto"/>
                <w:w w:val="89"/>
              </w:rPr>
              <w:t>(1)</w:t>
            </w:r>
          </w:p>
        </w:tc>
        <w:tc>
          <w:tcPr>
            <w:tcW w:w="320" w:type="dxa"/>
            <w:vAlign w:val="bottom"/>
          </w:tcPr>
          <w:p>
            <w:pPr>
              <w:spacing w:after="0"/>
              <w:rPr>
                <w:sz w:val="12"/>
                <w:szCs w:val="12"/>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Payment</w:t>
            </w:r>
            <w:r>
              <w:rPr>
                <w:rFonts w:ascii="Arial" w:cs="Arial" w:eastAsia="Arial" w:hAnsi="Arial"/>
                <w:sz w:val="12"/>
                <w:szCs w:val="12"/>
                <w:b w:val="1"/>
                <w:bCs w:val="1"/>
                <w:color w:val="auto"/>
                <w:w w:val="93"/>
              </w:rPr>
              <w:t>(2)</w:t>
            </w:r>
          </w:p>
        </w:tc>
        <w:tc>
          <w:tcPr>
            <w:tcW w:w="300" w:type="dxa"/>
            <w:vAlign w:val="bottom"/>
          </w:tcPr>
          <w:p>
            <w:pPr>
              <w:spacing w:after="0"/>
              <w:rPr>
                <w:sz w:val="12"/>
                <w:szCs w:val="12"/>
                <w:color w:val="auto"/>
              </w:rPr>
            </w:pPr>
          </w:p>
        </w:tc>
        <w:tc>
          <w:tcPr>
            <w:tcW w:w="116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2"/>
              </w:rPr>
              <w:t>Bonus</w:t>
            </w:r>
            <w:r>
              <w:rPr>
                <w:rFonts w:ascii="Arial" w:cs="Arial" w:eastAsia="Arial" w:hAnsi="Arial"/>
                <w:sz w:val="12"/>
                <w:szCs w:val="12"/>
                <w:b w:val="1"/>
                <w:bCs w:val="1"/>
                <w:color w:val="auto"/>
                <w:w w:val="92"/>
              </w:rPr>
              <w:t>(3)</w:t>
            </w:r>
          </w:p>
        </w:tc>
        <w:tc>
          <w:tcPr>
            <w:tcW w:w="1280" w:type="dxa"/>
            <w:vAlign w:val="bottom"/>
            <w:gridSpan w:val="2"/>
            <w:vMerge w:val="continue"/>
          </w:tcPr>
          <w:p>
            <w:pPr>
              <w:spacing w:after="0"/>
              <w:rPr>
                <w:sz w:val="12"/>
                <w:szCs w:val="12"/>
                <w:color w:val="auto"/>
              </w:rPr>
            </w:pPr>
          </w:p>
        </w:tc>
        <w:tc>
          <w:tcPr>
            <w:tcW w:w="840" w:type="dxa"/>
            <w:vAlign w:val="bottom"/>
          </w:tcPr>
          <w:p>
            <w:pPr>
              <w:jc w:val="right"/>
              <w:ind w:right="244"/>
              <w:spacing w:after="0" w:line="125" w:lineRule="exact"/>
              <w:rPr>
                <w:sz w:val="20"/>
                <w:szCs w:val="20"/>
                <w:color w:val="auto"/>
              </w:rPr>
            </w:pPr>
            <w:r>
              <w:rPr>
                <w:rFonts w:ascii="Arial" w:cs="Arial" w:eastAsia="Arial" w:hAnsi="Arial"/>
                <w:sz w:val="14"/>
                <w:szCs w:val="14"/>
                <w:b w:val="1"/>
                <w:bCs w:val="1"/>
                <w:color w:val="auto"/>
              </w:rPr>
              <w:t>750</w:t>
            </w:r>
          </w:p>
        </w:tc>
        <w:tc>
          <w:tcPr>
            <w:tcW w:w="440" w:type="dxa"/>
            <w:vAlign w:val="bottom"/>
          </w:tcPr>
          <w:p>
            <w:pPr>
              <w:spacing w:after="0"/>
              <w:rPr>
                <w:sz w:val="12"/>
                <w:szCs w:val="12"/>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Benefits</w:t>
            </w:r>
            <w:r>
              <w:rPr>
                <w:rFonts w:ascii="Arial" w:cs="Arial" w:eastAsia="Arial" w:hAnsi="Arial"/>
                <w:sz w:val="12"/>
                <w:szCs w:val="12"/>
                <w:b w:val="1"/>
                <w:bCs w:val="1"/>
                <w:color w:val="auto"/>
              </w:rPr>
              <w:t>(6)</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David R. Lumley</w:t>
            </w:r>
          </w:p>
        </w:tc>
        <w:tc>
          <w:tcPr>
            <w:tcW w:w="9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  4,063,500</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$100,000</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$ 1,149,021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$ 3,565,504</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87"/>
              </w:rPr>
              <w:t>(5)</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$ 3,032,458</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87"/>
              </w:rPr>
              <w:t>(5)</w:t>
            </w:r>
          </w:p>
        </w:tc>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0"/>
              </w:rPr>
              <w:t>$  12,565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$ 20,442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80" w:hanging="452"/>
        <w:spacing w:after="0" w:line="256"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Reflects the retention bonus of 2x the sum of the executive’s base salary plus 2x the annual target bonus in effect in the fiscal year prior to the termination date. The retention bonus shall be paid beginning on the 60</w:t>
      </w:r>
      <w:r>
        <w:rPr>
          <w:rFonts w:ascii="Arial" w:cs="Arial" w:eastAsia="Arial" w:hAnsi="Arial"/>
          <w:sz w:val="15"/>
          <w:szCs w:val="15"/>
          <w:color w:val="auto"/>
        </w:rPr>
        <w:t>th</w:t>
      </w:r>
      <w:r>
        <w:rPr>
          <w:rFonts w:ascii="Arial" w:cs="Arial" w:eastAsia="Arial" w:hAnsi="Arial"/>
          <w:sz w:val="18"/>
          <w:szCs w:val="18"/>
          <w:color w:val="auto"/>
        </w:rPr>
        <w:t xml:space="preserve"> day following the termination date, subject to the requirements under Section 409A of the Internal Revenue Code.</w:t>
      </w:r>
    </w:p>
    <w:p>
      <w:pPr>
        <w:ind w:left="460" w:hanging="452"/>
        <w:spacing w:after="0" w:line="250"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Executive is entitled to an additional retention payment of $100,000, of which $75,000 is payable on the 60</w:t>
      </w:r>
      <w:r>
        <w:rPr>
          <w:rFonts w:ascii="Arial" w:cs="Arial" w:eastAsia="Arial" w:hAnsi="Arial"/>
          <w:sz w:val="15"/>
          <w:szCs w:val="15"/>
          <w:color w:val="auto"/>
        </w:rPr>
        <w:t>th</w:t>
      </w:r>
      <w:r>
        <w:rPr>
          <w:rFonts w:ascii="Arial" w:cs="Arial" w:eastAsia="Arial" w:hAnsi="Arial"/>
          <w:sz w:val="18"/>
          <w:szCs w:val="18"/>
          <w:color w:val="auto"/>
        </w:rPr>
        <w:t xml:space="preserve"> day following the termination date and the remaining $25,000 is payable on the one-year anniversary of the termination date.</w:t>
      </w:r>
    </w:p>
    <w:p>
      <w:pPr>
        <w:ind w:left="460" w:right="140" w:hanging="452"/>
        <w:spacing w:after="0" w:line="250"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Reflects annual MIP bonus earned based on Fiscal 2015 performance. Payment is subject to the requirements of Section 409A of the Internal Revenue Code.</w:t>
      </w:r>
    </w:p>
    <w:p>
      <w:pPr>
        <w:ind w:left="460" w:hanging="452"/>
        <w:spacing w:after="0"/>
        <w:tabs>
          <w:tab w:leader="none" w:pos="4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Reflects equity value using a stock price of $91.51, which was the Company’s closing price on September 30, 2015.</w:t>
      </w:r>
    </w:p>
    <w:p>
      <w:pPr>
        <w:spacing w:after="0" w:line="9" w:lineRule="exact"/>
        <w:rPr>
          <w:rFonts w:ascii="Arial" w:cs="Arial" w:eastAsia="Arial" w:hAnsi="Arial"/>
          <w:sz w:val="15"/>
          <w:szCs w:val="15"/>
          <w:color w:val="auto"/>
        </w:rPr>
      </w:pPr>
    </w:p>
    <w:p>
      <w:pPr>
        <w:ind w:left="460" w:right="920" w:hanging="452"/>
        <w:spacing w:after="0" w:line="250"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50% of the Fiscal 2014 EIP award (the unvested portion of the 2014 EIP award) and all RSUs earned under the Spectrum 750 award vested immediately. The executive’s Fiscal 2015 EIP award has been forfeited.</w:t>
      </w:r>
    </w:p>
    <w:p>
      <w:pPr>
        <w:ind w:left="460" w:hanging="452"/>
        <w:spacing w:after="0"/>
        <w:tabs>
          <w:tab w:leader="none" w:pos="4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Reflects 24 months of insurance and other benefits continuation for the executive and any dependents.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Reflects 12 months of car allowance continuation.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to Anthony L. Genito Upon Resignation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discussed above, SBI and Mr. Genito mutually agreed to the termination of Mr. Genito’s employment with the Company pursuant to the terms of the Genito Retention Agreement. Mr. Genito departed from the Company on January 2, 2015. Therefore, pursuant to Regulation S-K Item 402(j), Instruction 4, the following table illustrates the actual payments made to Mr. Genito or accrued under the provisions of the Genito Retention Agreement in connection with his termination of employment from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6"/>
              </w:rPr>
              <w:t>Equity Awards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21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5"/>
              </w:rPr>
              <w:t>(Intrinsic Value)</w:t>
            </w:r>
            <w:r>
              <w:rPr>
                <w:rFonts w:ascii="Arial" w:cs="Arial" w:eastAsia="Arial" w:hAnsi="Arial"/>
                <w:sz w:val="12"/>
                <w:szCs w:val="12"/>
                <w:b w:val="1"/>
                <w:bCs w:val="1"/>
                <w:color w:val="auto"/>
                <w:w w:val="95"/>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Severance</w:t>
            </w:r>
          </w:p>
        </w:tc>
        <w:tc>
          <w:tcPr>
            <w:tcW w:w="30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Annual</w:t>
            </w:r>
          </w:p>
        </w:tc>
        <w:tc>
          <w:tcPr>
            <w:tcW w:w="11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Severance for</w:t>
            </w:r>
          </w:p>
        </w:tc>
        <w:tc>
          <w:tcPr>
            <w:tcW w:w="1140" w:type="dxa"/>
            <w:vAlign w:val="bottom"/>
            <w:tcBorders>
              <w:top w:val="single" w:sz="8" w:color="auto"/>
            </w:tcBorders>
            <w:gridSpan w:val="2"/>
            <w:vMerge w:val="restart"/>
          </w:tcPr>
          <w:p>
            <w:pPr>
              <w:jc w:val="center"/>
              <w:ind w:right="351"/>
              <w:spacing w:after="0"/>
              <w:rPr>
                <w:sz w:val="20"/>
                <w:szCs w:val="20"/>
                <w:color w:val="auto"/>
              </w:rPr>
            </w:pPr>
            <w:r>
              <w:rPr>
                <w:rFonts w:ascii="Arial" w:cs="Arial" w:eastAsia="Arial" w:hAnsi="Arial"/>
                <w:sz w:val="14"/>
                <w:szCs w:val="14"/>
                <w:b w:val="1"/>
                <w:bCs w:val="1"/>
                <w:color w:val="auto"/>
                <w:w w:val="97"/>
              </w:rPr>
              <w:t>2014 EIP</w:t>
            </w:r>
          </w:p>
        </w:tc>
        <w:tc>
          <w:tcPr>
            <w:tcW w:w="72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Spectrum</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Healthcare</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Insurance</w:t>
            </w:r>
          </w:p>
        </w:tc>
        <w:tc>
          <w:tcPr>
            <w:tcW w:w="3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Vehicles</w:t>
            </w:r>
            <w:r>
              <w:rPr>
                <w:rFonts w:ascii="Arial" w:cs="Arial" w:eastAsia="Arial" w:hAnsi="Arial"/>
                <w:sz w:val="12"/>
                <w:szCs w:val="12"/>
                <w:b w:val="1"/>
                <w:bCs w:val="1"/>
                <w:color w:val="auto"/>
                <w:w w:val="97"/>
              </w:rPr>
              <w:t>(8)</w:t>
            </w:r>
          </w:p>
        </w:tc>
        <w:tc>
          <w:tcPr>
            <w:tcW w:w="0" w:type="dxa"/>
            <w:vAlign w:val="bottom"/>
          </w:tcPr>
          <w:p>
            <w:pPr>
              <w:spacing w:after="0"/>
              <w:rPr>
                <w:sz w:val="1"/>
                <w:szCs w:val="1"/>
                <w:color w:val="auto"/>
              </w:rPr>
            </w:pPr>
          </w:p>
        </w:tc>
      </w:tr>
      <w:tr>
        <w:trPr>
          <w:trHeight w:val="144"/>
        </w:trPr>
        <w:tc>
          <w:tcPr>
            <w:tcW w:w="3360" w:type="dxa"/>
            <w:vAlign w:val="bottom"/>
            <w:gridSpan w:val="2"/>
            <w:vMerge w:val="continue"/>
          </w:tcPr>
          <w:p>
            <w:pPr>
              <w:spacing w:after="0"/>
              <w:rPr>
                <w:sz w:val="12"/>
                <w:szCs w:val="12"/>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Payment</w:t>
            </w:r>
            <w:r>
              <w:rPr>
                <w:rFonts w:ascii="Arial" w:cs="Arial" w:eastAsia="Arial" w:hAnsi="Arial"/>
                <w:sz w:val="12"/>
                <w:szCs w:val="12"/>
                <w:b w:val="1"/>
                <w:bCs w:val="1"/>
                <w:color w:val="auto"/>
                <w:w w:val="93"/>
              </w:rPr>
              <w:t>(1)</w:t>
            </w:r>
          </w:p>
        </w:tc>
        <w:tc>
          <w:tcPr>
            <w:tcW w:w="300" w:type="dxa"/>
            <w:vAlign w:val="bottom"/>
          </w:tcPr>
          <w:p>
            <w:pPr>
              <w:spacing w:after="0"/>
              <w:rPr>
                <w:sz w:val="12"/>
                <w:szCs w:val="12"/>
                <w:color w:val="auto"/>
              </w:rPr>
            </w:pPr>
          </w:p>
        </w:tc>
        <w:tc>
          <w:tcPr>
            <w:tcW w:w="100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Bonus</w:t>
            </w:r>
            <w:r>
              <w:rPr>
                <w:rFonts w:ascii="Arial" w:cs="Arial" w:eastAsia="Arial" w:hAnsi="Arial"/>
                <w:sz w:val="12"/>
                <w:szCs w:val="12"/>
                <w:b w:val="1"/>
                <w:bCs w:val="1"/>
                <w:color w:val="auto"/>
                <w:w w:val="89"/>
              </w:rPr>
              <w:t>(2)</w:t>
            </w:r>
          </w:p>
        </w:tc>
        <w:tc>
          <w:tcPr>
            <w:tcW w:w="1140" w:type="dxa"/>
            <w:vAlign w:val="bottom"/>
            <w:gridSpan w:val="3"/>
          </w:tcPr>
          <w:p>
            <w:pPr>
              <w:jc w:val="center"/>
              <w:ind w:right="280"/>
              <w:spacing w:after="0" w:line="125" w:lineRule="exact"/>
              <w:rPr>
                <w:sz w:val="20"/>
                <w:szCs w:val="20"/>
                <w:color w:val="auto"/>
              </w:rPr>
            </w:pPr>
            <w:r>
              <w:rPr>
                <w:rFonts w:ascii="Arial" w:cs="Arial" w:eastAsia="Arial" w:hAnsi="Arial"/>
                <w:sz w:val="14"/>
                <w:szCs w:val="14"/>
                <w:b w:val="1"/>
                <w:bCs w:val="1"/>
                <w:color w:val="auto"/>
                <w:w w:val="94"/>
              </w:rPr>
              <w:t>Transition</w:t>
            </w:r>
            <w:r>
              <w:rPr>
                <w:rFonts w:ascii="Arial" w:cs="Arial" w:eastAsia="Arial" w:hAnsi="Arial"/>
                <w:sz w:val="12"/>
                <w:szCs w:val="12"/>
                <w:b w:val="1"/>
                <w:bCs w:val="1"/>
                <w:color w:val="auto"/>
                <w:w w:val="94"/>
              </w:rPr>
              <w:t>(3)</w:t>
            </w:r>
          </w:p>
        </w:tc>
        <w:tc>
          <w:tcPr>
            <w:tcW w:w="1140" w:type="dxa"/>
            <w:vAlign w:val="bottom"/>
            <w:gridSpan w:val="2"/>
            <w:vMerge w:val="continue"/>
          </w:tcPr>
          <w:p>
            <w:pPr>
              <w:spacing w:after="0"/>
              <w:rPr>
                <w:sz w:val="12"/>
                <w:szCs w:val="12"/>
                <w:color w:val="auto"/>
              </w:rPr>
            </w:pPr>
          </w:p>
        </w:tc>
        <w:tc>
          <w:tcPr>
            <w:tcW w:w="720" w:type="dxa"/>
            <w:vAlign w:val="bottom"/>
          </w:tcPr>
          <w:p>
            <w:pPr>
              <w:jc w:val="right"/>
              <w:ind w:right="187"/>
              <w:spacing w:after="0" w:line="125" w:lineRule="exact"/>
              <w:rPr>
                <w:sz w:val="20"/>
                <w:szCs w:val="20"/>
                <w:color w:val="auto"/>
              </w:rPr>
            </w:pPr>
            <w:r>
              <w:rPr>
                <w:rFonts w:ascii="Arial" w:cs="Arial" w:eastAsia="Arial" w:hAnsi="Arial"/>
                <w:sz w:val="14"/>
                <w:szCs w:val="14"/>
                <w:b w:val="1"/>
                <w:bCs w:val="1"/>
                <w:color w:val="auto"/>
              </w:rPr>
              <w:t>750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40"/>
              <w:spacing w:after="0" w:line="125" w:lineRule="exact"/>
              <w:rPr>
                <w:sz w:val="20"/>
                <w:szCs w:val="20"/>
                <w:color w:val="auto"/>
              </w:rPr>
            </w:pPr>
            <w:r>
              <w:rPr>
                <w:rFonts w:ascii="Arial" w:cs="Arial" w:eastAsia="Arial" w:hAnsi="Arial"/>
                <w:sz w:val="14"/>
                <w:szCs w:val="14"/>
                <w:b w:val="1"/>
                <w:bCs w:val="1"/>
                <w:color w:val="auto"/>
              </w:rPr>
              <w:t>Benefits</w:t>
            </w:r>
            <w:r>
              <w:rPr>
                <w:rFonts w:ascii="Arial" w:cs="Arial" w:eastAsia="Arial" w:hAnsi="Arial"/>
                <w:sz w:val="12"/>
                <w:szCs w:val="12"/>
                <w:b w:val="1"/>
                <w:bCs w:val="1"/>
                <w:color w:val="auto"/>
              </w:rPr>
              <w:t>(6)</w:t>
            </w: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Benefits</w:t>
            </w:r>
            <w:r>
              <w:rPr>
                <w:rFonts w:ascii="Arial" w:cs="Arial" w:eastAsia="Arial" w:hAnsi="Arial"/>
                <w:sz w:val="12"/>
                <w:szCs w:val="12"/>
                <w:b w:val="1"/>
                <w:bCs w:val="1"/>
                <w:color w:val="auto"/>
                <w:w w:val="91"/>
              </w:rPr>
              <w:t>(7)</w:t>
            </w:r>
          </w:p>
        </w:tc>
        <w:tc>
          <w:tcPr>
            <w:tcW w:w="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Genito</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$1,920,000</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$1,206,619</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$1,644,243</w:t>
            </w:r>
          </w:p>
        </w:tc>
        <w:tc>
          <w:tcPr>
            <w:tcW w:w="420" w:type="dxa"/>
            <w:vAlign w:val="bottom"/>
            <w:shd w:val="clear" w:color="auto" w:fill="CCEEFF"/>
          </w:tcPr>
          <w:p>
            <w:pPr>
              <w:jc w:val="right"/>
              <w:ind w:right="191"/>
              <w:spacing w:after="0" w:line="155" w:lineRule="exact"/>
              <w:rPr>
                <w:sz w:val="20"/>
                <w:szCs w:val="20"/>
                <w:color w:val="auto"/>
              </w:rPr>
            </w:pPr>
            <w:r>
              <w:rPr>
                <w:rFonts w:ascii="Arial" w:cs="Arial" w:eastAsia="Arial" w:hAnsi="Arial"/>
                <w:sz w:val="14"/>
                <w:szCs w:val="14"/>
                <w:color w:val="auto"/>
                <w:w w:val="81"/>
              </w:rPr>
              <w:t>(5)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$1,019,337</w:t>
            </w:r>
          </w:p>
        </w:tc>
        <w:tc>
          <w:tcPr>
            <w:tcW w:w="280" w:type="dxa"/>
            <w:vAlign w:val="bottom"/>
            <w:shd w:val="clear" w:color="auto" w:fill="CCEEFF"/>
          </w:tcPr>
          <w:p>
            <w:pPr>
              <w:jc w:val="right"/>
              <w:ind w:right="51"/>
              <w:spacing w:after="0" w:line="155" w:lineRule="exact"/>
              <w:rPr>
                <w:sz w:val="20"/>
                <w:szCs w:val="20"/>
                <w:color w:val="auto"/>
              </w:rPr>
            </w:pPr>
            <w:r>
              <w:rPr>
                <w:rFonts w:ascii="Arial" w:cs="Arial" w:eastAsia="Arial" w:hAnsi="Arial"/>
                <w:sz w:val="14"/>
                <w:szCs w:val="14"/>
                <w:color w:val="auto"/>
                <w:w w:val="81"/>
              </w:rPr>
              <w:t>(5)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9,264</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6"/>
                <w:szCs w:val="16"/>
                <w:color w:val="auto"/>
                <w:w w:val="92"/>
              </w:rPr>
              <w:t>$  54,719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40" w:right="400" w:hanging="332"/>
        <w:spacing w:after="0" w:line="193" w:lineRule="auto"/>
        <w:tabs>
          <w:tab w:leader="none" w:pos="340" w:val="left"/>
        </w:tabs>
        <w:numPr>
          <w:ilvl w:val="0"/>
          <w:numId w:val="89"/>
        </w:numPr>
        <w:rPr>
          <w:rFonts w:ascii="Arial" w:cs="Arial" w:eastAsia="Arial" w:hAnsi="Arial"/>
          <w:sz w:val="28"/>
          <w:szCs w:val="28"/>
          <w:color w:val="auto"/>
          <w:vertAlign w:val="superscript"/>
        </w:rPr>
      </w:pPr>
      <w:r>
        <w:rPr>
          <w:rFonts w:ascii="Arial" w:cs="Arial" w:eastAsia="Arial" w:hAnsi="Arial"/>
          <w:sz w:val="16"/>
          <w:szCs w:val="16"/>
          <w:color w:val="auto"/>
        </w:rPr>
        <w:t>Reflects severance payment of 2x the sum of the executive’s annual base salary and the annual target bonus. Payments are to be made as monthly stock grants for 24 months, subject to the requirements of Section 409A of the Internal Revenue Code.</w:t>
      </w:r>
    </w:p>
    <w:p>
      <w:pPr>
        <w:spacing w:after="0" w:line="2"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Reflects annual MIP bonus earned based on Fiscal 2014 performance.</w:t>
      </w:r>
    </w:p>
    <w:p>
      <w:pPr>
        <w:spacing w:after="0" w:line="11" w:lineRule="exact"/>
        <w:rPr>
          <w:rFonts w:ascii="Arial" w:cs="Arial" w:eastAsia="Arial" w:hAnsi="Arial"/>
          <w:sz w:val="23"/>
          <w:szCs w:val="23"/>
          <w:color w:val="auto"/>
          <w:vertAlign w:val="superscript"/>
        </w:rPr>
      </w:pPr>
    </w:p>
    <w:p>
      <w:pPr>
        <w:ind w:left="340" w:right="600" w:hanging="332"/>
        <w:spacing w:after="0" w:line="187" w:lineRule="auto"/>
        <w:tabs>
          <w:tab w:leader="none" w:pos="340" w:val="left"/>
        </w:tabs>
        <w:numPr>
          <w:ilvl w:val="0"/>
          <w:numId w:val="89"/>
        </w:numPr>
        <w:rPr>
          <w:rFonts w:ascii="Arial" w:cs="Arial" w:eastAsia="Arial" w:hAnsi="Arial"/>
          <w:sz w:val="28"/>
          <w:szCs w:val="28"/>
          <w:color w:val="auto"/>
          <w:vertAlign w:val="superscript"/>
        </w:rPr>
      </w:pPr>
      <w:r>
        <w:rPr>
          <w:rFonts w:ascii="Arial" w:cs="Arial" w:eastAsia="Arial" w:hAnsi="Arial"/>
          <w:sz w:val="16"/>
          <w:szCs w:val="16"/>
          <w:color w:val="auto"/>
        </w:rPr>
        <w:t>Reflects additional severance for transitioning duties to the new Chief Financial Officer. The Company may pay this additional severance within 30 days after the termination date in the form of a stock grant.</w:t>
      </w:r>
    </w:p>
    <w:p>
      <w:pPr>
        <w:ind w:left="340" w:hanging="332"/>
        <w:spacing w:after="0" w:line="183" w:lineRule="auto"/>
        <w:tabs>
          <w:tab w:leader="none" w:pos="34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Reflects equity value using a stock price of $92.84, which was the Company’s closing price on Mr. Genito’s termination date of January 2, 2015.</w:t>
      </w:r>
    </w:p>
    <w:p>
      <w:pPr>
        <w:spacing w:after="0" w:line="11"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89"/>
        </w:numPr>
        <w:rPr>
          <w:rFonts w:ascii="Arial" w:cs="Arial" w:eastAsia="Arial" w:hAnsi="Arial"/>
          <w:sz w:val="22"/>
          <w:szCs w:val="22"/>
          <w:color w:val="auto"/>
          <w:vertAlign w:val="superscript"/>
        </w:rPr>
      </w:pPr>
      <w:r>
        <w:rPr>
          <w:rFonts w:ascii="Arial" w:cs="Arial" w:eastAsia="Arial" w:hAnsi="Arial"/>
          <w:sz w:val="14"/>
          <w:szCs w:val="14"/>
          <w:color w:val="auto"/>
        </w:rPr>
        <w:t>50% of the Fiscal 2014 EIP award (the unvested portion of the 2014 EIP award) and all RSUs earned under the Spectrum 750 award vested immediately.</w:t>
      </w:r>
    </w:p>
    <w:p>
      <w:pPr>
        <w:spacing w:after="0" w:line="10" w:lineRule="exact"/>
        <w:rPr>
          <w:rFonts w:ascii="Arial" w:cs="Arial" w:eastAsia="Arial" w:hAnsi="Arial"/>
          <w:sz w:val="22"/>
          <w:szCs w:val="22"/>
          <w:color w:val="auto"/>
          <w:vertAlign w:val="superscript"/>
        </w:rPr>
      </w:pPr>
    </w:p>
    <w:p>
      <w:pPr>
        <w:ind w:left="340" w:hanging="332"/>
        <w:spacing w:after="0" w:line="182" w:lineRule="auto"/>
        <w:tabs>
          <w:tab w:leader="none" w:pos="340" w:val="left"/>
        </w:tabs>
        <w:numPr>
          <w:ilvl w:val="0"/>
          <w:numId w:val="89"/>
        </w:numPr>
        <w:rPr>
          <w:rFonts w:ascii="Arial" w:cs="Arial" w:eastAsia="Arial" w:hAnsi="Arial"/>
          <w:sz w:val="22"/>
          <w:szCs w:val="22"/>
          <w:color w:val="auto"/>
          <w:vertAlign w:val="superscript"/>
        </w:rPr>
      </w:pPr>
      <w:r>
        <w:rPr>
          <w:rFonts w:ascii="Arial" w:cs="Arial" w:eastAsia="Arial" w:hAnsi="Arial"/>
          <w:sz w:val="14"/>
          <w:szCs w:val="14"/>
          <w:color w:val="auto"/>
        </w:rPr>
        <w:t>Reflects 24 months of insurance and other benefits continuation for the executive and any dependents.</w:t>
      </w:r>
    </w:p>
    <w:p>
      <w:pPr>
        <w:spacing w:after="0" w:line="10" w:lineRule="exact"/>
        <w:rPr>
          <w:rFonts w:ascii="Arial" w:cs="Arial" w:eastAsia="Arial" w:hAnsi="Arial"/>
          <w:sz w:val="22"/>
          <w:szCs w:val="22"/>
          <w:color w:val="auto"/>
          <w:vertAlign w:val="superscript"/>
        </w:rPr>
      </w:pPr>
    </w:p>
    <w:p>
      <w:pPr>
        <w:ind w:left="340" w:hanging="332"/>
        <w:spacing w:after="0" w:line="182" w:lineRule="auto"/>
        <w:tabs>
          <w:tab w:leader="none" w:pos="340" w:val="left"/>
        </w:tabs>
        <w:numPr>
          <w:ilvl w:val="0"/>
          <w:numId w:val="89"/>
        </w:numPr>
        <w:rPr>
          <w:rFonts w:ascii="Arial" w:cs="Arial" w:eastAsia="Arial" w:hAnsi="Arial"/>
          <w:sz w:val="22"/>
          <w:szCs w:val="22"/>
          <w:color w:val="auto"/>
          <w:vertAlign w:val="superscript"/>
        </w:rPr>
      </w:pPr>
      <w:r>
        <w:rPr>
          <w:rFonts w:ascii="Arial" w:cs="Arial" w:eastAsia="Arial" w:hAnsi="Arial"/>
          <w:sz w:val="14"/>
          <w:szCs w:val="14"/>
          <w:color w:val="auto"/>
        </w:rPr>
        <w:t>Reflects executive life insurance benefits for Mr. Genito for 24 months after his termination date.</w:t>
      </w:r>
    </w:p>
    <w:p>
      <w:pPr>
        <w:spacing w:after="0" w:line="10" w:lineRule="exact"/>
        <w:rPr>
          <w:rFonts w:ascii="Arial" w:cs="Arial" w:eastAsia="Arial" w:hAnsi="Arial"/>
          <w:sz w:val="22"/>
          <w:szCs w:val="22"/>
          <w:color w:val="auto"/>
          <w:vertAlign w:val="superscript"/>
        </w:rPr>
      </w:pPr>
    </w:p>
    <w:p>
      <w:pPr>
        <w:ind w:left="340" w:hanging="332"/>
        <w:spacing w:after="0" w:line="182" w:lineRule="auto"/>
        <w:tabs>
          <w:tab w:leader="none" w:pos="340" w:val="left"/>
        </w:tabs>
        <w:numPr>
          <w:ilvl w:val="0"/>
          <w:numId w:val="89"/>
        </w:numPr>
        <w:rPr>
          <w:rFonts w:ascii="Arial" w:cs="Arial" w:eastAsia="Arial" w:hAnsi="Arial"/>
          <w:sz w:val="22"/>
          <w:szCs w:val="22"/>
          <w:color w:val="auto"/>
          <w:vertAlign w:val="superscript"/>
        </w:rPr>
      </w:pPr>
      <w:r>
        <w:rPr>
          <w:rFonts w:ascii="Arial" w:cs="Arial" w:eastAsia="Arial" w:hAnsi="Arial"/>
          <w:sz w:val="14"/>
          <w:szCs w:val="14"/>
          <w:color w:val="auto"/>
        </w:rPr>
        <w:t>Reflects 24 months of car allowance continuation.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Compensation Committee is responsible for approving, subject to review by the Board of Directors as a whole, compensation programs for our non-employee directors. In that function, the Compensation Committee considers market and peer company data regarding director compensation and evaluates the Company’s director compensation practices in light of that data and the characteristics of the Company as a whole, with the assistance of its independent compensation advisors.</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Under the director compensation program in place at the beginning of Fiscal 2015, each non-employee director receives an annual cash retainer of $105,000 and an annual grant of restricted stock units equal to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number of shares of the Company’s common stock with a value on the date of grant of $105,000. The Chair of the Audit Committee receives an additional annual cash retainer of $20,000, and the Chairs of the Nominating and Corporate Governance Committee and the Compensation Committee each receive an additional annual cash retainer of $15,000. Directors are permitted to make an annual election to receive all of their director compensation in the form of Company stock in lieu of cash. In the second quarter of Fiscal 2015, the Compensation Committee recommended, and the Board approved, an increase in the compensation levels for the directors and the chairman of the board, after completing a review of the Company’s director compensation program as against other peer group companies and other benchmarking data, and considering the degree of effort and time commitment expected of the Company’s directors and of its chairman of the board. Accordingly, the level of annual equity compensation for directors was increased to $125,000 of value annually from the prior level of $105,000 of value annually. For Fiscal 2015, the amount was pro-rated from the effective date of the increase. Also, the level of annual cash compensation for the chairman of the board was increased from $105,000 to $210,000 annually; this amount was also pro-rated for Fiscal 2015 from the effective date of the increase.</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Board of Directors has established Stock Ownership Guidelines for Directors. Under these guidelines, each Director is expected to hold shares of the Company’s common stock equal to at least one times the Director’s annual compensation for service as a director.</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For Fiscal 2015, the grants of RSUs were made on October 1, 2014 and vested on October 1, 2015. An additional grant of RSUs was made to each of the non-employee directors and the chairman of the board on April 1, 2015 to reflect the increase in annual director compensation discussed above. In addition, grants of RSUs were made on November 25, 2014 to Mr. Maura, which will vest in accordance with the grant award, and on September 25, 2015 to Mr. Steinberg, which vested on October 1, 2015. For Fiscal 2016, the grants of RSUs were made on October 1, 2015 and will vest on October 1, 2016.</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David R. Lumley, who was an employee of the Company during a portion of Fiscal 2015 in addition to his service as a director, received no additional compensation for his service as a director of the Company. Mr. Lumley resigned from the Company’s Board of Directors effective September 30, 2015. Andreas Rouvé replaced Mr. Lumley as a director effective October 1, 2015. Because Mr. Rouvé did not serve on the Board of Directors during Fiscal 2015, he is not reflected in the table below. Joseph S. Steinberg was elected to the Company’s board of directors on February 19, 2015. He received a grant of RSUs during Fiscal 2015 based on a pro-rata calculation of his days of service as a director during the fiscal year.</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set forth below, together with its footnotes, provides information regarding compensation paid to the Company’s directors for Fiscal 2015. David R. Lumley, who received no compensation as a director during Fiscal 2015, is omitted from the table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 Table for Fiscal Year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Fees Earned</w:t>
            </w:r>
          </w:p>
        </w:tc>
        <w:tc>
          <w:tcPr>
            <w:tcW w:w="1600" w:type="dxa"/>
            <w:vAlign w:val="bottom"/>
            <w:gridSpan w:val="2"/>
            <w:vMerge w:val="restart"/>
          </w:tcPr>
          <w:p>
            <w:pPr>
              <w:jc w:val="center"/>
              <w:ind w:right="743"/>
              <w:spacing w:after="0"/>
              <w:rPr>
                <w:sz w:val="20"/>
                <w:szCs w:val="20"/>
                <w:color w:val="auto"/>
              </w:rPr>
            </w:pPr>
            <w:r>
              <w:rPr>
                <w:rFonts w:ascii="Arial" w:cs="Arial" w:eastAsia="Arial" w:hAnsi="Arial"/>
                <w:sz w:val="14"/>
                <w:szCs w:val="14"/>
                <w:b w:val="1"/>
                <w:bCs w:val="1"/>
                <w:color w:val="auto"/>
                <w:w w:val="89"/>
              </w:rPr>
              <w:t>Stock</w:t>
            </w:r>
          </w:p>
        </w:tc>
        <w:tc>
          <w:tcPr>
            <w:tcW w:w="1720" w:type="dxa"/>
            <w:vAlign w:val="bottom"/>
            <w:gridSpan w:val="2"/>
            <w:vMerge w:val="restart"/>
          </w:tcPr>
          <w:p>
            <w:pPr>
              <w:jc w:val="center"/>
              <w:ind w:right="743"/>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or Paid</w:t>
            </w:r>
          </w:p>
        </w:tc>
        <w:tc>
          <w:tcPr>
            <w:tcW w:w="160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2"/>
                <w:szCs w:val="12"/>
                <w:b w:val="1"/>
                <w:bCs w:val="1"/>
                <w:color w:val="auto"/>
              </w:rPr>
              <w:t>(1)</w:t>
            </w: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in Cash</w:t>
            </w:r>
            <w:r>
              <w:rPr>
                <w:rFonts w:ascii="Arial" w:cs="Arial" w:eastAsia="Arial" w:hAnsi="Arial"/>
                <w:sz w:val="12"/>
                <w:szCs w:val="12"/>
                <w:b w:val="1"/>
                <w:bCs w:val="1"/>
                <w:color w:val="auto"/>
                <w:w w:val="94"/>
              </w:rPr>
              <w:t>(2)</w:t>
            </w:r>
          </w:p>
        </w:tc>
        <w:tc>
          <w:tcPr>
            <w:tcW w:w="1600" w:type="dxa"/>
            <w:vAlign w:val="bottom"/>
            <w:gridSpan w:val="2"/>
          </w:tcPr>
          <w:p>
            <w:pPr>
              <w:jc w:val="center"/>
              <w:ind w:right="743"/>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(3)</w:t>
            </w:r>
          </w:p>
        </w:tc>
        <w:tc>
          <w:tcPr>
            <w:tcW w:w="1720" w:type="dxa"/>
            <w:vAlign w:val="bottom"/>
            <w:gridSpan w:val="2"/>
          </w:tcPr>
          <w:p>
            <w:pPr>
              <w:jc w:val="center"/>
              <w:ind w:right="743"/>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spacing w:after="0"/>
              <w:rPr>
                <w:sz w:val="14"/>
                <w:szCs w:val="14"/>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2"/>
              </w:rPr>
              <w:t>Kenneth</w:t>
            </w:r>
          </w:p>
        </w:tc>
        <w:tc>
          <w:tcPr>
            <w:tcW w:w="4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 Ambrecht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232,494</w:t>
            </w:r>
          </w:p>
        </w:tc>
        <w:tc>
          <w:tcPr>
            <w:tcW w:w="820" w:type="dxa"/>
            <w:vAlign w:val="bottom"/>
            <w:tcBorders>
              <w:top w:val="single" w:sz="8" w:color="CCEEFF"/>
            </w:tcBorders>
            <w:shd w:val="clear" w:color="auto" w:fill="CCEEFF"/>
          </w:tcPr>
          <w:p>
            <w:pPr>
              <w:jc w:val="right"/>
              <w:ind w:right="563"/>
              <w:spacing w:after="0"/>
              <w:rPr>
                <w:sz w:val="20"/>
                <w:szCs w:val="20"/>
                <w:color w:val="auto"/>
              </w:rPr>
            </w:pPr>
            <w:r>
              <w:rPr>
                <w:rFonts w:ascii="Arial" w:cs="Arial" w:eastAsia="Arial" w:hAnsi="Arial"/>
                <w:sz w:val="15"/>
                <w:szCs w:val="15"/>
                <w:color w:val="auto"/>
                <w:w w:val="87"/>
              </w:rPr>
              <w:t>(4)</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820" w:type="dxa"/>
            <w:vAlign w:val="bottom"/>
            <w:tcBorders>
              <w:top w:val="single" w:sz="8" w:color="CCEEFF"/>
            </w:tcBorders>
            <w:shd w:val="clear" w:color="auto" w:fill="CCEEFF"/>
          </w:tcPr>
          <w:p>
            <w:pPr>
              <w:jc w:val="right"/>
              <w:ind w:right="563"/>
              <w:spacing w:after="0"/>
              <w:rPr>
                <w:sz w:val="20"/>
                <w:szCs w:val="20"/>
                <w:color w:val="auto"/>
              </w:rPr>
            </w:pPr>
            <w:r>
              <w:rPr>
                <w:rFonts w:ascii="Arial" w:cs="Arial" w:eastAsia="Arial" w:hAnsi="Arial"/>
                <w:sz w:val="15"/>
                <w:szCs w:val="15"/>
                <w:color w:val="auto"/>
                <w:w w:val="87"/>
              </w:rPr>
              <w:t>(5)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Omar M. Asali</w:t>
            </w: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63"/>
              <w:spacing w:after="0"/>
              <w:rPr>
                <w:sz w:val="20"/>
                <w:szCs w:val="20"/>
                <w:color w:val="auto"/>
              </w:rPr>
            </w:pPr>
            <w:r>
              <w:rPr>
                <w:rFonts w:ascii="Arial" w:cs="Arial" w:eastAsia="Arial" w:hAnsi="Arial"/>
                <w:sz w:val="18"/>
                <w:szCs w:val="18"/>
                <w:color w:val="auto"/>
              </w:rPr>
              <w:t>217,856</w:t>
            </w:r>
            <w:r>
              <w:rPr>
                <w:rFonts w:ascii="Arial" w:cs="Arial" w:eastAsia="Arial" w:hAnsi="Arial"/>
                <w:sz w:val="15"/>
                <w:szCs w:val="15"/>
                <w:color w:val="auto"/>
              </w:rPr>
              <w:t>(6)</w:t>
            </w:r>
          </w:p>
        </w:tc>
        <w:tc>
          <w:tcPr>
            <w:tcW w:w="1720" w:type="dxa"/>
            <w:vAlign w:val="bottom"/>
            <w:gridSpan w:val="2"/>
          </w:tcPr>
          <w:p>
            <w:pPr>
              <w:jc w:val="right"/>
              <w:ind w:right="563"/>
              <w:spacing w:after="0"/>
              <w:rPr>
                <w:sz w:val="20"/>
                <w:szCs w:val="20"/>
                <w:color w:val="auto"/>
              </w:rPr>
            </w:pPr>
            <w:r>
              <w:rPr>
                <w:rFonts w:ascii="Arial" w:cs="Arial" w:eastAsia="Arial" w:hAnsi="Arial"/>
                <w:sz w:val="18"/>
                <w:szCs w:val="18"/>
                <w:color w:val="auto"/>
              </w:rPr>
              <w:t>2,120</w:t>
            </w:r>
            <w:r>
              <w:rPr>
                <w:rFonts w:ascii="Arial" w:cs="Arial" w:eastAsia="Arial" w:hAnsi="Arial"/>
                <w:sz w:val="15"/>
                <w:szCs w:val="15"/>
                <w:color w:val="auto"/>
              </w:rPr>
              <w:t>(7)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219,976</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I. Davis</w:t>
            </w:r>
          </w:p>
        </w:tc>
        <w:tc>
          <w:tcPr>
            <w:tcW w:w="1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93,750</w:t>
            </w:r>
          </w:p>
        </w:tc>
        <w:tc>
          <w:tcPr>
            <w:tcW w:w="1600" w:type="dxa"/>
            <w:vAlign w:val="bottom"/>
            <w:gridSpan w:val="2"/>
            <w:shd w:val="clear" w:color="auto" w:fill="CCEEFF"/>
          </w:tcPr>
          <w:p>
            <w:pPr>
              <w:jc w:val="right"/>
              <w:ind w:right="563"/>
              <w:spacing w:after="0"/>
              <w:rPr>
                <w:sz w:val="20"/>
                <w:szCs w:val="20"/>
                <w:color w:val="auto"/>
              </w:rPr>
            </w:pPr>
            <w:r>
              <w:rPr>
                <w:rFonts w:ascii="Arial" w:cs="Arial" w:eastAsia="Arial" w:hAnsi="Arial"/>
                <w:sz w:val="18"/>
                <w:szCs w:val="18"/>
                <w:color w:val="auto"/>
              </w:rPr>
              <w:t>115,568</w:t>
            </w:r>
            <w:r>
              <w:rPr>
                <w:rFonts w:ascii="Arial" w:cs="Arial" w:eastAsia="Arial" w:hAnsi="Arial"/>
                <w:sz w:val="15"/>
                <w:szCs w:val="15"/>
                <w:color w:val="auto"/>
              </w:rPr>
              <w:t>(8)</w:t>
            </w:r>
          </w:p>
        </w:tc>
        <w:tc>
          <w:tcPr>
            <w:tcW w:w="1720" w:type="dxa"/>
            <w:vAlign w:val="bottom"/>
            <w:gridSpan w:val="2"/>
            <w:shd w:val="clear" w:color="auto" w:fill="CCEEFF"/>
          </w:tcPr>
          <w:p>
            <w:pPr>
              <w:jc w:val="right"/>
              <w:ind w:right="563"/>
              <w:spacing w:after="0"/>
              <w:rPr>
                <w:sz w:val="20"/>
                <w:szCs w:val="20"/>
                <w:color w:val="auto"/>
              </w:rPr>
            </w:pPr>
            <w:r>
              <w:rPr>
                <w:rFonts w:ascii="Arial" w:cs="Arial" w:eastAsia="Arial" w:hAnsi="Arial"/>
                <w:sz w:val="18"/>
                <w:szCs w:val="18"/>
                <w:color w:val="auto"/>
              </w:rPr>
              <w:t>2,082</w:t>
            </w:r>
            <w:r>
              <w:rPr>
                <w:rFonts w:ascii="Arial" w:cs="Arial" w:eastAsia="Arial" w:hAnsi="Arial"/>
                <w:sz w:val="15"/>
                <w:szCs w:val="15"/>
                <w:color w:val="auto"/>
              </w:rPr>
              <w:t>(9)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211,400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Norman S. Matthews</w:t>
            </w: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3"/>
              <w:spacing w:after="0"/>
              <w:rPr>
                <w:sz w:val="20"/>
                <w:szCs w:val="20"/>
                <w:color w:val="auto"/>
              </w:rPr>
            </w:pPr>
            <w:r>
              <w:rPr>
                <w:rFonts w:ascii="Arial" w:cs="Arial" w:eastAsia="Arial" w:hAnsi="Arial"/>
                <w:sz w:val="18"/>
                <w:szCs w:val="18"/>
                <w:color w:val="auto"/>
              </w:rPr>
              <w:t>232,494</w:t>
            </w:r>
            <w:r>
              <w:rPr>
                <w:rFonts w:ascii="Arial" w:cs="Arial" w:eastAsia="Arial" w:hAnsi="Arial"/>
                <w:sz w:val="15"/>
                <w:szCs w:val="15"/>
                <w:color w:val="auto"/>
              </w:rPr>
              <w:t>(10)</w:t>
            </w:r>
          </w:p>
        </w:tc>
        <w:tc>
          <w:tcPr>
            <w:tcW w:w="1720" w:type="dxa"/>
            <w:vAlign w:val="bottom"/>
            <w:gridSpan w:val="2"/>
          </w:tcPr>
          <w:p>
            <w:pPr>
              <w:jc w:val="right"/>
              <w:ind w:right="503"/>
              <w:spacing w:after="0"/>
              <w:rPr>
                <w:sz w:val="20"/>
                <w:szCs w:val="20"/>
                <w:color w:val="auto"/>
              </w:rPr>
            </w:pPr>
            <w:r>
              <w:rPr>
                <w:rFonts w:ascii="Arial" w:cs="Arial" w:eastAsia="Arial" w:hAnsi="Arial"/>
                <w:sz w:val="18"/>
                <w:szCs w:val="18"/>
                <w:color w:val="auto"/>
              </w:rPr>
              <w:t>789</w:t>
            </w:r>
            <w:r>
              <w:rPr>
                <w:rFonts w:ascii="Arial" w:cs="Arial" w:eastAsia="Arial" w:hAnsi="Arial"/>
                <w:sz w:val="15"/>
                <w:szCs w:val="15"/>
                <w:color w:val="auto"/>
              </w:rPr>
              <w:t>(11)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233,283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Maura</w:t>
            </w: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3"/>
              <w:spacing w:after="0"/>
              <w:rPr>
                <w:sz w:val="20"/>
                <w:szCs w:val="20"/>
                <w:color w:val="auto"/>
              </w:rPr>
            </w:pPr>
            <w:r>
              <w:rPr>
                <w:rFonts w:ascii="Arial" w:cs="Arial" w:eastAsia="Arial" w:hAnsi="Arial"/>
                <w:sz w:val="18"/>
                <w:szCs w:val="18"/>
                <w:color w:val="auto"/>
                <w:w w:val="95"/>
              </w:rPr>
              <w:t>9,262,548</w:t>
            </w:r>
            <w:r>
              <w:rPr>
                <w:rFonts w:ascii="Arial" w:cs="Arial" w:eastAsia="Arial" w:hAnsi="Arial"/>
                <w:sz w:val="15"/>
                <w:szCs w:val="15"/>
                <w:color w:val="auto"/>
                <w:w w:val="95"/>
              </w:rPr>
              <w:t>(12)</w:t>
            </w:r>
          </w:p>
        </w:tc>
        <w:tc>
          <w:tcPr>
            <w:tcW w:w="1720" w:type="dxa"/>
            <w:vAlign w:val="bottom"/>
            <w:gridSpan w:val="2"/>
            <w:shd w:val="clear" w:color="auto" w:fill="CCEEFF"/>
          </w:tcPr>
          <w:p>
            <w:pPr>
              <w:jc w:val="right"/>
              <w:ind w:right="483"/>
              <w:spacing w:after="0"/>
              <w:rPr>
                <w:sz w:val="20"/>
                <w:szCs w:val="20"/>
                <w:color w:val="auto"/>
              </w:rPr>
            </w:pPr>
            <w:r>
              <w:rPr>
                <w:rFonts w:ascii="Arial" w:cs="Arial" w:eastAsia="Arial" w:hAnsi="Arial"/>
                <w:sz w:val="18"/>
                <w:szCs w:val="18"/>
                <w:color w:val="auto"/>
              </w:rPr>
              <w:t>2,120</w:t>
            </w:r>
            <w:r>
              <w:rPr>
                <w:rFonts w:ascii="Arial" w:cs="Arial" w:eastAsia="Arial" w:hAnsi="Arial"/>
                <w:sz w:val="15"/>
                <w:szCs w:val="15"/>
                <w:color w:val="auto"/>
              </w:rPr>
              <w:t>(13)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9,264,668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Terry L. Polistina</w:t>
            </w: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3"/>
              <w:spacing w:after="0"/>
              <w:rPr>
                <w:sz w:val="20"/>
                <w:szCs w:val="20"/>
                <w:color w:val="auto"/>
              </w:rPr>
            </w:pPr>
            <w:r>
              <w:rPr>
                <w:rFonts w:ascii="Arial" w:cs="Arial" w:eastAsia="Arial" w:hAnsi="Arial"/>
                <w:sz w:val="18"/>
                <w:szCs w:val="18"/>
                <w:color w:val="auto"/>
              </w:rPr>
              <w:t>217,856</w:t>
            </w:r>
            <w:r>
              <w:rPr>
                <w:rFonts w:ascii="Arial" w:cs="Arial" w:eastAsia="Arial" w:hAnsi="Arial"/>
                <w:sz w:val="15"/>
                <w:szCs w:val="15"/>
                <w:color w:val="auto"/>
              </w:rPr>
              <w:t>(14)</w:t>
            </w:r>
          </w:p>
        </w:tc>
        <w:tc>
          <w:tcPr>
            <w:tcW w:w="1720" w:type="dxa"/>
            <w:vAlign w:val="bottom"/>
            <w:gridSpan w:val="2"/>
          </w:tcPr>
          <w:p>
            <w:pPr>
              <w:jc w:val="right"/>
              <w:ind w:right="483"/>
              <w:spacing w:after="0"/>
              <w:rPr>
                <w:sz w:val="20"/>
                <w:szCs w:val="20"/>
                <w:color w:val="auto"/>
              </w:rPr>
            </w:pPr>
            <w:r>
              <w:rPr>
                <w:rFonts w:ascii="Arial" w:cs="Arial" w:eastAsia="Arial" w:hAnsi="Arial"/>
                <w:sz w:val="18"/>
                <w:szCs w:val="18"/>
                <w:color w:val="auto"/>
              </w:rPr>
              <w:t>2,382</w:t>
            </w:r>
            <w:r>
              <w:rPr>
                <w:rFonts w:ascii="Arial" w:cs="Arial" w:eastAsia="Arial" w:hAnsi="Arial"/>
                <w:sz w:val="15"/>
                <w:szCs w:val="15"/>
                <w:color w:val="auto"/>
              </w:rPr>
              <w:t>(15)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220,238</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Hugh R. Rovit</w:t>
            </w: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3"/>
              <w:spacing w:after="0"/>
              <w:rPr>
                <w:sz w:val="20"/>
                <w:szCs w:val="20"/>
                <w:color w:val="auto"/>
              </w:rPr>
            </w:pPr>
            <w:r>
              <w:rPr>
                <w:rFonts w:ascii="Arial" w:cs="Arial" w:eastAsia="Arial" w:hAnsi="Arial"/>
                <w:sz w:val="18"/>
                <w:szCs w:val="18"/>
                <w:color w:val="auto"/>
              </w:rPr>
              <w:t>217,856</w:t>
            </w:r>
            <w:r>
              <w:rPr>
                <w:rFonts w:ascii="Arial" w:cs="Arial" w:eastAsia="Arial" w:hAnsi="Arial"/>
                <w:sz w:val="15"/>
                <w:szCs w:val="15"/>
                <w:color w:val="auto"/>
              </w:rPr>
              <w:t>(16)</w:t>
            </w:r>
          </w:p>
        </w:tc>
        <w:tc>
          <w:tcPr>
            <w:tcW w:w="1720" w:type="dxa"/>
            <w:vAlign w:val="bottom"/>
            <w:gridSpan w:val="2"/>
            <w:shd w:val="clear" w:color="auto" w:fill="CCEEFF"/>
          </w:tcPr>
          <w:p>
            <w:pPr>
              <w:jc w:val="right"/>
              <w:ind w:right="483"/>
              <w:spacing w:after="0"/>
              <w:rPr>
                <w:sz w:val="20"/>
                <w:szCs w:val="20"/>
                <w:color w:val="auto"/>
              </w:rPr>
            </w:pPr>
            <w:r>
              <w:rPr>
                <w:rFonts w:ascii="Arial" w:cs="Arial" w:eastAsia="Arial" w:hAnsi="Arial"/>
                <w:sz w:val="18"/>
                <w:szCs w:val="18"/>
                <w:color w:val="auto"/>
              </w:rPr>
              <w:t>2,108</w:t>
            </w:r>
            <w:r>
              <w:rPr>
                <w:rFonts w:ascii="Arial" w:cs="Arial" w:eastAsia="Arial" w:hAnsi="Arial"/>
                <w:sz w:val="15"/>
                <w:szCs w:val="15"/>
                <w:color w:val="auto"/>
              </w:rPr>
              <w:t>(17)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219,964</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Joseph S. Steinberg</w:t>
            </w: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3"/>
              <w:spacing w:after="0"/>
              <w:rPr>
                <w:sz w:val="20"/>
                <w:szCs w:val="20"/>
                <w:color w:val="auto"/>
              </w:rPr>
            </w:pPr>
            <w:r>
              <w:rPr>
                <w:rFonts w:ascii="Arial" w:cs="Arial" w:eastAsia="Arial" w:hAnsi="Arial"/>
                <w:sz w:val="18"/>
                <w:szCs w:val="18"/>
                <w:color w:val="auto"/>
              </w:rPr>
              <w:t>139,869</w:t>
            </w:r>
            <w:r>
              <w:rPr>
                <w:rFonts w:ascii="Arial" w:cs="Arial" w:eastAsia="Arial" w:hAnsi="Arial"/>
                <w:sz w:val="15"/>
                <w:szCs w:val="15"/>
                <w:color w:val="auto"/>
              </w:rPr>
              <w:t>(18)</w:t>
            </w:r>
          </w:p>
        </w:tc>
        <w:tc>
          <w:tcPr>
            <w:tcW w:w="1720" w:type="dxa"/>
            <w:vAlign w:val="bottom"/>
            <w:gridSpan w:val="2"/>
          </w:tcPr>
          <w:p>
            <w:pPr>
              <w:jc w:val="right"/>
              <w:ind w:right="84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139,869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 w:hanging="452"/>
        <w:spacing w:after="0" w:line="277" w:lineRule="auto"/>
        <w:tabs>
          <w:tab w:leader="none" w:pos="460" w:val="left"/>
        </w:tabs>
        <w:numPr>
          <w:ilvl w:val="0"/>
          <w:numId w:val="90"/>
        </w:numPr>
        <w:rPr>
          <w:rFonts w:ascii="Arial" w:cs="Arial" w:eastAsia="Arial" w:hAnsi="Arial"/>
          <w:sz w:val="15"/>
          <w:szCs w:val="15"/>
          <w:color w:val="auto"/>
        </w:rPr>
      </w:pPr>
      <w:r>
        <w:rPr>
          <w:rFonts w:ascii="Arial" w:cs="Arial" w:eastAsia="Arial" w:hAnsi="Arial"/>
          <w:sz w:val="18"/>
          <w:szCs w:val="18"/>
          <w:color w:val="auto"/>
        </w:rPr>
        <w:t>This column reflects only directors who received compensation during Fiscal 2015. Note that David R. Lumley, who was a director during Fiscal 2015, is not reflected in this table.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340" w:hanging="452"/>
        <w:spacing w:after="0" w:line="256"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Amounts reflected in this column include the annual retainer fees and committee chair fees paid in cash to Mr. Davis during Fiscal 2015. All of the other directors named in this table elected to receive the cash portion of their annual director compensation in the form of RSUs in lieu of cash, and such amounts are included in the “Stock Awards” column of this table.</w:t>
      </w:r>
    </w:p>
    <w:p>
      <w:pPr>
        <w:ind w:left="460" w:right="20" w:hanging="452"/>
        <w:spacing w:after="0" w:line="265" w:lineRule="auto"/>
        <w:tabs>
          <w:tab w:leader="none" w:pos="460" w:val="left"/>
        </w:tabs>
        <w:numPr>
          <w:ilvl w:val="0"/>
          <w:numId w:val="91"/>
        </w:numPr>
        <w:rPr>
          <w:rFonts w:ascii="Arial" w:cs="Arial" w:eastAsia="Arial" w:hAnsi="Arial"/>
          <w:sz w:val="14"/>
          <w:szCs w:val="14"/>
          <w:color w:val="auto"/>
        </w:rPr>
      </w:pPr>
      <w:r>
        <w:rPr>
          <w:rFonts w:ascii="Arial" w:cs="Arial" w:eastAsia="Arial" w:hAnsi="Arial"/>
          <w:sz w:val="17"/>
          <w:szCs w:val="17"/>
          <w:color w:val="auto"/>
        </w:rPr>
        <w:t>Amounts in this column represent the aggregate grant date fair value of each award computed in accordance with FASB ASC Topic 718. The value was computed by multiplying the number of shares underlying the stock award by the closing price per share of the Company’s common stock on each grant date (or, as applicable, the last trading date immediately prior to the grant date if the grant date fell on a date when the NYSE was closed), which was $88.18 on October 1, 2014, $89.75 on November 25, 2014, $89.12 on April 1, 2015, and $93.06 on September 25, 2015.</w:t>
      </w:r>
    </w:p>
    <w:p>
      <w:pPr>
        <w:jc w:val="both"/>
        <w:ind w:left="460" w:right="60" w:hanging="452"/>
        <w:spacing w:after="0" w:line="250"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Includes 1,326 RSUs granted to Mr. Ambrecht on October 1, 2014 and 149 RSUs granted on April 1, 2015 under the 2011 Plan representing the equity portion of his annual director compensation (which each vested in full on October 1, 2015), and grants of 1,160 RSUs on October 1, 2014 in lieu of the cash portion of Mr. Ambrecht’s annual director compensation (which vested in full on October 1, 2015). As of September 30, 2015, Mr. Ambrecht held 2,635 outstanding unvested RSUs.</w:t>
      </w:r>
    </w:p>
    <w:p>
      <w:pPr>
        <w:spacing w:after="0" w:line="1" w:lineRule="exact"/>
        <w:rPr>
          <w:rFonts w:ascii="Arial" w:cs="Arial" w:eastAsia="Arial" w:hAnsi="Arial"/>
          <w:sz w:val="15"/>
          <w:szCs w:val="15"/>
          <w:color w:val="auto"/>
        </w:rPr>
      </w:pPr>
    </w:p>
    <w:p>
      <w:pPr>
        <w:ind w:left="460" w:right="1100" w:hanging="452"/>
        <w:spacing w:after="0" w:line="250"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Includes dividends paid on RSUs held by Mr. Ambrecht ($2,613) which were not factored into the grant date fair value of the RSUs, and reimbursements of travel expenses for board of directors meetings ($2,171).</w:t>
      </w:r>
    </w:p>
    <w:p>
      <w:pPr>
        <w:ind w:left="460" w:right="60" w:hanging="452"/>
        <w:spacing w:after="0" w:line="250"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Includes 1,160 RSUs granted to Mr. Asali on October 1, 2014 and 149 RSUs granted on April 1, 2015 under the 2011 Plan representing the equity portion of his annual director compensation (which each vested in full on October 1, 2015), and grants of 1,160 RSUs on October 1, 2014 in lieu of the cash portion of Mr. Asali’s annual director compensation (which vested in full on October 1, 2015). As of September 30, 2015, Mr. Asali held 2,469 outstanding unvested RSUs.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Represents dividends paid on RSUs held by Mr. Asali which were not factored into the grant date fair value of the RSUs.</w:t>
      </w:r>
    </w:p>
    <w:p>
      <w:pPr>
        <w:spacing w:after="0" w:line="9" w:lineRule="exact"/>
        <w:rPr>
          <w:rFonts w:ascii="Arial" w:cs="Arial" w:eastAsia="Arial" w:hAnsi="Arial"/>
          <w:sz w:val="15"/>
          <w:szCs w:val="15"/>
          <w:color w:val="auto"/>
        </w:rPr>
      </w:pPr>
    </w:p>
    <w:p>
      <w:pPr>
        <w:ind w:left="460" w:right="360" w:hanging="452"/>
        <w:spacing w:after="0" w:line="250"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Includes 1,160 RSUs granted to Mr. Davis on October 1, 2014 and 149 RSUs granted on April 1, 2015 under the 2011 Plan representing the equity portion of his annual director compensation (which each vested in full on October 1, 2015). As of September 30, 2015, Mr. Davis held 1,309 outstanding unvested RSUs.</w:t>
      </w:r>
    </w:p>
    <w:p>
      <w:pPr>
        <w:spacing w:after="0" w:line="1" w:lineRule="exact"/>
        <w:rPr>
          <w:rFonts w:ascii="Arial" w:cs="Arial" w:eastAsia="Arial" w:hAnsi="Arial"/>
          <w:sz w:val="15"/>
          <w:szCs w:val="15"/>
          <w:color w:val="auto"/>
        </w:rPr>
      </w:pPr>
    </w:p>
    <w:p>
      <w:pPr>
        <w:ind w:left="460" w:hanging="452"/>
        <w:spacing w:after="0" w:line="249"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Includes dividends paid on RSUs held by Mr. Davis ($1,834) which were not factored into the grant date fair value of the RSUs, and reimbursements of travel expenses for board of directors meetings ($245).</w:t>
      </w:r>
    </w:p>
    <w:p>
      <w:pPr>
        <w:spacing w:after="0" w:line="1" w:lineRule="exact"/>
        <w:rPr>
          <w:rFonts w:ascii="Arial" w:cs="Arial" w:eastAsia="Arial" w:hAnsi="Arial"/>
          <w:sz w:val="15"/>
          <w:szCs w:val="15"/>
          <w:color w:val="auto"/>
        </w:rPr>
      </w:pPr>
    </w:p>
    <w:p>
      <w:pPr>
        <w:jc w:val="both"/>
        <w:ind w:left="460" w:right="60" w:hanging="452"/>
        <w:spacing w:after="0" w:line="250"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Includes 1,326 RSUs granted to Mr. Matthews on October 1, 2014 and 149 RSUs granted on April 1, 2015 under the 2011 Plan representing the equity portion of his annual director compensation (which each vested in full on October 1, 2015), and grants of 1,160 RSUs on October 1, 2014 in lieu of the cash portion of Mr. Matthews’ annual director compensation (which vested in full on October 1, 2015). As of September 30, 2015, Mr. Matthews held 2,635 outstanding unvested RSUs.</w:t>
      </w:r>
    </w:p>
    <w:p>
      <w:pPr>
        <w:spacing w:after="0" w:line="3" w:lineRule="exact"/>
        <w:rPr>
          <w:rFonts w:ascii="Arial" w:cs="Arial" w:eastAsia="Arial" w:hAnsi="Arial"/>
          <w:sz w:val="15"/>
          <w:szCs w:val="15"/>
          <w:color w:val="auto"/>
        </w:rPr>
      </w:pPr>
    </w:p>
    <w:p>
      <w:pPr>
        <w:ind w:left="460" w:hanging="452"/>
        <w:spacing w:after="0"/>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Represents reimbursements of travel expenses for board of directors meetings.</w:t>
      </w:r>
    </w:p>
    <w:p>
      <w:pPr>
        <w:spacing w:after="0" w:line="7" w:lineRule="exact"/>
        <w:rPr>
          <w:rFonts w:ascii="Arial" w:cs="Arial" w:eastAsia="Arial" w:hAnsi="Arial"/>
          <w:sz w:val="15"/>
          <w:szCs w:val="15"/>
          <w:color w:val="auto"/>
        </w:rPr>
      </w:pPr>
    </w:p>
    <w:p>
      <w:pPr>
        <w:ind w:left="460" w:right="60" w:hanging="452"/>
        <w:spacing w:after="0" w:line="250"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Includes 1,160 RSUs granted to Mr. Maura on October 1, 2014 and 149 RSUs granted on April 1, 2015 under the 2011 Plan representing the equity portion of his annual director compensation (which each vested in full on October 1, 2015), and grants of 1,160 RSUs on October 1, 2014 and 782 RSUs on April 1, 2015 in lieu of the cash portion of Mr. Maura’s annual director compensation and pro-rata portion of his chairman compensation (which vested in full on October 1, 2015). This amount also includes a grant of 100,000 shares of restricted stock made to Mr. Maura on November 25, 2014 as compensation for his services as a director and chairman of the Company. This grant vests as follows: 20% on the first anniversary of the date of grant; 50% on the second anniversary; and 30% on the third anniversary. As of September 30, 2015, Mr. Maura held 103,251 outstanding unvested RSUs.</w:t>
      </w:r>
    </w:p>
    <w:p>
      <w:pPr>
        <w:spacing w:after="0" w:line="3" w:lineRule="exact"/>
        <w:rPr>
          <w:rFonts w:ascii="Arial" w:cs="Arial" w:eastAsia="Arial" w:hAnsi="Arial"/>
          <w:sz w:val="15"/>
          <w:szCs w:val="15"/>
          <w:color w:val="auto"/>
        </w:rPr>
      </w:pPr>
    </w:p>
    <w:p>
      <w:pPr>
        <w:ind w:left="460" w:hanging="452"/>
        <w:spacing w:after="0"/>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Represents dividends paid on RSUs held by Mr. Maura which were not factored into the grant date fair value of the RSUs.</w:t>
      </w:r>
    </w:p>
    <w:p>
      <w:pPr>
        <w:spacing w:after="0" w:line="10" w:lineRule="exact"/>
        <w:rPr>
          <w:rFonts w:ascii="Arial" w:cs="Arial" w:eastAsia="Arial" w:hAnsi="Arial"/>
          <w:sz w:val="15"/>
          <w:szCs w:val="15"/>
          <w:color w:val="auto"/>
        </w:rPr>
      </w:pPr>
    </w:p>
    <w:p>
      <w:pPr>
        <w:ind w:left="460" w:right="520" w:hanging="452"/>
        <w:spacing w:after="0" w:line="281" w:lineRule="auto"/>
        <w:tabs>
          <w:tab w:leader="none" w:pos="460" w:val="left"/>
        </w:tabs>
        <w:numPr>
          <w:ilvl w:val="0"/>
          <w:numId w:val="91"/>
        </w:numPr>
        <w:rPr>
          <w:rFonts w:ascii="Arial" w:cs="Arial" w:eastAsia="Arial" w:hAnsi="Arial"/>
          <w:sz w:val="14"/>
          <w:szCs w:val="14"/>
          <w:color w:val="auto"/>
        </w:rPr>
      </w:pPr>
      <w:r>
        <w:rPr>
          <w:rFonts w:ascii="Arial" w:cs="Arial" w:eastAsia="Arial" w:hAnsi="Arial"/>
          <w:sz w:val="16"/>
          <w:szCs w:val="16"/>
          <w:color w:val="auto"/>
        </w:rPr>
        <w:t>Includes 1,160 RSUs granted to Mr. Polistina on October 1, 2014 (which vested quarterly in equal installments on October 1, 2014, January 1, 2015, April 1, 2015, and July 1, 2015) and 149 RSUs granted on April 1, 2015 (which vested in full on October 1, 2015) under the the 2011 Plan representing the equity portion of his annual director compensation, and grants of 1,160 RSUs on October 1, 2014 in lieu of the cash portion of</w:t>
      </w:r>
    </w:p>
    <w:p>
      <w:pPr>
        <w:spacing w:after="0" w:line="2" w:lineRule="exact"/>
        <w:rPr>
          <w:rFonts w:ascii="Arial" w:cs="Arial" w:eastAsia="Arial" w:hAnsi="Arial"/>
          <w:sz w:val="14"/>
          <w:szCs w:val="14"/>
          <w:color w:val="auto"/>
        </w:rPr>
      </w:pPr>
    </w:p>
    <w:p>
      <w:pPr>
        <w:ind w:left="460" w:right="20"/>
        <w:spacing w:after="0" w:line="261" w:lineRule="auto"/>
        <w:rPr>
          <w:rFonts w:ascii="Arial" w:cs="Arial" w:eastAsia="Arial" w:hAnsi="Arial"/>
          <w:sz w:val="14"/>
          <w:szCs w:val="14"/>
          <w:color w:val="auto"/>
        </w:rPr>
      </w:pPr>
      <w:r>
        <w:rPr>
          <w:rFonts w:ascii="Arial" w:cs="Arial" w:eastAsia="Arial" w:hAnsi="Arial"/>
          <w:sz w:val="18"/>
          <w:szCs w:val="18"/>
          <w:color w:val="auto"/>
        </w:rPr>
        <w:t>Mr. Polistina’s annual director compensation (which vested in full on October 1, 2015). As of September 30, 2015, Mr. Polistina held 1,309 outstanding unvested RSUs.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5"/>
          <w:szCs w:val="15"/>
          <w:color w:val="auto"/>
        </w:rPr>
      </w:pPr>
      <w:r>
        <w:rPr>
          <w:rFonts w:ascii="Arial" w:cs="Arial" w:eastAsia="Arial" w:hAnsi="Arial"/>
          <w:sz w:val="18"/>
          <w:szCs w:val="18"/>
          <w:color w:val="auto"/>
        </w:rPr>
        <w:t>Represents dividends paid on RSUs held by Mr. Polistina which were not factored into the grant date fair value of the RSUs.</w:t>
      </w:r>
    </w:p>
    <w:p>
      <w:pPr>
        <w:spacing w:after="0" w:line="22" w:lineRule="exact"/>
        <w:rPr>
          <w:rFonts w:ascii="Arial" w:cs="Arial" w:eastAsia="Arial" w:hAnsi="Arial"/>
          <w:sz w:val="15"/>
          <w:szCs w:val="15"/>
          <w:color w:val="auto"/>
        </w:rPr>
      </w:pPr>
    </w:p>
    <w:p>
      <w:pPr>
        <w:ind w:left="460" w:right="40" w:hanging="452"/>
        <w:spacing w:after="0" w:line="250"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8"/>
          <w:szCs w:val="18"/>
          <w:color w:val="auto"/>
        </w:rPr>
        <w:t>Includes 1,160 RSUs granted to Mr. Rovit on October 1, 2014 and 149 RSUs granted on April 1, 2015 under the 2011 Plan representing the equity portion of his annual director compensation (which each vested in full on October 1, 2015), and grants of 1,160 RSUs on October 1, 2014 in lieu of the cash portion of Mr. Rovit’s annual director compensation (which vested in full on October 1, 2015). As of September 30, 2015, Mr. Rovit held 2,469 outstanding unvested RSUs.</w:t>
      </w:r>
    </w:p>
    <w:p>
      <w:pPr>
        <w:spacing w:after="0" w:line="1" w:lineRule="exact"/>
        <w:rPr>
          <w:rFonts w:ascii="Arial" w:cs="Arial" w:eastAsia="Arial" w:hAnsi="Arial"/>
          <w:sz w:val="15"/>
          <w:szCs w:val="15"/>
          <w:color w:val="auto"/>
        </w:rPr>
      </w:pPr>
    </w:p>
    <w:p>
      <w:pPr>
        <w:ind w:left="460" w:hanging="452"/>
        <w:spacing w:after="0" w:line="251"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8"/>
          <w:szCs w:val="18"/>
          <w:color w:val="auto"/>
        </w:rPr>
        <w:t>Includes dividends paid on RSUs held by Mr. Rovit ($1,769) which were not factored into the grant date fair value of the RSUs, and reimbursements of travel expenses for board of directors meetings ($339).</w:t>
      </w:r>
    </w:p>
    <w:p>
      <w:pPr>
        <w:ind w:left="460" w:right="60" w:hanging="452"/>
        <w:spacing w:after="0" w:line="273" w:lineRule="auto"/>
        <w:tabs>
          <w:tab w:leader="none" w:pos="460" w:val="left"/>
        </w:tabs>
        <w:numPr>
          <w:ilvl w:val="0"/>
          <w:numId w:val="92"/>
        </w:numPr>
        <w:rPr>
          <w:rFonts w:ascii="Arial" w:cs="Arial" w:eastAsia="Arial" w:hAnsi="Arial"/>
          <w:sz w:val="14"/>
          <w:szCs w:val="14"/>
          <w:color w:val="auto"/>
        </w:rPr>
      </w:pPr>
      <w:r>
        <w:rPr>
          <w:rFonts w:ascii="Arial" w:cs="Arial" w:eastAsia="Arial" w:hAnsi="Arial"/>
          <w:sz w:val="17"/>
          <w:szCs w:val="17"/>
          <w:color w:val="auto"/>
        </w:rPr>
        <w:t>Includes 1,503 RSUs granted to Mr. Steinberg on September 25, 2015 under the 2011 Plan representing a combined pro-rata equity portion of his annual director compensation and pro-rata in lieu of cash portion of Mr. Steinberg’s annual director compensation for Fiscal 2015 (which vested in full on October 1, 2015). The pro-rata calculation was based on the number of days of service as a director by Mr. Steinberg during the fiscal year, following his election to the board of directors. As of September 30, 2015, Mr. Steinberg held 1,503 outstanding unvested RSUs.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All of Spectrum’s issued and outstanding common stock is held by SB/RH Holdings, our direct parent and a wholly owned subsidiary of SB Holdings. 130</w:t>
      </w:r>
    </w:p>
    <w:p>
      <w:pPr>
        <w:sectPr>
          <w:pgSz w:w="11900" w:h="16838" w:orient="portrait"/>
          <w:cols w:equalWidth="0" w:num="1">
            <w:col w:w="11320"/>
          </w:cols>
          <w:pgMar w:left="24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 xml:space="preserve">SB Holdings’ policies and procedures for review and approval of related-person transactions (which is applicable to Spectrum Brands) appear in the Code of Ethics for the Principal Executive Officer and Senior Financial Officers and the Spectrum Brands Code of Business Conduct and Ethics, each of which is posted on our website at </w:t>
      </w:r>
      <w:r>
        <w:rPr>
          <w:rFonts w:ascii="Arial" w:cs="Arial" w:eastAsia="Arial" w:hAnsi="Arial"/>
          <w:sz w:val="17"/>
          <w:szCs w:val="17"/>
          <w:i w:val="1"/>
          <w:iCs w:val="1"/>
          <w:color w:val="auto"/>
        </w:rPr>
        <w:t>www.spectrumbrands.com</w:t>
      </w:r>
      <w:r>
        <w:rPr>
          <w:rFonts w:ascii="Arial" w:cs="Arial" w:eastAsia="Arial" w:hAnsi="Arial"/>
          <w:sz w:val="17"/>
          <w:szCs w:val="17"/>
          <w:color w:val="auto"/>
        </w:rPr>
        <w:t xml:space="preserve"> under “Investor Relations—Corporate Governance.” Information contained on or accessible through our website is not part of, and is not incorporated by reference into, this prospectus.</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All of SB Holdings’ executive officers, directors, and employees are required to disclose to SB Holdings’ General Counsel all transactions which involve any actual, potential, or suspected activity or personal interest that creates or appears to create a conflict between the interests of SB Holdings and the interests of their executive officers, directors, or employees. In cases involving executive officers, directors, or senior-level management, SB Holdings’ General Counsel will investigate the proposed transaction for potential conflicts of interest and then refer the matter to SB Holdings’ Audit Committee to make a full review and determination. In cases involving other employees, SB Holdings’ General Counsel, in conjunction with the employee’s regional supervisor and SB Holdings’ Director of Internal Audit, will review the proposed transaction. If they determine that no conflict of interest will result from engaging in the proposed transaction, then they will refer the matter to SB Holdings’ Chief Executive Officer for final approval.</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SB Holdings’ Audit Committee is required to consider all questions of possible conflicts of interest involving executive officers, directors, and senior-level management and to review and approve certain transactions, including all (i) transactions in which a director, executive officer, or an immediate family member of a director or executive officer has an interest, (ii) proposed business relationships between SB Holdings and a director, executive officer, or other member of senior management, (iii) investments by an executive officer in a company that competes with SB Holdings or has an interest in a company that does business with SB Holdings, and (iv) situations where a director or executive officer proposes to be a customer of SB Holdings, be employed by, serve as a director of, or otherwise represent a customer of SB Holdings.</w:t>
      </w:r>
    </w:p>
    <w:p>
      <w:pPr>
        <w:spacing w:after="0" w:line="178"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SB Holdings’ legal department and financial accounting department monitor transactions for an evaluation and determination of potential related person transactions that would need to be disclosed in SB Holdings’ and our periodic reports or proxy materials under generally accepted accounting principles and applicable SEC rules and regulations.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 Agreement and Registration Rights Agreement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16, 2010, SB Holdings completed a merger with Russell Hobbs, Inc. (“Russell Hobbs”) (the “Merger”) pursuant to the Agreement and Plan of Merger, dated as of February 9, 2010, as subsequently amended, by and among SB Holdings, Russell Hobbs, and affiliated parties (the “Merger Agreement”). In connection with the Merger, Harbinger Capital Partners Master Fund I, Ltd., Harbinger Capital Partners Special Situations Fund, L.P. and Global Opportunities Breakaway Ltd. (together the “Harbinger Parties”) and SB Holdings entered into a stockholder agreement, dated February 9, 2010 (the “Stockholder Agreement”), which provides for certain protective provisions in favor of minority stockholders and provides certain rights and imposes certain obligations on the Harbinger Parties, including:</w:t>
      </w:r>
    </w:p>
    <w:p>
      <w:pPr>
        <w:spacing w:after="0" w:line="99" w:lineRule="exact"/>
        <w:rPr>
          <w:sz w:val="20"/>
          <w:szCs w:val="20"/>
          <w:color w:val="auto"/>
        </w:rPr>
      </w:pPr>
    </w:p>
    <w:p>
      <w:pPr>
        <w:jc w:val="both"/>
        <w:ind w:left="900" w:right="300" w:hanging="446"/>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so long as the Harbinger Parties and their affiliates beneficially own 40% or more of the outstanding voting securities of SB Holdings, the Harbinger Parties and SB Holdings will cooperate to ensure, to the greatest extent possible, the continuation of the structure of SB Holdings’ board of directors as described in the Stockholder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308"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Harbinger Parties will not effect any transfer of equity securities of SB Holdings to any person that would result in such person and its affiliates owning 40% or more of the outstanding voting securities of SB Holdings, unless specified conditions are met;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Harbinger Parties will be granted certain access and informational rights with respect to SB Holdings and its subsidiaries.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joinder to the Stockholder Agreement entered into by the Harbinger Parties and HRG, upon consummation of the previously disclosed share exchange between the Harbinger Parties and HRG on January 7, 2011 (such transaction, the “Share Exchange”), HRG became a party to the Stockholder Agreement, and is subject to all of the covenants, terms and conditions of the Stockholder Agreement to the same extent as the Harbinger Parties were bound thereunder prior to giving effect to the Share Exchange.</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Certain provisions of the Stockholder Agreement terminate on the date on which the Harbinger Parties or HRG no longer constitutes a Significant Stockholder (as defined in the Stockholder Agreement). The Stockholder Agreement terminates when any person (including the Harbinger Parties or HRG) acquires 90% or more of the outstanding voting securities of SB Holdings.</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Also in connection with the Merger, the Harbinger Parties and SB Holdings entered into a registration rights agreement, dated as of February 9, 2010 (the “SB Holdings Registration Rights Agreement”), pursuant to which the Harbinger Parties have, among other things and subject to the terms and conditions set forth therein, certain demand and so-called “piggy back” registration rights with respect to their shares of SB Holdings’ common stock. On September 10, 2010, the Harbinger Parties and HRG entered into a joinder to the SB Holdings Registration Rights Agreement, pursuant to which, effective upon the consummation of the Share Exchange, HRG became a party to the SB Holdings Registration Rights Agreement, entitled to the rights and subject to the obligations of a holder thereunder.</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Arrangement with HRG Relating to Executives’ Tax Withholding Obligations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end of Fiscal 2015, HRG entered into purchase agreements with three named executive officers of SB Holdings, pursuant to which, upon the vesting of an executive’s stock awards granted by SB Holdings, HRG would agree to purchase from the executive, in a private sale, that certain number of shares of SB Holdings’ common stock corresponding to the executive’s tax withholding obligation resulting from the vesting of the award. In each case, the executive used the proceeds of the sales to satisfy the tax withholding obligations. As of the date of this prospectus, HRG has made the following purchases from SB Holdings’ executives under this arrangement: (i) 10,481 shares from Mr. Fagre on December 1, 2015 at a price per share of $95.25 (for an aggregate purchase price of $998,315); (ii) 19,324 shares from Mr. Rouvé on December 1, 2015 at a price per share of $95.25 (for an aggregate purchase price of $1,840,611); and (iii) 3,368 shares from Ms. Neu on December 1, 2015 at a price per share of $95.25 (for an aggregate purchase price of $320,802).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Board of Directors of SB Holdings has affirmatively determined that none of the following directors has a material relationship with SB Holdings (either directly or as a partner, stockholder, or officer of an organization that has a relationship with the Company): Norman S. Matthews, Eugene I. Davis, Kenneth C. Ambrecht, and Hugh R. Rovit. The Board of Directors of SB Holdings has adopted the definition of “independent director” set forth under Section 303A.02 of the NYSE Listed Company Manual to assist it in making determinations of independence. The Board of Directors of SB Holdings has determined that the directors referred to above currently meet these standards and qualify as independent. The Board of Directors of SB Holdings has made no determination with respect to the remaining directors.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OTHER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June 23, 2015, we entered into the Credit Agreement by and among Spectrum Brands, SB/RH Holdings, Deutsche Bank AG New York Branch, as administrative agent, and the lenders party thereto from time to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terms of the Credit Agreement allows Spectrum Brands and certain of its subsidiaries, subject to certain conditions, to increase the amount of the commitment thereunder by an aggregate incremental amount not to exceed at the time of incurrence the sum of (x) $900 million plus (y) all voluntary prepayments (unless funded by a contemporaneous refinancing or new long-term indebtedness) of the New Credit Facilities. Incremental amounts may be incurred in reliance on the basket in clause (x) or clause (y) plus (z) additional amounts so long as on the date of incurrence thereof (or, at our option, on the date of establishment of the commitments in respect thereof), the First Lien Leverage Ratio (as defined in the Credit Agreement) on a pro forma basis would not exceed 3.25:1.00. As of the date hereof, no such incremental amounts have been committed to by any lender.</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Obligations under the Credit Agreement and, at our option, under certain interest rate protection or other hedging arrangements and certain cash management arrangements (collectively, the “Secured Obligations”) are guaranteed by SB/RH Holdings and the direct and indirect wholly-owned domestic subsidiaries of SB/RH Holdings, other than Spectrum Brands (the “Subsidiary Guarantors”), subject to certain exceptions, pursuant to the Loan Guaranty, dated as of June 23, 2015, by and among SB/RH Holdings, the subsidiary guarantors party thereto from time to time and Deutsche Bank AG New York Branch, as administrative agent and collateral agent (the “Loan Guaranty”). The Secured Obligations are secured by first-priority liens on substantially all of the assets of Spectrum Brands and the Subsidiary Guarantors and on the equity interests of Spectrum Brands directly held by SB/RH Holdings pursuant to the Security Agreement, dated as of June 23, 2015, by and among Spectrum Brands, SB/RH Holdings, the subsidiary guarantors party thereto from time to time and Deutsche Bank AG New York Branch, as collateral agent (the “Security Agreement”).</w:t>
      </w:r>
    </w:p>
    <w:p>
      <w:pPr>
        <w:spacing w:after="0" w:line="17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All outstanding amounts under the USD Term Loan Facility (if funded in U.S. dollars) will bear interest, at Spectrum’s option, at a rate per annum equal to (x) the LIBO rate with a 0.75% floor, adjusted for statutory reserves, plus a margin equal to 3.00% or (y) the Alternate Base Rate (as defined in the Credit Agreement), plus a margin equal to 2.00%, which margins may be reduced by 0.25% based on achieving a certain First Lien Leverage Ratio specified in the Credit Agreement. The Euro Term Loan Facility (if funded in Euros) will bear interest at a rate per annum equal to the EURIBOR Rate (as defined in the Credit Agreement) with a 0.75% per annum floor, plus a margin equal to 2.75% per annum. The CAD Term Loan Facility (if funded in Canadian dollars) will bear interest, at Spectrum’s option, at a rate per annum equal to (x) the BA Rate (as defined in the Credit Agreement) with a 0.75% floor, plus a margin equal to 3.50% or (y) the Canadian Base Rate (as defined in the Credit Agreement), plus a margin equal to 2.50%. The Term Credit Facilities will mature on the seventh anniversary of June 23, 2015.</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All outstanding amounts under the Revolving Credit Facility (if funded in U.S. dollars) will bear interest, at Spectrum’s option, at a rate per annum equal to (x) the LIBO rate with a 0.75% floor, adjusted for statutory reserves, plus a margin equal to 3.00% or (y) the Alternate Base Rate (as defined in the Credit Agreement), plus a margin equal to 2.00%, which margins may be reduced by 0.25% based on achieving a certain First Lien Leverage Ratio specified in the Credit Agreement. The Revolving Credit Facility (if funded in Euros) will bear interest at a rate per annum equal to the EURIBOR Rate (as defined in the Credit Agreement) with a 0.75% per annum floor, plus a margin equal to 2.75% per annum, which margin may be reduced by 0.25% based on achieving a certain First Lien Leverage Ratio specified in the Credit Agreement. The Revolving Credit Facility (if funded in Canadian dollars) will bear interest, at Spectrum’s option, at a rate per annum equal to (x) the BA Rate (as defined in the Credit Agreement) with a 0.75% floor, plus a margin equal to 3.50% or (y) the Canadian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Base Rate (as defined in the Credit Agreement), plus a margin equal to 2.50%, which margins may be reduced by 0.25% based on achieving a certain First Lien Leverage Ratio specified in the Credit Agreement. The Revolving Credit Facility will mature on the fifth anniversary of June 23, 2015.</w:t>
      </w:r>
    </w:p>
    <w:p>
      <w:pPr>
        <w:spacing w:after="0" w:line="12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Subject to certain exceptions, the Credit Agreement requires mandatory prepayments, in amounts equal to (i) 50% (reduced to 25% and 0% upon the achievement of certain specified First Lien Leverage Ratio) of excess cash flow (as defined in the Credit Agreement), at the end of each fiscal year commencing with the fiscal year ending September 30, 2016, (ii) 100% of the net cash proceeds from certain asset sales by Spectrum Brands or any of its restricted subsidiaries and certain casualty and condemnation events (subject to certain exceptions and reinvestment rights) and (iii) 100% of the net cash proceeds from the issuance or incurrence after June 23, 2015 of any additional debt by Spectrum Brands or any of its restricted subsidiaries excluding debt permitted under the Credit Agreement except for permitted refinancing indebtedness.</w:t>
      </w:r>
    </w:p>
    <w:p>
      <w:pPr>
        <w:spacing w:after="0" w:line="17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Voluntary prepayments of borrowings under the Credit Agreement are permitted at any time, in agreed-upon minimum principal amounts. There is a prepayment fee equal to 1.00% of the principal amount of the loans under any New Term Loan Facility optionally prepaid with the proceeds of lower cost debt on or prior to the date that is six months following June 23, 2015. Prepayment made after such date will not be subject to premium or penalty (except customary LIBOR breakage costs, if applicable).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24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2020/2022 NOTES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this Description of 2020/2022 Notes, (i) “Spectrum Brands” refers to Spectrum Brands, Inc. (“Spectrum”) and any successor obligor on the 2020/2022 notes and not to any of its subsidiaries, affiliates or direct or indirect parent companies and (ii) the terms “we,” “our” and “us” refer to Spectrum and the Guarantors. You can find the definitions of certain terms used in this description under “—Certain Definitions.”</w:t>
      </w:r>
    </w:p>
    <w:p>
      <w:pPr>
        <w:spacing w:after="0" w:line="18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Spectrum Brands issued $520.0 million aggregate principal amount of 2020 notes and $570.0 million aggregate principal amount of 2022 notes under the 2020/2022 indenture between Spectrum Brands Escrow Corp. (“Escrow Corp</w:t>
      </w:r>
      <w:r>
        <w:rPr>
          <w:rFonts w:ascii="Arial" w:cs="Arial" w:eastAsia="Arial" w:hAnsi="Arial"/>
          <w:sz w:val="16"/>
          <w:szCs w:val="16"/>
          <w:i w:val="1"/>
          <w:iCs w:val="1"/>
          <w:color w:val="auto"/>
        </w:rPr>
        <w:t>.</w:t>
      </w:r>
      <w:r>
        <w:rPr>
          <w:rFonts w:ascii="Arial" w:cs="Arial" w:eastAsia="Arial" w:hAnsi="Arial"/>
          <w:sz w:val="16"/>
          <w:szCs w:val="16"/>
          <w:color w:val="auto"/>
        </w:rPr>
        <w:t>”) and U.S. Bank National Association, as Trustee, as supplemented by:</w:t>
      </w:r>
    </w:p>
    <w:p>
      <w:pPr>
        <w:ind w:right="60" w:firstLine="8"/>
        <w:spacing w:after="0" w:line="255" w:lineRule="auto"/>
        <w:tabs>
          <w:tab w:leader="none" w:pos="2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first supplemental indenture dated as of December 17, 2012, pursuant to which Spectrum Brands, Inc. assumed Escrow Corp.’s obligations under the 2020/2022 notes; and (ii) the second, third, fourth, and fifth supplemental indentures dated March 5, 2014, October 16, 2014, February 24, 2015 and June 23, 2015, respectively, pursuant to which certain Guarantors agreed to Guarantee the 2020/2022 notes.</w:t>
      </w:r>
    </w:p>
    <w:p>
      <w:pPr>
        <w:spacing w:after="0" w:line="19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following is a summary of the material provisions of the 2020/2022 indenture. Because this is a summary, it may not contain all the information that is important to you. You should read the 2020/2022 indenture in its entirety because it, and not this description, defines your rights as holders of the 2020/2022 notes. Copies of the 2020/2022 indenture are available at the address described under “Where You Can Find More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2020/2022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2020/2022 notes will:</w:t>
      </w:r>
    </w:p>
    <w:p>
      <w:pPr>
        <w:spacing w:after="0" w:line="131" w:lineRule="exact"/>
        <w:rPr>
          <w:sz w:val="20"/>
          <w:szCs w:val="20"/>
          <w:color w:val="auto"/>
        </w:rPr>
      </w:pPr>
    </w:p>
    <w:p>
      <w:pPr>
        <w:ind w:left="900" w:right="14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 general unsecured obligations of Spectrum, ranking equally in right of payment with all existing and future unsecured senior Indebtedness of Spectrum;</w:t>
      </w:r>
    </w:p>
    <w:p>
      <w:pPr>
        <w:spacing w:after="0" w:line="75"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 guaranteed by Spectrum’s direct parent, SB/RH Holdings, LLC (“Holdings”), and each of Spectrum’s existing and future Domestic Subsidiaries, which guaranty in each case shall be a senior unsecured obligation of such Guarantor, ranking equally in right of payment with all existing and future senior Indebtedness of such Guarantor;</w:t>
      </w:r>
    </w:p>
    <w:p>
      <w:pPr>
        <w:spacing w:after="0" w:line="86"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rank senior in right of payment to all of Spectrum’s and the Guarantors’ existing and future Indebtedness that expressly provides for its subordination to the 2020/2022 notes and the Note Guarantees;</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be effectively subordinated to any secured Indebtedness of Spectrum, including all Indebtedness under the Term Loan Agreement, the Revolving Credit Agreement and the Existing Senior Secured Notes, to the extent of the value of the assets securing such Indebtedness;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be structurally subordinated to all Indebtedness and other liabilities of Spectrum’s subsidiaries that do not guarantee the 2020/2022 notes.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2020 notes will mature on November 15, 2020. The 2022 notes will mature on November 15, 2022. Spectrum Brands will pay interest on the 2020 notes semi-annually in arrears on May 15 and November 15 of each year to holders of record on the immediately preceding May 1 and November 1. Spectrum Brands will pay interest on the 2022 notes semi-annually in arrears on May 15 and November 15 of each year to holders of record on the immediately preceding May 1 and November 1. Interest on the 2020/2022 notes will accrue from the most recent date to which interest has been paid. Interest will be computed on the basis of a 360-day year comprised of twelve 30-day months.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2020 notes and the 2022 notes will be two separate series of notes under the 2020/2022 indenture for purposes of, among other things, payments of principal and interest, Events of Default and consents to amendments to the 2020/2022 indenture and the 2020/2022 notes. All 2020 notes will vote together as a single class for all purposes of the 2020/2022 indenture and will vote together as one class on all matters with respect to the 2020 notes. All 2022 notes will vote together as a single class for all purposes of the 2020/2022 indenture and will vote together as one class on all matters with respect to the 2022 notes.</w:t>
      </w:r>
    </w:p>
    <w:p>
      <w:pPr>
        <w:spacing w:after="0" w:line="15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Spectrum Brands will pay interest on overdue principal of the 2020/2022 notes of either series at a rate equal to 1.0% per annum in excess of the rate per annum set forth on the cover of this prospectus and will pay interest on overdue installments of interest at such higher rate, in each case to the extent lawful.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the covenants described below, Spectrum Brands may issue additional 2020/2022 notes of either or both series (“Additional Notes”) under the 2020/2022 indenture in an unlimited aggregate principal amount, having the same terms in all respects as that series of 2020/2022 notes, or in all respects except with respect to issue price and interest accrued on or prior to the issue date thereof.</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To the extent required by applicable tax regulations, if Additional Notes of a series are not fungible with other 2020/2022 notes of such series, the Additional Notes may trade under a separate CUSIP number and may be treated as a separate class for purposes of transfer and exchange. Nevertheless, each series of 2020/2022 notes offered hereby and any Additional Notes of such series may, at our election, be treated as a single class for all purposes under the 2020/2022 indenture and vote together as one class on all matters with respect to the 2020/2022 notes of such series.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2020/2022 Notes</w:t>
      </w:r>
    </w:p>
    <w:p>
      <w:pPr>
        <w:spacing w:after="0" w:line="121" w:lineRule="exact"/>
        <w:rPr>
          <w:sz w:val="20"/>
          <w:szCs w:val="20"/>
          <w:color w:val="auto"/>
        </w:rPr>
      </w:pPr>
    </w:p>
    <w:p>
      <w:pPr>
        <w:ind w:right="460" w:firstLine="456"/>
        <w:spacing w:after="0" w:line="279" w:lineRule="auto"/>
        <w:rPr>
          <w:sz w:val="20"/>
          <w:szCs w:val="20"/>
          <w:color w:val="auto"/>
        </w:rPr>
      </w:pPr>
      <w:r>
        <w:rPr>
          <w:rFonts w:ascii="Arial" w:cs="Arial" w:eastAsia="Arial" w:hAnsi="Arial"/>
          <w:sz w:val="17"/>
          <w:szCs w:val="17"/>
          <w:color w:val="auto"/>
        </w:rPr>
        <w:t>If a Holder has given wire transfer instructions to Spectrum Brands at least ten Business Days prior to the applicable payment or redemption date, Spectrum Brands will pay all principal, interest and premium, if any, on that Holder’s 2020/2022 notes in accordance with those instructions. All other payments on 2020/2022 notes will be made at the office or agency of the Paying Agent and Registrar unless Spectrum Brands elects to make interest payments by check mailed to the Holders at their addresses set forth in the register of Holders.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2020/2022 Notes</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Trustee is acting as Paying Agent and Registrar. Under the 2020/2022 indenture, Spectrum Brands reserves the right to change the Paying Agent or Registrar without prior notice to the Holders, and Spectrum Brands or any of its Subsidiaries may act as Paying Agent or Registrar.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 Holder may transfer or exchange 2020/2022 notes in accordance with the 2020/2022 indenture. The Registrar and the Trustee may require a Holder, among other things, to furnish appropriate endorsements and transfer documents and Spectrum Brands may require a Holder to pay any taxes and fees required by law or permitted by the 2020/2022 indenture. Spectrum Brands is not required to transfer or exchange any 2020/2022 note selected for redemption. Also, Spectrum Brands is not required to transfer or exchange any 2020/2022 note for a period of 15 days before a selection of the 2020/2022 notes to be redeemed.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2020/2022 note will be treated as the owner of such 2020/2022 note for all purposes.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Spectrum Brands’ obligations under the 2020/2022 notes and the 2020/2022 indenture will be guaranteed, jointly and severally, on a senior unsecured basis, by Holdings and all of the Domestic Subsidiaries of Spectrum. Each Note Guarantee will:</w:t>
      </w:r>
    </w:p>
    <w:p>
      <w:pPr>
        <w:spacing w:after="0" w:line="76"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 a general, unsecured obligation of the Guarantor;</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rank equally in right of payment with all existing and future unsecured senior Indebtedness of the Guarantor, including the guaranty of the Existing Senior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rank senior in right of payment to all existing and any future subordinated Indebtedness of the Guarantor;</w:t>
      </w:r>
    </w:p>
    <w:p>
      <w:pPr>
        <w:spacing w:after="0" w:line="130"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 effectively subordinated to any secured Indebtedness of the Guarantor, including all Indebtedness of each Guarantor under the Term Loan Agreement, the Revolving Credit Agreement and the Existing Senior Secured Notes, to the extent of the value of the assets securing such Indebtedness;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be structurally subordinated to all Indebtedness and other liabilities of any of Spectrum’s subsidiaries that do not guarantee the 2020/2022 notes.</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2020/2022 indenture will provide that the obligations of each Guarantor under its Note Guarantee will be limited as necessary to prevent that Note Guarantee from constituting a fraudulent conveyance under applicable law. If Spectrum Brands or any of its Restricted Subsidiaries acquires or creates another Domestic Subsidiary, then that newly acquired or created Domestic Subsidiary must become a Guarantor, execute a supplemental indenture and deliver an Opinion of Counsel to the Trustee.</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None of Spectrum’s Foreign Subsidiaries will guarantee the 2020/2022 notes. Spectrum’s Subsidiaries that will not be guaranteeing the 2020/2022 notes had, as of September 30, 2015, approximately 19% of total liabilities and generated 54% of Spectrum’s revenue for the twelve month period ended September 30, 2015. See “Risk Factors—Risks Related to the Notes—The notes will be effectively subordinated to all liabilities of, and claims of creditors of, all of our foreign subsidiaries.” Under the circumstances described below under the caption “—Certain Covenants—Designation of Restricted and Unrestricted Subsidiaries,” we will be permitted to designate certain of our Subsidiaries as “Unrestricted Subsidiaries.” Spectrum’s Unrestricted Subsidiaries will not be subject to the restrictive covenants in the 2020/2022 indenture and will not guarantee the 2020/2022 notes.</w:t>
      </w:r>
    </w:p>
    <w:p>
      <w:pPr>
        <w:spacing w:after="0" w:line="283" w:lineRule="exact"/>
        <w:rPr>
          <w:sz w:val="20"/>
          <w:szCs w:val="20"/>
          <w:color w:val="auto"/>
        </w:rPr>
      </w:pPr>
    </w:p>
    <w:p>
      <w:pPr>
        <w:jc w:val="center"/>
        <w:ind w:right="9660"/>
        <w:spacing w:after="0"/>
        <w:rPr>
          <w:sz w:val="20"/>
          <w:szCs w:val="20"/>
          <w:color w:val="auto"/>
        </w:rPr>
      </w:pPr>
      <w:r>
        <w:rPr>
          <w:rFonts w:ascii="Arial" w:cs="Arial" w:eastAsia="Arial" w:hAnsi="Arial"/>
          <w:sz w:val="16"/>
          <w:szCs w:val="16"/>
          <w:b w:val="1"/>
          <w:bCs w:val="1"/>
          <w:color w:val="auto"/>
        </w:rPr>
        <w:t>Optional Redemption</w:t>
      </w:r>
    </w:p>
    <w:p>
      <w:pPr>
        <w:spacing w:after="0" w:line="144" w:lineRule="exact"/>
        <w:rPr>
          <w:sz w:val="20"/>
          <w:szCs w:val="20"/>
          <w:color w:val="auto"/>
        </w:rPr>
      </w:pPr>
    </w:p>
    <w:p>
      <w:pPr>
        <w:jc w:val="center"/>
        <w:ind w:right="9640"/>
        <w:spacing w:after="0"/>
        <w:rPr>
          <w:sz w:val="20"/>
          <w:szCs w:val="20"/>
          <w:color w:val="auto"/>
        </w:rPr>
      </w:pPr>
      <w:r>
        <w:rPr>
          <w:rFonts w:ascii="Arial" w:cs="Arial" w:eastAsia="Arial" w:hAnsi="Arial"/>
          <w:sz w:val="18"/>
          <w:szCs w:val="18"/>
          <w:i w:val="1"/>
          <w:iCs w:val="1"/>
          <w:color w:val="auto"/>
        </w:rPr>
        <w:t>2020 notes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At any time prior to November 15, 2016, Spectrum Brands may redeem the 2020 notes at its option, in whole at any time or in part from time to time, at a redemption price equal to 100% of the principal amount of 2020 notes redeemed plus the Applicable Premium as of, and accrued and unpaid interest, if any, to, the applicable redemption date.</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At any time on or after November 15, 2016, Spectrum Brands may redeem all or a part of the 2020 notes, from time to time, upon not less than 30 nor more than 60 days’ notice, at the redemption prices (expressed as percentages of principal amount) set forth below plus accrued and unpaid interest, if any, to the applicable redemption date, in cash, if redeemed during the twelve-month period beginning on November 15 in the years indicated below:</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226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2016</w:t>
            </w:r>
          </w:p>
        </w:tc>
        <w:tc>
          <w:tcPr>
            <w:tcW w:w="22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103.1875%</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2017</w:t>
            </w:r>
          </w:p>
        </w:tc>
        <w:tc>
          <w:tcPr>
            <w:tcW w:w="5200" w:type="dxa"/>
            <w:vAlign w:val="bottom"/>
            <w:gridSpan w:val="3"/>
          </w:tcPr>
          <w:p>
            <w:pPr>
              <w:jc w:val="right"/>
              <w:ind w:right="60"/>
              <w:spacing w:after="0"/>
              <w:rPr>
                <w:sz w:val="20"/>
                <w:szCs w:val="20"/>
                <w:color w:val="auto"/>
              </w:rPr>
            </w:pPr>
            <w:r>
              <w:rPr>
                <w:rFonts w:ascii="Arial" w:cs="Arial" w:eastAsia="Arial" w:hAnsi="Arial"/>
                <w:sz w:val="18"/>
                <w:szCs w:val="18"/>
                <w:color w:val="auto"/>
              </w:rPr>
              <w:t>101.5938%</w:t>
            </w: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5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w:t>
            </w:r>
          </w:p>
        </w:tc>
      </w:tr>
      <w:tr>
        <w:trPr>
          <w:trHeight w:val="365"/>
        </w:trPr>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60" w:type="dxa"/>
            <w:vAlign w:val="bottom"/>
          </w:tcPr>
          <w:p>
            <w:pPr>
              <w:jc w:val="right"/>
              <w:ind w:right="2730"/>
              <w:spacing w:after="0"/>
              <w:rPr>
                <w:sz w:val="20"/>
                <w:szCs w:val="20"/>
                <w:color w:val="auto"/>
              </w:rPr>
            </w:pPr>
            <w:r>
              <w:rPr>
                <w:rFonts w:ascii="Arial" w:cs="Arial" w:eastAsia="Arial" w:hAnsi="Arial"/>
                <w:sz w:val="18"/>
                <w:szCs w:val="18"/>
                <w:color w:val="auto"/>
              </w:rPr>
              <w:t>137</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2022 notes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At any time prior to November 15, 2017, Spectrum Brands may redeem the 2022 notes at its option, in whole at any time or in part from time to time, at a redemption price equal to 100% of the principal amount of 2022 notes redeemed plus the Applicable Premium as of, and accrued and unpaid interest, if any, to, the applicable redemption date.</w:t>
      </w:r>
    </w:p>
    <w:p>
      <w:pPr>
        <w:spacing w:after="0" w:line="18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At any time on or after November 15, 2017, Spectrum Brands may redeem all or a part of the 2022 notes, from time to time, upon not less than 30 nor more than 60 days’ notice, at the redemption prices (expressed as percentages of principal amount) set forth below plus accrued and unpaid interest, if any, to the applicable redemption date, in cash, if redeemed during the twelve-month period beginning on November 15 in the years indicated below:</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65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2017</w:t>
            </w:r>
          </w:p>
        </w:tc>
        <w:tc>
          <w:tcPr>
            <w:tcW w:w="6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103.3125%</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2018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102.2083%</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101.1042%</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2020 and thereafter</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less than all of the 2020/2022 notes of a series are to be redeemed at any time, the Trustee will select 2020/2022 notes of that series for redemption as follows:</w:t>
      </w:r>
    </w:p>
    <w:p>
      <w:pPr>
        <w:spacing w:after="0" w:line="62" w:lineRule="exact"/>
        <w:rPr>
          <w:sz w:val="20"/>
          <w:szCs w:val="20"/>
          <w:color w:val="auto"/>
        </w:rPr>
      </w:pPr>
    </w:p>
    <w:p>
      <w:pPr>
        <w:ind w:left="460" w:right="200" w:firstLine="443"/>
        <w:spacing w:after="0" w:line="27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2020/2022 notes are listed, in compliance with the requirements of the principal national securities exchange on which the 2020/2022 notes are listed;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the 2020/2022 notes are not so listed, on a pro rata basis, by lot or by such method as the Trustee shall deem fair and appropriate.</w:t>
      </w:r>
    </w:p>
    <w:p>
      <w:pPr>
        <w:spacing w:after="0" w:line="23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No 2020/2022 notes of less than $2,000 shall be redeemed in part. Notices of redemption shall be mailed by first class mail at least 30 but not more than 60 days before the redemption date to each Holder of the 2020/2022 notes to be redeemed at its registered address, except that redemption notices may be mailed more than 60 days prior to the redemption date if the notice is issued in connection with the defeasance of the 2020/2022 notes or a satisfaction and discharge of the 2020/2022 indenture. Other than in connection with Equity Offerings as described above, notices of redemption may not be conditional.</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any 2020/2022 note is to be redeemed in part only, the notice of redemption that relates to that 2020/2022 note shall state the portion of the principal amount thereof to be redeemed. A new 2020/2022 note in principal amount equal to the unredeemed portion of the original 2020/2022 note will be issued in the name of the Holder thereof upon cancellation of the original 2020/2022 note. The 2020/2022 notes called for redemption become due on the date fixed for redemption. On and after the redemption date, interest ceases to accrue on the 2020/2022 notes or portions of them called for redemption.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Open Market Purchases and Other Purchases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Spectrum Brands is not required to make mandatory redemption or sinking fund payments with respect to the 2020/2022 notes.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From time to time, Spectrum Brands, its Restricted Subsidiaries, its direct or indirect parents or its Affiliates may acquire any series of 2020/2022 notes through open market purchases, privately negotiated transactions, tender offers, exchange offers, redemptions or otherwise, upon such terms and at such prices as Spectrum Brands, its Restricted Subsidiaries, its direct or indirect parents or its Affiliates (as applicable) may determine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may be provided for in the 2020/2022 indenture), which may be more or less than the consideration for which such series of 2020/2022 notes are being sold and may be less than the redemption price in effect and could be for cash or other consideration, in accordance with applicable securities laws, so long as such acquisition does not otherwise violate the terms of the 2020/2022 indenture. There can be no assurance as to which, if any, of these alternatives or combinations thereof Spectrum Brands, its Restricted Subsidiaries, its direct or indirect parents or its Affiliates may choose to pursue in the future.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of Control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a Change of Control occurs, each Holder of 2020/2022 notes will have the right to require Spectrum Brands to repurchase all or any part (equal to $2,000 or a higher multiple of $1,000) of that Holder’s 2020/2022 notes pursuant to a Change of Control Offer on the terms set forth in the 2020/2022 indenture. In the Change of Control Offer, Spectrum Brands will offer a payment (such payment, a “Change of Control Payment”) in cash equal to 101% of the aggregate principal amount of 2020/2022 notes repurchased, plus accrued and unpaid interest thereon, to the date of purchase. Within 30 days following any Change of Control, Spectrum Brands will mail a notice to each Holder describing the transaction or transactions that constitute the Change of Control and offering to repurchase 2020/2022 notes on the date specified in such notice (the “Change of Control Payment Date”), which date shall be no earlier than 30 days and no later than 60 days from the date such notice is mailed, pursuant to the procedures required by the 2020/2022 indenture and described in such notice. Spectrum Brands will comply with the requirements of Rule 14e-1 under the Exchange Act and any other securities laws and regulations thereunder to the extent such laws and regulations are applicable in connection with the repurchase of the 2020/2022 notes as a result of a Change of Control. To the extent that the provisions of any securities laws or regulations conflict with the Change of Control provisions of the 2020/2022 indenture, Spectrum Brands will comply with the applicable securities laws and regulations and will not be deemed to have breached its obligations under the Change of Control provisions of the 2020/2022 indenture by virtue of such compliance.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or before the Change of Control Payment Date, Spectrum Brands will, to the extent lawful:</w:t>
      </w:r>
    </w:p>
    <w:p>
      <w:pPr>
        <w:spacing w:after="0" w:line="117" w:lineRule="exact"/>
        <w:rPr>
          <w:sz w:val="20"/>
          <w:szCs w:val="20"/>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accept for payment all 2020/2022 notes or portions thereof properly tendered pursuant to the Change of Control Offer;</w:t>
      </w:r>
    </w:p>
    <w:p>
      <w:pPr>
        <w:spacing w:after="0" w:line="117" w:lineRule="exact"/>
        <w:rPr>
          <w:rFonts w:ascii="Arial" w:cs="Arial" w:eastAsia="Arial" w:hAnsi="Arial"/>
          <w:sz w:val="18"/>
          <w:szCs w:val="18"/>
          <w:color w:val="auto"/>
        </w:rPr>
      </w:pPr>
    </w:p>
    <w:p>
      <w:pPr>
        <w:ind w:left="460" w:right="540" w:firstLine="443"/>
        <w:spacing w:after="0" w:line="277"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2020/2022 notes or portions thereof properly tendered; and</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2020/2022 notes so accepted together with an Officers’ Certificate stating the aggregate principal amount of 2020/2022 notes or portions thereof being purchased by Spectrum Brands.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Paying Agent will promptly mail or wire transfer to each Holder of 2020/2022 notes properly tendered the Change of Control Payment for such 2020/2022 notes, and the Trustee will promptly authenticate and mail (or cause to be transferred by book entry) to each Holder a new 2020/2022 note equal in principal amount to any unpurchased portion of the 2020/2022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new 2020/2022 note will be in a principal amount of $2,000 or a higher integral multiple of $1,000.</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Spectrum Brands’ senior credit facilities provide that certain change of control events with respect to Spectrum Brands would constitute a default under these agreements. Any future credit agreements or other agreements to which Spectrum Brands becomes a party may contain similar provisions. Spectrum Brands’ ability to pay cash to the Noteholders following the occurrence of a Change of Control may be limited by Spectrum Brands’ then existing financial resources. Moreover, the exercise by the Noteholders of their right to require Spectrum Brands to purchase the 2020/2022 notes could cause a default under other debt, even if the Change of Control itself does not, due to the financial effect of the purchase on Spectrum Brands. There can be no assurance that sufficient funds will be available when necessary to make the required purchase of the 2020/2022 notes. See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“Risk Factors—Risks Related to the Notes—We may not be able to make the change of control offer required by the Indentures.”</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Spectrum Brands will not be required to make a Change of Control Offer with respect to a series of 2020/2022 notes upon a Change of Control if (1) a third party makes the Change of Control Offer with respect to such series in the manner, at the times and otherwise in compliance with the requirements set forth in the 2020/2022 indenture applicable to a Change of Control Offer made by Spectrum Brands and purchases all 2020/2022 notes validly tendered and not withdrawn under such Change of Control Offer or (2) notice of redemption with respect to such series has been given pursuant to the 2020/2022 indenture as described above under the caption “—Optional Redemption,” unless and until there is a default in payment of the applicable redemption price.</w:t>
      </w:r>
    </w:p>
    <w:p>
      <w:pPr>
        <w:spacing w:after="0" w:line="15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 Change of Control Offer may be made in advance of a Change of Control, conditional upon such Change of Control or other events, if a definitive agreement is in place for the Change of Control at the time of making of the Change of Control Offer.</w:t>
      </w:r>
    </w:p>
    <w:p>
      <w:pPr>
        <w:spacing w:after="0" w:line="17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provisions under the 2020/2022 indenture relative to Spectrum Brand’s obligation to make a Change of Control Offer with respect to a series of 2020/2022 notes may be waived or modified with the written consent of the holders of a majority in principal amount of the 2020/2022 notes of that series then outstanding.</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the properties or assets of Spectrum Brands and its Subsidiaries taken as a whole. Although there is a limited body of case law interpreting the phrase “substantially all,” there is no precise established definition of the phrase under applicable law. Accordingly, the ability of a Holder of the 2020/2022 notes to require Spectrum Brands to repurchase such 2020/2022 notes as a result of a sale, lease, transfer, conveyance or other disposition of less than all of the assets of Spectrum Brands and its Subsidiaries taken as a whole to another Person or group may be uncertain.</w:t>
      </w:r>
    </w:p>
    <w:p>
      <w:pPr>
        <w:spacing w:after="0" w:line="17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Under a recent Delaware Chancery Court interpretation of a change of control repurchase requirement with a continuing director provision, a board of directors may approve a slate of shareholder-nominated directors without endorsing them or while simultaneously recommending and endorsing its own slate instead. The foregoing interpretation would permit Spectrum Brands’ Board of Directors to approve a slate of directors that included a majority of dissident directors nominated pursuant to a proxy contest, and the ultimate election of such directors would not constitute a “Change of Control” under the 2020/2022 indenture that would trigger the rights of a holder of 2020/2022 notes to require a repurchase of the 2020/2022 notes pursuant to this covenant.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Asset Sales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Spectrum Brands will not, and will not permit any of its Restricted Subsidiaries to, consummate an Asset Sale unless:</w:t>
      </w:r>
    </w:p>
    <w:p>
      <w:pPr>
        <w:spacing w:after="0" w:line="117" w:lineRule="exact"/>
        <w:rPr>
          <w:sz w:val="20"/>
          <w:szCs w:val="20"/>
          <w:color w:val="auto"/>
        </w:rPr>
      </w:pPr>
    </w:p>
    <w:p>
      <w:pPr>
        <w:ind w:left="460" w:right="160" w:firstLine="443"/>
        <w:spacing w:after="0" w:line="277"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Spectrum Brands (or the Restricted Subsidiary, as the case may be) receives consideration at the time of such Asset Sale at least equal to the fair market value of the assets or Equity Interests issued or sold or otherwise disposed of; and</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least 75% of the consideration therefore received by Spectrum Brands or such Restricted Subsidiary is in the form of Cash Equivalents or Replacement Assets. For purposes of this clause, each of the following shall be deemed to be Cash Equivalents:</w:t>
      </w:r>
    </w:p>
    <w:p>
      <w:pPr>
        <w:spacing w:after="0" w:line="62" w:lineRule="exact"/>
        <w:rPr>
          <w:rFonts w:ascii="Arial" w:cs="Arial" w:eastAsia="Arial" w:hAnsi="Arial"/>
          <w:sz w:val="18"/>
          <w:szCs w:val="18"/>
          <w:color w:val="auto"/>
        </w:rPr>
      </w:pPr>
    </w:p>
    <w:p>
      <w:pPr>
        <w:ind w:left="920" w:right="280" w:firstLine="421"/>
        <w:spacing w:after="0" w:line="286" w:lineRule="auto"/>
        <w:tabs>
          <w:tab w:leader="none" w:pos="158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any liabilities (as shown on Spectrum Brands’ or such Restricted Subsidiary’s most recent balance sheet) of Spectrum Brands or any Restricted Subsidiary (other than contingent liabilities, Indebtedness that is by its terms subordinated to the 2020/2022 notes or any Note Guarantee and liabilities to the extent owed to Spectrum Brands or any Affiliate of Spectrum Brands) that are assumed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color w:val="auto"/>
        </w:rPr>
        <w:t>by the transferee of any such assets and with respect to which Spectrum Brands and its Restricted Subsidiaries are unconditionally released from further liability in writing or that are otherwise cancelled or terminated in connection with the transaction with such transferee;</w:t>
      </w:r>
    </w:p>
    <w:p>
      <w:pPr>
        <w:spacing w:after="0" w:line="16" w:lineRule="exact"/>
        <w:rPr>
          <w:sz w:val="20"/>
          <w:szCs w:val="20"/>
          <w:color w:val="auto"/>
        </w:rPr>
      </w:pPr>
    </w:p>
    <w:p>
      <w:pPr>
        <w:jc w:val="both"/>
        <w:ind w:left="920" w:right="60" w:firstLine="421"/>
        <w:spacing w:after="0" w:line="264" w:lineRule="auto"/>
        <w:tabs>
          <w:tab w:leader="none" w:pos="15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Spectrum Brands or any such Restricted Subsidiary from such transferee that are converted by Spectrum Brands or such Restricted Subsidiary into cash (to the extent of the cash received in that conversion) within 180 days of the applicable Asset Sale; and</w:t>
      </w:r>
    </w:p>
    <w:p>
      <w:pPr>
        <w:spacing w:after="0" w:line="73" w:lineRule="exact"/>
        <w:rPr>
          <w:rFonts w:ascii="Arial" w:cs="Arial" w:eastAsia="Arial" w:hAnsi="Arial"/>
          <w:sz w:val="18"/>
          <w:szCs w:val="18"/>
          <w:color w:val="auto"/>
        </w:rPr>
      </w:pPr>
    </w:p>
    <w:p>
      <w:pPr>
        <w:ind w:left="920" w:firstLine="421"/>
        <w:spacing w:after="0" w:line="257" w:lineRule="auto"/>
        <w:tabs>
          <w:tab w:leader="none" w:pos="158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Designated Non-cash Consideration received by Spectrum Brands or any of its Restricted Subsidiaries in such Asset Sale having an aggregate fair market value, taken together with all other Designated Non-cash Consideration received pursuant to this clause (c) that is at that time outstanding, not to exceed the greater of $10.0 million or 1.0% of Consolidated Net Tangible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8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at any time any non-cash consideration received by Spectrum Brands or any Restricted Subsidiary, as the case may be, in connection with any Asset Sale is repaid or converted into or sold or otherwise disposed of for cash (other than interest received with respect to any such non-cash consideration), then the date of such repayment, conversion or disposition shall be deemed to constitute the date of an Asset Sale hereunder and the Net Proceeds thereof shall be applied in accordance with this covenant.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Within 365 days after the receipt of any Net Proceeds from an Asset Sale, Spectrum Brands may apply such Net Proceeds at its option:</w:t>
      </w:r>
    </w:p>
    <w:p>
      <w:pPr>
        <w:spacing w:after="0" w:line="117" w:lineRule="exact"/>
        <w:rPr>
          <w:sz w:val="20"/>
          <w:szCs w:val="20"/>
          <w:color w:val="auto"/>
        </w:rPr>
      </w:pPr>
    </w:p>
    <w:p>
      <w:pPr>
        <w:ind w:left="460" w:right="40" w:firstLine="443"/>
        <w:spacing w:after="0" w:line="264"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repay secured Indebtedness or Indebtedness of a non-Guarantor Restricted Subsidiary owed to a Person that is not an Affiliate of Spectrum Brands and, except in the case of Indebtedness under the Revolving Credit Agreement, if the Indebtedness repaid is revolving credit Indebtedness, to correspondingly reduce commitments with respect thereto;</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prepay, repay or repurchase any Indebtedness of Spectrum Brands or any of its Restricted Subsidiaries which is not expressly subordinated to the prior payment in full in cash of all Obligations with respect to the 2020/2022 notes, in the case of Spectrum Brands, or the Note Guarantee, in the case of a Guarantor; or</w:t>
      </w:r>
    </w:p>
    <w:p>
      <w:pPr>
        <w:spacing w:after="0" w:line="73" w:lineRule="exact"/>
        <w:rPr>
          <w:rFonts w:ascii="Arial" w:cs="Arial" w:eastAsia="Arial" w:hAnsi="Arial"/>
          <w:sz w:val="18"/>
          <w:szCs w:val="18"/>
          <w:color w:val="auto"/>
        </w:rPr>
      </w:pPr>
    </w:p>
    <w:p>
      <w:pPr>
        <w:ind w:left="460" w:right="40" w:firstLine="443"/>
        <w:spacing w:after="0" w:line="297" w:lineRule="auto"/>
        <w:tabs>
          <w:tab w:leader="none" w:pos="115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purchase Replacement Assets or make a capital expenditure in or that is used or useful in a Permitted Business; provided that, if during the 365 day period following the consummation of an Asset Sale, Spectrum Brands or a Restricted Subsidiary enters into a definitive binding agreement committing it to apply the Net Proceeds in accordance with the requirements of this clause (3) after such 365 day period, such 365 day period will be extended with respect to the amount of Net Proceeds so committed until such Net Proceeds are required to be applied in accordance with such agreement (but such extension will in no event be for a period longer than 180 days) or, if earlier, the date of termination of such agreement.</w:t>
      </w:r>
    </w:p>
    <w:p>
      <w:pPr>
        <w:spacing w:after="0" w:line="15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Following the entering into of a binding agreement with respect to an Asset Sale and prior to the consummation thereof, Cash Equivalents (whether or not actual Net Proceeds of such Asset Sale) used for the purposes described in clause (3) that are designated as used in accordance with clause (3), and not previously or subsequently so designated in respect of any other Asset Sale, shall be deemed to be Net Proceeds applied in accordance with clause (3).</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Pending the final application of any such Net Proceeds, Spectrum Brands may temporarily reduce revolving credit borrowings or otherwise invest such Net Proceeds in any manner that is not prohibited by the 2020/2022 indenture.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Net Proceeds from Asset Sales that are not applied or invested as provided in clause (1), (2) or (3) of the second preceding paragraph will constitute “Excess Proceeds.” Within 30 days after the aggregate amount of Excess Proceeds exceeds $50.0 million, Spectrum Brands will make an Asset Sale Offer to all Noteholders and all holders of other Indebtedness that is pari passu with the 2020/2022 notes or any Note Guarantee containing provisions similar to those set forth in the 2020/2022 indenture with respect to offers to purchase with the proceeds of sales of assets, to purchase the maximum principal amount of the 2020/2022 notes and such other pari passu Indebtedness that may be purchased out of the Excess Proceeds. Spectrum Brands and its Restricted Subsidiaries may make an Asset Sale Offer under this section using Net Proceeds prior to the time any such Net Proceeds become Excess Proceeds, in which case such Net Proceeds shall be deemed to have been applied within the time frame required by this covenant. The offer price in any Asset Sale Offer will be equal to 100% of the principal amount of the 2020/2022 notes and such other pari passu Indebtedness plus accrued and unpaid interest to the date of purchase, and will be payable in cash. If any Excess Proceeds remain after consummation of an Asset Sale Offer, Spectrum Brands may use such Excess Proceeds for any purpose not otherwise prohibited by the 2020/2022 indenture. If the aggregate principal amount of the 2020/2022 notes and such other pari passu Indebtedness tendered into such Asset Sale Offer exceeds the amount of Excess Proceeds, the 2020/2022 notes and such other pari passu Indebtedness shall be purchased on a pro rata basis based on the principal amount of the 2020/2022 notes and such other pari passu Indebtedness tendered. Upon completion of each Asset Sale Offer, the amount of Excess Proceeds shall be reset at zero.</w:t>
      </w:r>
    </w:p>
    <w:p>
      <w:pPr>
        <w:spacing w:after="0" w:line="17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Spectrum Brands will comply with the requirements of Rule 14e-1 under the Exchange Act and any other securities laws and regulations thereunder to the extent such laws and regulations are applicable in connection with each repurchase of the 2020/2022 notes pursuant to an Asset Sale Offer. To the extent that the provisions of any securities laws or regulations conflict with the Asset Sales provisions of the 2020/2022 indenture, Spectrum Brands will comply with the applicable securities laws and regulations and will not be deemed to have breached its obligations under the Asset Sale provisions of the 2020/2022 indenture by virtue of such compliance.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Suspension of Certain Covenants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at any time after the Issue Date that (i) the 2020/2022 notes are rated Investment Grade by each of S&amp;P and Moody’s (or, if either (or both) of S&amp;P and Moody’s have been substituted in accordance with the definition of “Rating Agencies,” by each of the then applicable Rating Agencies) and (ii) no Default has occurred and is continuing under the 2020/2022 indenture, Spectrum Brands and its Restricted Subsidiaries will not be subject to the covenants in the 2020/2022 indenture specifically listed under the following captions in this “Description of Notes” section of this prospectus (the “Suspended Covenants”):</w:t>
      </w:r>
    </w:p>
    <w:p>
      <w:pPr>
        <w:spacing w:after="0" w:line="80" w:lineRule="exact"/>
        <w:rPr>
          <w:sz w:val="20"/>
          <w:szCs w:val="20"/>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Covenants—Incurrence of Indebtedness and Issuance of Preferred Stock”;</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Covenants—Restricted Payments (except to the extent applicable under the definition of “Unrestricted Subsidiary”)”;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Covenants—Dividend and Other Payment Restrictions Affecting Restricted Subsidiaries”;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Covenants—Limitation on Transactions with Affiliates”;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“—Asset Sales”;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clause (3) under “—Certain Covenants—Merger, Consolidation or Sale of Assets.”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Additionally, during such time as the above referenced covenants are suspended (a “Suspension Period”), Spectrum Brands will not be permitted to designate any Restricted Subsidiary as an Unrestricted Subsidiary.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the event that Spectrum Brands and its Restricted Subsidiaries are not subject to the Suspended Covenants for any period of time as a result of the foregoing, and on any subsequent date (the “Reversion Date”) the condition set forth in clause (i) of the first paragraph of this section is no longer satisfied, then Spectrum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Brands and its Restricted Subsidiaries will thereafter again be subject to the Suspended Covenant with respect to future events.</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each Reversion Date, all Debt incurred during the Suspension Period prior to such Reversion Date will be deemed to be Debt incurred pursuant to clause (b)(2) under “—Incurrence of Indebtedness and Issuance of Preferred Stock.” For purposes of calculating the amount available to be made as Restricted Payments under clause (3) of clause (A) of “—Restricted Payments,” calculations under such covenant shall be made as though such covenant had been in effect during the Suspension Period. Restricted Payments made during the Suspension Period not otherwise permitted pursuant under clause (B) of the “—Restricted Payments” covenant will reduce the amount available to be made as Restricted Payments under clause (3) of clause (A) of such covenant. For purposes of the “Asset Sales” covenant, on the Reversion Date, the amount of Excess Proceeds will be reset to the amount of Excess Proceeds in effect as of the first day of the Suspension Period ending on such Reversion Date. Notwithstanding that the Suspended Covenants may be reinstated, no Default or Event of Default shall be deemed to have occurred as a result of a failure to comply with the Suspended Covenants during a Suspension Period (or on the Reversion Date after a Suspension Period based solely on events that occurred during the Suspension Period).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can be no assurance that the 2020/2022 notes will ever achieve or maintain a rating of Investment Grade from the Rating Agencies.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117" w:lineRule="exact"/>
        <w:rPr>
          <w:sz w:val="20"/>
          <w:szCs w:val="20"/>
          <w:color w:val="auto"/>
        </w:rPr>
      </w:pPr>
    </w:p>
    <w:p>
      <w:pPr>
        <w:ind w:left="760" w:hanging="296"/>
        <w:spacing w:after="0"/>
        <w:tabs>
          <w:tab w:leader="none" w:pos="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Spectrum Brands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60" w:right="80" w:firstLine="443"/>
        <w:spacing w:after="0" w:line="271" w:lineRule="auto"/>
        <w:tabs>
          <w:tab w:leader="none" w:pos="115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declare or pay any dividend or make any other payment or distribution on account of Spectrum Brands’ or any of its Restricted Subsidiaries’ Equity Interests (including, without limitation, any payment in connection with any merger or consolidation involving Spectrum Brands or any of its Restricted Subsidiaries) or to the direct or indirect holders of Spectrum Brands’ or any of its Restricted Subsidiaries’ Equity Interests in their capacity as such (other than (A) dividends, payments or distributions payable in Equity Interests (other than Disqualified Stock) of Spectrum Brands or to Spectrum Brands or a Restricted Subsidiary of Spectrum Brands; and (B) dividends, payments or distributions by a Restricted Subsidiary so long as, in the case of any dividends, payments or distributions payable on or in respect of any class or series of securities issued by a Restricted Subsidiary that is not Wholly Owned, Spectrum Brands or a Restricted Subsidiary receives at least its pro rata share of such dividends, payments or distributions in accordance with its Equity Interests in such class or series of securities);</w:t>
      </w:r>
    </w:p>
    <w:p>
      <w:pPr>
        <w:spacing w:after="0" w:line="70" w:lineRule="exact"/>
        <w:rPr>
          <w:rFonts w:ascii="Arial" w:cs="Arial" w:eastAsia="Arial" w:hAnsi="Arial"/>
          <w:sz w:val="17"/>
          <w:szCs w:val="17"/>
          <w:color w:val="auto"/>
        </w:rPr>
      </w:pPr>
    </w:p>
    <w:p>
      <w:pPr>
        <w:ind w:left="460" w:right="520" w:firstLine="443"/>
        <w:spacing w:after="0" w:line="342" w:lineRule="auto"/>
        <w:tabs>
          <w:tab w:leader="none" w:pos="115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purchase, redeem or otherwise acquire or retire for value (including, without limitation, in connection with any merger or consolidation involving Spectrum Brands) any Equity Interests of Spectrum Brands or any direct or indirect parent of Spectrum Brands, including Holdings;</w:t>
      </w:r>
    </w:p>
    <w:p>
      <w:pPr>
        <w:spacing w:after="0" w:line="15" w:lineRule="exact"/>
        <w:rPr>
          <w:rFonts w:ascii="Arial" w:cs="Arial" w:eastAsia="Arial" w:hAnsi="Arial"/>
          <w:sz w:val="16"/>
          <w:szCs w:val="16"/>
          <w:color w:val="auto"/>
        </w:rPr>
      </w:pPr>
    </w:p>
    <w:p>
      <w:pPr>
        <w:ind w:left="460" w:right="160" w:firstLine="443"/>
        <w:spacing w:after="0" w:line="276" w:lineRule="auto"/>
        <w:tabs>
          <w:tab w:leader="none" w:pos="115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make any payment on or with respect to, or purchase, redeem, defease or otherwise acquire or retire for value any Indebtedness that is contractually subordinated in right of payment to the 2020/2022 notes or the Note Guarantees, except (a) payments of interest on or after Stated Maturity thereof, (b) payments, purchases, redemptions, defeasances or other acquisitions or retirements for value of principal on or after the date that is one year prior to the Stated Maturity thereof or (c) payments on Indebtedness permitted to be incurred pursuant to clause (6) of the covenant described below under the caption “—Incurrence of Indebtedness and Issuance of Preferred Stock,” or</w:t>
      </w:r>
    </w:p>
    <w:p>
      <w:pPr>
        <w:spacing w:after="0" w:line="64" w:lineRule="exact"/>
        <w:rPr>
          <w:rFonts w:ascii="Arial" w:cs="Arial" w:eastAsia="Arial" w:hAnsi="Arial"/>
          <w:sz w:val="17"/>
          <w:szCs w:val="17"/>
          <w:color w:val="auto"/>
        </w:rPr>
      </w:pPr>
    </w:p>
    <w:p>
      <w:pPr>
        <w:ind w:left="1160" w:hanging="257"/>
        <w:spacing w:after="0"/>
        <w:tabs>
          <w:tab w:leader="none" w:pos="11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(all such payments and other actions set forth in clauses (1) through (4) above being collectively referred to as “Restricted Payments”), unless, at the time of and after giving effect to such Restricted 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 and</w:t>
      </w:r>
    </w:p>
    <w:p>
      <w:pPr>
        <w:spacing w:after="0" w:line="117" w:lineRule="exact"/>
        <w:rPr>
          <w:rFonts w:ascii="Arial" w:cs="Arial" w:eastAsia="Arial" w:hAnsi="Arial"/>
          <w:sz w:val="18"/>
          <w:szCs w:val="18"/>
          <w:color w:val="auto"/>
        </w:rPr>
      </w:pPr>
    </w:p>
    <w:p>
      <w:pPr>
        <w:ind w:left="460" w:right="100" w:firstLine="443"/>
        <w:spacing w:after="0" w:line="259" w:lineRule="auto"/>
        <w:tabs>
          <w:tab w:leader="none" w:pos="11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Spectrum Brands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78" w:lineRule="exact"/>
        <w:rPr>
          <w:rFonts w:ascii="Arial" w:cs="Arial" w:eastAsia="Arial" w:hAnsi="Arial"/>
          <w:sz w:val="18"/>
          <w:szCs w:val="18"/>
          <w:color w:val="auto"/>
        </w:rPr>
      </w:pPr>
    </w:p>
    <w:p>
      <w:pPr>
        <w:ind w:left="460" w:right="240" w:firstLine="443"/>
        <w:spacing w:after="0" w:line="259" w:lineRule="auto"/>
        <w:tabs>
          <w:tab w:leader="none" w:pos="11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Spectrum Brands and its Restricted Subsidiaries after June 16, 2010 (excluding Restricted Payments permitted by clauses (2), (3) (4) (to the extent such dividends are paid to Spectrum Brands or any of its Restricted Subsidiaries) and (5), (6), (8), (9)(i), (ii) or (iv), (10), (11), (12) and (13) of the next succeeding paragraph (B)), is less than the sum, without duplication, of:</w:t>
      </w:r>
    </w:p>
    <w:p>
      <w:pPr>
        <w:spacing w:after="0" w:line="78" w:lineRule="exact"/>
        <w:rPr>
          <w:rFonts w:ascii="Arial" w:cs="Arial" w:eastAsia="Arial" w:hAnsi="Arial"/>
          <w:sz w:val="18"/>
          <w:szCs w:val="18"/>
          <w:color w:val="auto"/>
        </w:rPr>
      </w:pPr>
    </w:p>
    <w:p>
      <w:pPr>
        <w:ind w:left="920" w:right="100" w:firstLine="421"/>
        <w:spacing w:after="0" w:line="264" w:lineRule="auto"/>
        <w:tabs>
          <w:tab w:leader="none" w:pos="158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50% of the Consolidated Net Income of Spectrum Brands for the period (taken as one accounting period) from April 1, 2010 to the end of Spectrum Brands’ most recently ended fiscal quarter for which internal financial statements are available at the time of such Restricted Payment (or, if such Consolidated Net Income for such period is a deficit, less 100% of such deficit); plus</w:t>
      </w:r>
    </w:p>
    <w:p>
      <w:pPr>
        <w:spacing w:after="0" w:line="73" w:lineRule="exact"/>
        <w:rPr>
          <w:rFonts w:ascii="Arial" w:cs="Arial" w:eastAsia="Arial" w:hAnsi="Arial"/>
          <w:sz w:val="18"/>
          <w:szCs w:val="18"/>
          <w:color w:val="auto"/>
        </w:rPr>
      </w:pPr>
    </w:p>
    <w:p>
      <w:pPr>
        <w:ind w:left="920" w:right="160" w:firstLine="421"/>
        <w:spacing w:after="0" w:line="257" w:lineRule="auto"/>
        <w:tabs>
          <w:tab w:leader="none" w:pos="159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100% of the aggregate net cash proceeds (and fair market value of marketable securities or other property) received by Spectrum Brands after June 16, 2010 as a contribution to its common equity capital or from the issue or sale of Equity Interests (other than Disqualified Stock) of Spectrum Brands or from the issue or sale of convertible or exchangeable Disqualified Stock or convertible or exchangeable debt securities of Spectrum Brands that have been converted into or exchanged for such Equity Interests (other than Equity Interests (or Disqualified Stock or debt securities) sold to a Subsidiary of Spectrum Brands); plus</w:t>
      </w:r>
    </w:p>
    <w:p>
      <w:pPr>
        <w:spacing w:after="0" w:line="80" w:lineRule="exact"/>
        <w:rPr>
          <w:rFonts w:ascii="Arial" w:cs="Arial" w:eastAsia="Arial" w:hAnsi="Arial"/>
          <w:sz w:val="18"/>
          <w:szCs w:val="18"/>
          <w:color w:val="auto"/>
        </w:rPr>
      </w:pPr>
    </w:p>
    <w:p>
      <w:pPr>
        <w:ind w:left="920" w:right="20" w:firstLine="421"/>
        <w:spacing w:after="0" w:line="272" w:lineRule="auto"/>
        <w:tabs>
          <w:tab w:leader="none" w:pos="158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with respect to Restricted Investments made by Spectrum Brands and its Restricted Subsidiaries after June 16, 2010, an amount equal to the net reduction in Investments (other than reductions in Permitted Investments) in any Person resulting from repayments of loans or advances, or other transfers of assets, in each case to Spectrum Brands or any Restricted Subsidiary or from the net cash proceeds from the sale of any such Investment (except, in each case, to the extent any such payment or proceeds are included in the calculation of Consolidated Net Income) from the release of any Guarantee (except to the extent any amounts are paid under such Guarantee) or from redesignations of Unrestricted Subsidiaries as Restricted Subsidiaries, not to exceed, in each case, the amount of Investments previously made by Spectrum Brands or any Restricted Subsidiary in such Person or Unrestricted Subsidiary.</w:t>
      </w:r>
    </w:p>
    <w:p>
      <w:pPr>
        <w:spacing w:after="0" w:line="70" w:lineRule="exact"/>
        <w:rPr>
          <w:sz w:val="20"/>
          <w:szCs w:val="20"/>
          <w:color w:val="auto"/>
        </w:rPr>
      </w:pPr>
    </w:p>
    <w:p>
      <w:pPr>
        <w:ind w:left="460" w:right="80" w:firstLine="443"/>
        <w:spacing w:after="0" w:line="277" w:lineRule="auto"/>
        <w:tabs>
          <w:tab w:leader="none" w:pos="11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So long as, in the case of clauses (7) and (8), no Default has occurred and is continuing or would be caused thereby, the preceding provisions will not prohibit:</w:t>
      </w:r>
    </w:p>
    <w:p>
      <w:pPr>
        <w:spacing w:after="0" w:line="62" w:lineRule="exact"/>
        <w:rPr>
          <w:sz w:val="20"/>
          <w:szCs w:val="20"/>
          <w:color w:val="auto"/>
        </w:rPr>
      </w:pPr>
    </w:p>
    <w:p>
      <w:pPr>
        <w:jc w:val="both"/>
        <w:ind w:left="460" w:firstLine="443"/>
        <w:spacing w:after="0" w:line="264" w:lineRule="auto"/>
        <w:tabs>
          <w:tab w:leader="none" w:pos="115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payment of any dividend or distribution or consummation of a redemption within 60 days after the date of declaration thereof or the giving of the redemption notice, as applicable, if at said date of declaration or notice such payment would have complied with the provisions of the 2020/2022 indenture;</w:t>
      </w:r>
    </w:p>
    <w:p>
      <w:pPr>
        <w:spacing w:after="0" w:line="73" w:lineRule="exact"/>
        <w:rPr>
          <w:rFonts w:ascii="Arial" w:cs="Arial" w:eastAsia="Arial" w:hAnsi="Arial"/>
          <w:sz w:val="18"/>
          <w:szCs w:val="18"/>
          <w:color w:val="auto"/>
        </w:rPr>
      </w:pPr>
    </w:p>
    <w:p>
      <w:pPr>
        <w:ind w:left="460" w:right="80" w:firstLine="443"/>
        <w:spacing w:after="0" w:line="255" w:lineRule="auto"/>
        <w:tabs>
          <w:tab w:leader="none" w:pos="115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redemption, repurchase, retirement, defeasance or other acquisition of any subordinated Indebtedness of Spectrum Brands or any Guarantor or of any Equity Interests (including Disqualified Stock) of Spectrum Brands or any Restricted Subsidiary in exchange for, or out of the net cash proceeds of a contribution to the common equity of Spectrum Brands or sale (other than to a Subsidiary of Spectrum Brands) of, Equity Interests of Spectrum Brands or any direct or indirect parent of Spectrum Brands (other than Disqualified Stock) contributed to the equity of Spectrum Brands, in each case, within 60 days of such redemption, repurchase, retirement, defeasance or other acquisition; provided that the amount of any such net cash proceeds that are utilized for any such redemption, repurchase, retirement, defeasance or other acquisition shall be excluded from clause (3)(b) of the preceding paragraph (A);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firstLine="443"/>
        <w:spacing w:after="0" w:line="277"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defeasance, repayment, redemption, repurchase or other acquisition of subordinated Indebtedness of Spectrum Brands or any Guarantor with the net cash proceeds from an incurrence of Permitted Refinancing Indebtedness;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payment of any dividend or distribution by a Restricted Subsidiary of Spectrum Brands to the holders of its common Equity Interests on a pro rata basis;</w:t>
      </w:r>
    </w:p>
    <w:p>
      <w:pPr>
        <w:spacing w:after="0" w:line="62" w:lineRule="exact"/>
        <w:rPr>
          <w:rFonts w:ascii="Arial" w:cs="Arial" w:eastAsia="Arial" w:hAnsi="Arial"/>
          <w:sz w:val="18"/>
          <w:szCs w:val="18"/>
          <w:color w:val="auto"/>
        </w:rPr>
      </w:pPr>
    </w:p>
    <w:p>
      <w:pPr>
        <w:jc w:val="both"/>
        <w:ind w:left="460" w:right="120" w:firstLine="443"/>
        <w:spacing w:after="0" w:line="259"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Investments acquired as a capital contribution to, or in exchange for, or out of the net cash proceeds of an offering of, Equity Interests (other than Disqualified Stock) of Spectrum Brands or other contributions to the common equity capital of Spectrum Brands, in each case within 60 days of the acquisition of such Investment; provided that the amount of any such net cash proceeds that are utilized for any such acquisition or exchange shall be excluded from clause (3)(b) of the preceding paragraph (A);</w:t>
      </w:r>
    </w:p>
    <w:p>
      <w:pPr>
        <w:spacing w:after="0" w:line="78"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repurchase of Capital Stock deemed to occur upon the exercise of options, warrants or other convertible or exchangeable securities or the vesting of restricted stock, restricted stock units or similar instruments if such Capital Stock represents fractional shares or all or a portion of the exercise price thereof or withholding taxes payable in connection with the exercise thereof;</w:t>
      </w:r>
    </w:p>
    <w:p>
      <w:pPr>
        <w:spacing w:after="0" w:line="73" w:lineRule="exact"/>
        <w:rPr>
          <w:rFonts w:ascii="Arial" w:cs="Arial" w:eastAsia="Arial" w:hAnsi="Arial"/>
          <w:sz w:val="18"/>
          <w:szCs w:val="18"/>
          <w:color w:val="auto"/>
        </w:rPr>
      </w:pPr>
    </w:p>
    <w:p>
      <w:pPr>
        <w:ind w:left="460" w:firstLine="443"/>
        <w:spacing w:after="0" w:line="270" w:lineRule="auto"/>
        <w:tabs>
          <w:tab w:leader="none" w:pos="115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repurchase, redemption or other acquisition or retirement for value of (or payments to Holdings to fund any such repurchase, redemption or other acquisition of value) any Equity Interests of Holdings (or any direct or indirect parent of Holdings) or Spectrum Brands held by any employee, former employee, director or former director of Spectrum Brands (or any of its Restricted Subsidiaries) or Holdings (or any direct or indirect parent of Holdings) or any permitted transferee of any of the foregoing pursuant to the terms of any employee equity subscription agreement, stock option agreement or similar agreement; provided that the aggregate price paid for all such repurchased, redeemed, acquired or retired Equity Interests in any fiscal year, and any payment by Spectrum Brands to Holdings to enable Holdings (or any direct or indirect parent of Holdings) to make such payments, shall not exceed the sum of (x) $5.0 million and (y) the amount of Restricted Payments permitted but not made pursuant to this clause (7) in prior fiscal years; provided that no more than $10.0 million may be carried forward in any fiscal year; provided, further, however, that such amount in any calendar year may be increased by an amount not to exceed:</w:t>
      </w:r>
    </w:p>
    <w:p>
      <w:pPr>
        <w:spacing w:after="0" w:line="73" w:lineRule="exact"/>
        <w:rPr>
          <w:rFonts w:ascii="Arial" w:cs="Arial" w:eastAsia="Arial" w:hAnsi="Arial"/>
          <w:sz w:val="17"/>
          <w:szCs w:val="17"/>
          <w:color w:val="auto"/>
        </w:rPr>
      </w:pPr>
    </w:p>
    <w:p>
      <w:pPr>
        <w:ind w:left="920" w:right="40" w:firstLine="421"/>
        <w:spacing w:after="0" w:line="255" w:lineRule="auto"/>
        <w:tabs>
          <w:tab w:leader="none" w:pos="158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cash proceeds received by Spectrum Brands or any of its Restricted Subsidiaries from the sale of Equity Interests (other than Disqualified Stock) of Spectrum Brands or any direct or indirect parent of Spectrum Brands (to the extent contributed to Spectrum Brands) to members of management, directors, employees or consultants of Spectrum Brands, its Restricted Subsidiaries or any direct or indirect parent of Spectrum Brands that occurs after the Issue Date (provided that the amount of cash proceeds utilized for any such repurchase, redemption or other acquisition or dividend will not increase the amount available for Restricted Payments under clause (3)(b) of the preceding paragraph (A)); plus</w:t>
      </w:r>
    </w:p>
    <w:p>
      <w:pPr>
        <w:spacing w:after="0" w:line="85" w:lineRule="exact"/>
        <w:rPr>
          <w:rFonts w:ascii="Arial" w:cs="Arial" w:eastAsia="Arial" w:hAnsi="Arial"/>
          <w:sz w:val="18"/>
          <w:szCs w:val="18"/>
          <w:color w:val="auto"/>
        </w:rPr>
      </w:pPr>
    </w:p>
    <w:p>
      <w:pPr>
        <w:ind w:left="920" w:right="140" w:firstLine="421"/>
        <w:spacing w:after="0" w:line="277" w:lineRule="auto"/>
        <w:tabs>
          <w:tab w:leader="none" w:pos="159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cash proceeds of key man life insurance policies received by Spectrum Brands or any direct or indirect parent of Spectrum Brands (to the extent contributed to Spectrum Brands) or the Restricted Subsidiaries after the Issue Date;</w:t>
      </w:r>
    </w:p>
    <w:p>
      <w:pPr>
        <w:spacing w:after="0" w:line="62" w:lineRule="exact"/>
        <w:rPr>
          <w:sz w:val="20"/>
          <w:szCs w:val="20"/>
          <w:color w:val="auto"/>
        </w:rPr>
      </w:pPr>
    </w:p>
    <w:p>
      <w:pPr>
        <w:ind w:left="920" w:right="300"/>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cancellation of Indebtedness owing to Spectrum Brands or any Restricted Subsidiary from any present or former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or consultants of Spectrum Brands, any Restricted Subsidiary or the direct or indirect parents of Spectrum Brands in connection with a repurchase of Equity Interests of Spectrum Brands or any of its direct or indirect parents will not be deemed to constitute a Restricted Payment for purposes of this covenant or any other provision of the 2020/2022 indenture;</w:t>
      </w:r>
    </w:p>
    <w:p>
      <w:pPr>
        <w:spacing w:after="0" w:line="63" w:lineRule="exact"/>
        <w:rPr>
          <w:sz w:val="20"/>
          <w:szCs w:val="20"/>
          <w:color w:val="auto"/>
        </w:rPr>
      </w:pPr>
    </w:p>
    <w:p>
      <w:pPr>
        <w:ind w:left="460" w:right="80" w:firstLine="443"/>
        <w:spacing w:after="0" w:line="259" w:lineRule="auto"/>
        <w:tabs>
          <w:tab w:leader="none" w:pos="115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payment, repurchase, redemption, defeasance or other acquisition or retirement for value of any subordinated Indebtedness required in accordance with provisions applicable thereto similar to those described under the “Asset Sales” and “Change of Control” covenants; provided that all 2020/2022 notes tendered by Holders in connection with a Change of Control Offer or Asset Sale Offer, as applicable, have been repurchased, redeemed or acquired for value;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(9)(x) payments made to Holdings (i) to allow Holdings (or any direct or indirect parent of Holdings) to pay administrative expenses and corporate overhead, franchise fees, public company costs (including SEC and auditing fees) and customary director fees in an aggregate amount not to exceed $5.0 million in any calendar year; (ii) to allow Holdings to pay premiums and deductibles in respect of directors and officers insurance policies and umbrella excess insurance policies obtained from third-party insurers and indemnities for the benefit of its directors, officers and employees, (iii) to allow Holdings or such other parent of Spectrum Brands to pay reasonable fees and expenses incurred in connection with any unsuccessful debt or equity offering or any unsuccessful acquisition or strategic transaction by such direct or indirect parent company of Spectrum Brands and (iv) to allow Holdings (or any direct or indirect parent of Holdings) to pay income taxes attributable to Spectrum Brands and its Subsidiaries in an amount not to exceed the amount of such taxes that would be payable by Spectrum Brands and its Subsidiaries on a stand-alone basis (if Spectrum Brands were a corporation and parent of a consolidated group including its Subsidiaries); provided that any payments pursuant to this clause (iv) in any period not otherwise deducted in calculating Consolidated Net Income shall be deducted in calculating Consolidated Net Income for such period (and shall be deemed to be a provision for taxes for purposes of calculating Consolidated Cash Flow for such period);</w:t>
      </w:r>
    </w:p>
    <w:p>
      <w:pPr>
        <w:spacing w:after="0" w:line="65" w:lineRule="exact"/>
        <w:rPr>
          <w:sz w:val="20"/>
          <w:szCs w:val="20"/>
          <w:color w:val="auto"/>
        </w:rPr>
      </w:pPr>
    </w:p>
    <w:p>
      <w:pPr>
        <w:ind w:left="460" w:right="100" w:firstLine="443"/>
        <w:spacing w:after="0" w:line="277" w:lineRule="auto"/>
        <w:tabs>
          <w:tab w:leader="none" w:pos="12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Restricted Payments not otherwise permitted hereby in an aggregate amount not to exceed the greater of 10% of Consolidated Net Tangible Assets and $120.0 million;</w:t>
      </w:r>
    </w:p>
    <w:p>
      <w:pPr>
        <w:spacing w:after="0" w:line="62" w:lineRule="exact"/>
        <w:rPr>
          <w:sz w:val="20"/>
          <w:szCs w:val="20"/>
          <w:color w:val="auto"/>
        </w:rPr>
      </w:pPr>
    </w:p>
    <w:p>
      <w:pPr>
        <w:ind w:left="460" w:right="120" w:firstLine="438"/>
        <w:spacing w:after="0" w:line="284" w:lineRule="auto"/>
        <w:rPr>
          <w:sz w:val="20"/>
          <w:szCs w:val="20"/>
          <w:color w:val="auto"/>
        </w:rPr>
      </w:pPr>
      <w:r>
        <w:rPr>
          <w:rFonts w:ascii="Arial" w:cs="Arial" w:eastAsia="Arial" w:hAnsi="Arial"/>
          <w:sz w:val="16"/>
          <w:szCs w:val="16"/>
          <w:color w:val="auto"/>
        </w:rPr>
        <w:t>(11)(A) the declaration and payment of dividends to holders of any class or series of Disqualified Stock of Spectrum Brands or any Restricted Subsidiary or preferred stock of any Restricted Subsidiary issued in accordance with the covenant described under “—Incurrence of Indebtedness and Issuance of Preferred Stock” to the extent such dividends are included in the definition of Fixed Charges and payment of any redemption price or liquidation value of any such Disqualified Stock or preferred stock when due at final maturity in accordance with its terms and (B) the declaration and payment of dividends to a direct or indirect parent company of Spectrum Brands, the proceeds of which will be used to fund the payment of dividends to holders of any class or series of preferred stock (other than Disqualified Stock) of such parent company issued after the Issue Date; provided that</w:t>
      </w:r>
    </w:p>
    <w:p>
      <w:pPr>
        <w:spacing w:after="0" w:line="5" w:lineRule="exact"/>
        <w:rPr>
          <w:sz w:val="20"/>
          <w:szCs w:val="20"/>
          <w:color w:val="auto"/>
        </w:rPr>
      </w:pPr>
    </w:p>
    <w:p>
      <w:pPr>
        <w:ind w:left="460" w:right="100" w:firstLine="4"/>
        <w:spacing w:after="0" w:line="302" w:lineRule="auto"/>
        <w:tabs>
          <w:tab w:leader="none" w:pos="67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aggregate amount of dividends paid pursuant to this clause (B) shall not exceed the aggregate amount of cash actually contributed to Spectrum Brands from the sale of such preferred stock and (ii) the amount of cash used to make any payments pursuant to this clause (B) shall be excluded from calculations pursuant to clause (3) of the first paragraph above and shall not be used for the purpose of any other Restricted Payment;</w:t>
      </w:r>
    </w:p>
    <w:p>
      <w:pPr>
        <w:spacing w:after="0" w:line="4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(12)(a) any Restricted Payments used to fund the Transactions and the fees and expenses related thereto, including those owed to Affiliates and</w:t>
      </w:r>
    </w:p>
    <w:p>
      <w:pPr>
        <w:spacing w:after="0" w:line="46" w:lineRule="exact"/>
        <w:rPr>
          <w:sz w:val="20"/>
          <w:szCs w:val="20"/>
          <w:color w:val="auto"/>
        </w:rPr>
      </w:pPr>
    </w:p>
    <w:p>
      <w:pPr>
        <w:ind w:left="720" w:hanging="256"/>
        <w:spacing w:after="0"/>
        <w:tabs>
          <w:tab w:leader="none" w:pos="7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Restricted Payments used to fund the Prior Transactions and the fees and expenses related thereto, including those owed to Affiliates;</w:t>
      </w:r>
    </w:p>
    <w:p>
      <w:pPr>
        <w:spacing w:after="0" w:line="114" w:lineRule="exact"/>
        <w:rPr>
          <w:rFonts w:ascii="Arial" w:cs="Arial" w:eastAsia="Arial" w:hAnsi="Arial"/>
          <w:sz w:val="17"/>
          <w:szCs w:val="17"/>
          <w:color w:val="auto"/>
        </w:rPr>
      </w:pPr>
    </w:p>
    <w:p>
      <w:pPr>
        <w:ind w:left="460" w:right="460" w:firstLine="443"/>
        <w:spacing w:after="0" w:line="264" w:lineRule="auto"/>
        <w:tabs>
          <w:tab w:leader="none" w:pos="124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“deemed dividend” resulting under the tax laws from, or in connection with, the filing of a consolidated or combined tax return by Holdings or any direct or indirect parent of Spectrum Brands (and not involving any cash distribution from Spectrum Brands or any Restricted Subsidiary except as permitted by clause (9)(iv) above); and</w:t>
      </w:r>
    </w:p>
    <w:p>
      <w:pPr>
        <w:spacing w:after="0" w:line="73" w:lineRule="exact"/>
        <w:rPr>
          <w:rFonts w:ascii="Arial" w:cs="Arial" w:eastAsia="Arial" w:hAnsi="Arial"/>
          <w:sz w:val="18"/>
          <w:szCs w:val="18"/>
          <w:color w:val="auto"/>
        </w:rPr>
      </w:pPr>
    </w:p>
    <w:p>
      <w:pPr>
        <w:ind w:left="460" w:right="100" w:firstLine="443"/>
        <w:spacing w:after="0" w:line="259" w:lineRule="auto"/>
        <w:tabs>
          <w:tab w:leader="none" w:pos="124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payment of dividends to Holdings to fund a payment of dividends on Holdings’ common stock (or the common stock of any direct or indirect parent of Holdings), following the first public offering of Holdings’ common stock (or the common stock of any of its direct or indirect parent companies) after the Issue Date, of up to 6% per annum of the net cash proceeds received by or contributed to Spectrum Brands as a contribution to equity in or from any such public offering.</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amount of all Restricted Payments (other than cash) shall be the fair market value on the date of the Restricted Payment of the asset(s) or securities proposed to be transferred or issued to or by Spectrum Brands or such Subsidiary, as the case may be, pursuant to the Restricted Payment. The fair market value of any assets or securities in excess of $10.0 million that are required to be valued by this covenant shall be determined by the Board of Directors.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purposes of determining compliance with this covenant, in the event that a proposed Restricted Payment (or portion thereof) meets the criteria of more than one of the categories of Restricted Payments described in clauses (1) through (14) above, or is entitled to be incurred pursuant to the first paragraph of this covenant, Spectrum Brands will be entitled to divide, classify or re-classify (based on circumstances existing on the date of such reclassification) such restricted payment or portion thereof in any manner that complies with this covenant and such Restricted Payment will be treated as having been made pursuant to only such clause or clauses or the first paragraph of this covenant.</w:t>
      </w:r>
    </w:p>
    <w:p>
      <w:pPr>
        <w:spacing w:after="0" w:line="188"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As of September 30, 2013, the amount of Restricted Payments permitted pursuant to clause (3) of the immediately preceding paragraph was approximately $211 million.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117" w:lineRule="exact"/>
        <w:rPr>
          <w:sz w:val="20"/>
          <w:szCs w:val="20"/>
          <w:color w:val="auto"/>
        </w:rPr>
      </w:pPr>
    </w:p>
    <w:p>
      <w:pPr>
        <w:ind w:left="460" w:right="80" w:firstLine="443"/>
        <w:spacing w:after="0" w:line="273" w:lineRule="auto"/>
        <w:tabs>
          <w:tab w:leader="none" w:pos="114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Spectrum Brands will not, and will not permit any of its Restricted Subsidiaries to, directly or indirectly, incur any Indebtedness (including Acquired Debt), and Spectrum Brands will not permit any of its Restricted Subsidiaries to issue any preferred stock; provided, however, that Spectrum Brands or any Guarantor may incur Indebtedness, if the Fixed Charge Coverage Ratio for Spectrum Brands’ most recently ended four full fiscal quarters for which internal financial statements are available immediately preceding the date on which such additional Indebtedness is incurred would have been at least 2.0 to 1, determined on a pro forma basis (including a pro forma application of the net proceeds therefrom), as if the additional Indebtedness had been incurred at the beginning of such four-quarter period.</w:t>
      </w:r>
    </w:p>
    <w:p>
      <w:pPr>
        <w:spacing w:after="0" w:line="70" w:lineRule="exact"/>
        <w:rPr>
          <w:rFonts w:ascii="Arial" w:cs="Arial" w:eastAsia="Arial" w:hAnsi="Arial"/>
          <w:sz w:val="17"/>
          <w:szCs w:val="17"/>
          <w:color w:val="auto"/>
        </w:rPr>
      </w:pPr>
    </w:p>
    <w:p>
      <w:pPr>
        <w:ind w:left="1600" w:hanging="259"/>
        <w:spacing w:after="0"/>
        <w:tabs>
          <w:tab w:leader="none" w:pos="160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Paragraph (a) of this covenant will not prohibit the incurrence of any of the following items of Indebtedness (collectively, “Permitted</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Debt”):</w:t>
      </w:r>
    </w:p>
    <w:p>
      <w:pPr>
        <w:spacing w:after="0" w:line="103" w:lineRule="exact"/>
        <w:rPr>
          <w:sz w:val="20"/>
          <w:szCs w:val="20"/>
          <w:color w:val="auto"/>
        </w:rPr>
      </w:pPr>
    </w:p>
    <w:p>
      <w:pPr>
        <w:ind w:left="460" w:firstLine="443"/>
        <w:spacing w:after="0" w:line="289" w:lineRule="auto"/>
        <w:tabs>
          <w:tab w:leader="none" w:pos="115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incurrence by Spectrum Brands or any Guarantor of Indebtedness (including Indebtedness under the Revolving Credit Agreement, the Term Loan Agreement and the Existing Senior Secured Notes) under Credit Facilities (and the incurrence of Guarantees thereof) in an aggregate principal amount at any one time outstanding pursuant to this clause (1) (with letters of credit being deemed to have a principal amount equal to the maximum potential liability of Spectrum Brands and its Restricted Subsidiaries thereunder) not to exceed the sum of (A) the greater of $500 million and the Borrowing Base; and (B) the greater of (x) $2,000 million and (y) an amount such that, on a pro forma basis after giving effect to the incurrence of such Indebtedness (and application of the net proceeds therefrom), the Secured Leverage Ratio would be no greater than 3.25 to 1.0 (provided that only Indebtedness that is secured by a Lien may be incurred under clause (y)); less the aggregate amount of all Net Proceeds of Asset Sales applied by Spectrum Brands or any Restricted Subsidiary to permanently repay any such Indebtedness (and, in the case of any revolving credit Indebtedness, to effect a corresponding commitment reduction thereunder) pursuant to the covenant “—Repurchase at the Option of Holders—Asset Sales”;</w:t>
      </w:r>
    </w:p>
    <w:p>
      <w:pPr>
        <w:spacing w:after="0" w:line="58" w:lineRule="exact"/>
        <w:rPr>
          <w:rFonts w:ascii="Arial" w:cs="Arial" w:eastAsia="Arial" w:hAnsi="Arial"/>
          <w:sz w:val="16"/>
          <w:szCs w:val="16"/>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incurrence of Existing Indebtedness;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incurrence by Spectrum Brands and the Guarantors of Indebtedness represented by the 2020/2022 notes and the related Note Guarantees;</w:t>
      </w:r>
    </w:p>
    <w:p>
      <w:pPr>
        <w:spacing w:after="0" w:line="140" w:lineRule="exact"/>
        <w:rPr>
          <w:rFonts w:ascii="Arial" w:cs="Arial" w:eastAsia="Arial" w:hAnsi="Arial"/>
          <w:sz w:val="16"/>
          <w:szCs w:val="16"/>
          <w:color w:val="auto"/>
        </w:rPr>
      </w:pPr>
    </w:p>
    <w:p>
      <w:pPr>
        <w:ind w:left="460" w:firstLine="443"/>
        <w:spacing w:after="0" w:line="271" w:lineRule="auto"/>
        <w:tabs>
          <w:tab w:leader="none" w:pos="115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incurrence by Spectrum Brands or any Restricted Subsidiary of Spectrum Brands of Indebtedness (including Capital Lease Obligations, mortgage financings or purchase money obligations), incurred for the purpose of financing or reimbursing all or any part of the purchase price or cost of the acquisition, development, construction, purchase, lease, repair, addition or improvement of property (real or personal), plant, equipment or other fixed or capital assets that are used or useful in the Permitted Business, whether through the direct purchase of assets or the purchase of Equity Interests of any Person owning such assets (in each case, incurred within 365 days of such acquisition, development, construction, purchase, lease, repair, addition or improvement), in an aggregate principal amount, including all Permitted Refinancing Indebtedness incurred to refund, refinance or replace any Indebtedness incurred pursuant to this clause (4), not to exceed, at any time outstanding, the greater of (a) $200.0 million and (b) 17.5% of Consolidated Net Tangible Assets of Spectrum Brands;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firstLine="443"/>
        <w:spacing w:after="0" w:line="312" w:lineRule="auto"/>
        <w:tabs>
          <w:tab w:leader="none" w:pos="115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incurrence by Spectrum Brands or any Restricted Subsidiary of Spectrum Brands of Permitted Refinancing Indebtedness in exchange for, or the net proceeds of which are used to refund, refinance or replace Indebtedness (other than intercompany Indebtedness) that was permitted by the 2020/2022 indenture to be incurred under the first paragraph of this covenant or clauses (2), (3), (4), (5), (8), (10) or (11) of this paragraph;</w:t>
      </w:r>
    </w:p>
    <w:p>
      <w:pPr>
        <w:spacing w:after="0" w:line="38" w:lineRule="exact"/>
        <w:rPr>
          <w:rFonts w:ascii="Arial" w:cs="Arial" w:eastAsia="Arial" w:hAnsi="Arial"/>
          <w:sz w:val="16"/>
          <w:szCs w:val="16"/>
          <w:color w:val="auto"/>
        </w:rPr>
      </w:pPr>
    </w:p>
    <w:p>
      <w:pPr>
        <w:ind w:left="460" w:right="20" w:firstLine="443"/>
        <w:spacing w:after="0" w:line="277" w:lineRule="auto"/>
        <w:tabs>
          <w:tab w:leader="none" w:pos="11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incurrence by Spectrum Brands or any of its Restricted Subsidiaries of intercompany Indebtedness owing to and held by Spectrum Brands or any of its Restricted Subsidiaries; provided, however, that:</w:t>
      </w:r>
    </w:p>
    <w:p>
      <w:pPr>
        <w:spacing w:after="0" w:line="62" w:lineRule="exact"/>
        <w:rPr>
          <w:rFonts w:ascii="Arial" w:cs="Arial" w:eastAsia="Arial" w:hAnsi="Arial"/>
          <w:sz w:val="18"/>
          <w:szCs w:val="18"/>
          <w:color w:val="auto"/>
        </w:rPr>
      </w:pPr>
    </w:p>
    <w:p>
      <w:pPr>
        <w:ind w:left="920" w:right="260" w:firstLine="421"/>
        <w:spacing w:after="0" w:line="264" w:lineRule="auto"/>
        <w:tabs>
          <w:tab w:leader="none" w:pos="158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Spectrum Brands or any Guarantor is the obligor on such Indebtedness, such Indebtedness must be unsecured and expressly subordinated to the prior payment in full in cash of all Obligations with respect to the 2020/2022 notes, in the case of Spectrum Brands, or the Note Guarantee, in the case of a Guarantor; and</w:t>
      </w:r>
    </w:p>
    <w:p>
      <w:pPr>
        <w:spacing w:after="0" w:line="73" w:lineRule="exact"/>
        <w:rPr>
          <w:rFonts w:ascii="Arial" w:cs="Arial" w:eastAsia="Arial" w:hAnsi="Arial"/>
          <w:sz w:val="18"/>
          <w:szCs w:val="18"/>
          <w:color w:val="auto"/>
        </w:rPr>
      </w:pPr>
    </w:p>
    <w:p>
      <w:pPr>
        <w:ind w:left="920" w:right="60" w:firstLine="421"/>
        <w:spacing w:after="0" w:line="279" w:lineRule="auto"/>
        <w:tabs>
          <w:tab w:leader="none" w:pos="1595" w:val="left"/>
        </w:tabs>
        <w:numPr>
          <w:ilvl w:val="1"/>
          <w:numId w:val="115"/>
        </w:numPr>
        <w:rPr>
          <w:rFonts w:ascii="Arial" w:cs="Arial" w:eastAsia="Arial" w:hAnsi="Arial"/>
          <w:sz w:val="17"/>
          <w:szCs w:val="17"/>
          <w:color w:val="auto"/>
        </w:rPr>
      </w:pPr>
      <w:r>
        <w:rPr>
          <w:rFonts w:ascii="Arial" w:cs="Arial" w:eastAsia="Arial" w:hAnsi="Arial"/>
          <w:sz w:val="17"/>
          <w:szCs w:val="17"/>
          <w:color w:val="auto"/>
        </w:rPr>
        <w:t>(i) any subsequent issuance or transfer of Equity Interests that results in any such Indebtedness being held by a Person other than Spectrum Brands or a Restricted Subsidiary thereof and (ii) any sale or other transfer of any such Indebtedness to a Person that is not either Spectrum Brands or a Restricted Subsidiary thereof, shall be deemed, in each case, to constitute an incurrence of such Indebtedness by Spectrum Brands or such Restricted Subsidiary, as the case may be, that was not permitted by this clause (6);</w:t>
      </w:r>
    </w:p>
    <w:p>
      <w:pPr>
        <w:spacing w:after="0" w:line="63" w:lineRule="exact"/>
        <w:rPr>
          <w:rFonts w:ascii="Arial" w:cs="Arial" w:eastAsia="Arial" w:hAnsi="Arial"/>
          <w:sz w:val="17"/>
          <w:szCs w:val="17"/>
          <w:color w:val="auto"/>
        </w:rPr>
      </w:pPr>
    </w:p>
    <w:p>
      <w:pPr>
        <w:ind w:left="460" w:right="120" w:firstLine="443"/>
        <w:spacing w:after="0" w:line="277" w:lineRule="auto"/>
        <w:tabs>
          <w:tab w:leader="none" w:pos="11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Guarantee by Spectrum Brands or any Restricted Subsidiary of Indebtedness of Spectrum Brands or a Restricted Subsidiary of Spectrum Brands that was permitted to be incurred by another provision of this covenant;</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1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incurrence by Spectrum Brands or any Restricted Subsidiary of Spectrum Brands of additional Indebtedness in an aggregate principal amount (or accreted amount as applicable) at any time outstanding, including all Permitted Refinancing Indebtedness incurred to refund, refinance or replace any Indebtedness incurred pursuant to this clause (8), not to exceed the greater of (a) $250.0 million and (b) 20% of Consolidated Net Tangible Assets of Spectrum Brands;</w:t>
      </w:r>
    </w:p>
    <w:p>
      <w:pPr>
        <w:spacing w:after="0" w:line="78" w:lineRule="exact"/>
        <w:rPr>
          <w:rFonts w:ascii="Arial" w:cs="Arial" w:eastAsia="Arial" w:hAnsi="Arial"/>
          <w:sz w:val="18"/>
          <w:szCs w:val="18"/>
          <w:color w:val="auto"/>
        </w:rPr>
      </w:pPr>
    </w:p>
    <w:p>
      <w:pPr>
        <w:ind w:left="460" w:right="120" w:firstLine="443"/>
        <w:spacing w:after="0" w:line="286" w:lineRule="auto"/>
        <w:tabs>
          <w:tab w:leader="none" w:pos="115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incurrence of Indebtedness by Spectrum Brands or any Restricted Subsidiary of Spectrum Brands arising from the honoring by a bank or other financial institution of a check, draft or similar instrument inadvertently (except in the case of daylight overdrafts) drawn against insufficient funds in the ordinary course of business; provided that such Indebtedness is extinguished within five Business Days of incurrence;</w:t>
      </w:r>
    </w:p>
    <w:p>
      <w:pPr>
        <w:spacing w:after="0" w:line="57" w:lineRule="exact"/>
        <w:rPr>
          <w:rFonts w:ascii="Arial" w:cs="Arial" w:eastAsia="Arial" w:hAnsi="Arial"/>
          <w:sz w:val="17"/>
          <w:szCs w:val="17"/>
          <w:color w:val="auto"/>
        </w:rPr>
      </w:pPr>
    </w:p>
    <w:p>
      <w:pPr>
        <w:ind w:left="460" w:right="260" w:firstLine="443"/>
        <w:spacing w:after="0" w:line="264" w:lineRule="auto"/>
        <w:tabs>
          <w:tab w:leader="none" w:pos="124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Acquired Debt; provided that after giving effect to the incurrence thereof, Spectrum Brands either (x) could incur $1.00 of indebtedness under paragraph (a) above or (y) would have had a Fixed Charge Coverage Ratio equal to or greater than the actual Fixed Charge Coverage Ratio of Spectrum Brands for the four-quarter period immediately prior to such transaction;</w:t>
      </w:r>
    </w:p>
    <w:p>
      <w:pPr>
        <w:spacing w:after="0" w:line="73" w:lineRule="exact"/>
        <w:rPr>
          <w:rFonts w:ascii="Arial" w:cs="Arial" w:eastAsia="Arial" w:hAnsi="Arial"/>
          <w:sz w:val="18"/>
          <w:szCs w:val="18"/>
          <w:color w:val="auto"/>
        </w:rPr>
      </w:pPr>
    </w:p>
    <w:p>
      <w:pPr>
        <w:ind w:left="460" w:firstLine="443"/>
        <w:spacing w:after="0" w:line="264" w:lineRule="auto"/>
        <w:tabs>
          <w:tab w:leader="none" w:pos="12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incurrence of Indebtedness of Foreign Subsidiaries in an aggregate principal amount (or accreted value, as applicable) at any time outstanding, including all Permitted Refinancing Indebtedness incurred to refund, refinance or replace any Indebtedness incurred pursuant to this clause (11), not to exceed $300.0 million, and Guarantees thereof by any Foreign Subsidiary;</w:t>
      </w:r>
    </w:p>
    <w:p>
      <w:pPr>
        <w:spacing w:after="0" w:line="73"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color w:val="auto"/>
        </w:rPr>
        <w:t>(12)(A) Indebtedness in respect of bid, performance or surety bonds, workers’ compensation claims, self-insurance obligations or health, disability or other benefits to employees or former employees or their families, and Indebtedness incurred in connection with the maintenance of, or pursuant to the requirements of, environmental or other permits or licenses from governmental authorities, in each case incurred in the ordinary course of business, including guarantees or obligations of Spectrum Brands or any Restricted Subsidiary with respect to letters of credit supporting such obligations (in each case other than for an obligation for money borrowed); and (B) Indebtedness consisting of the financing of insurance premiums, in the ordinary course of business;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37"/>
        <w:spacing w:after="0"/>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117" w:lineRule="exact"/>
        <w:rPr>
          <w:rFonts w:ascii="Arial" w:cs="Arial" w:eastAsia="Arial" w:hAnsi="Arial"/>
          <w:sz w:val="18"/>
          <w:szCs w:val="18"/>
          <w:color w:val="auto"/>
        </w:rPr>
      </w:pPr>
    </w:p>
    <w:p>
      <w:pPr>
        <w:ind w:left="460" w:right="100" w:firstLine="443"/>
        <w:spacing w:after="0" w:line="308" w:lineRule="auto"/>
        <w:tabs>
          <w:tab w:leader="none" w:pos="124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Indebtedness of Spectrum Brands or any Restricted Subsidiary incurred in the ordinary course of business under guarantees of Indebtedness of suppliers, licensees, franchisees or customers in an aggregate amount not to exceed $5.0 million at any time outstanding;</w:t>
      </w:r>
    </w:p>
    <w:p>
      <w:pPr>
        <w:spacing w:after="0" w:line="38" w:lineRule="exact"/>
        <w:rPr>
          <w:rFonts w:ascii="Arial" w:cs="Arial" w:eastAsia="Arial" w:hAnsi="Arial"/>
          <w:sz w:val="17"/>
          <w:szCs w:val="17"/>
          <w:color w:val="auto"/>
        </w:rPr>
      </w:pPr>
    </w:p>
    <w:p>
      <w:pPr>
        <w:ind w:left="460" w:right="280" w:firstLine="443"/>
        <w:spacing w:after="0" w:line="277" w:lineRule="auto"/>
        <w:tabs>
          <w:tab w:leader="none" w:pos="124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incurrence by Spectrum Brands or any of its Restricted Subsidiaries of Indebtedness solely in respect of premium financing or similar deferred payment obligations with respect to insurance policies purchased in the ordinary course of business;</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Contribution Indebtedness; and</w:t>
      </w:r>
    </w:p>
    <w:p>
      <w:pPr>
        <w:spacing w:after="0" w:line="117" w:lineRule="exact"/>
        <w:rPr>
          <w:rFonts w:ascii="Arial" w:cs="Arial" w:eastAsia="Arial" w:hAnsi="Arial"/>
          <w:sz w:val="18"/>
          <w:szCs w:val="18"/>
          <w:color w:val="auto"/>
        </w:rPr>
      </w:pPr>
    </w:p>
    <w:p>
      <w:pPr>
        <w:ind w:left="460" w:right="60" w:firstLine="443"/>
        <w:spacing w:after="0" w:line="286" w:lineRule="auto"/>
        <w:tabs>
          <w:tab w:leader="none" w:pos="124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Indebtedness incurred on behalf of, or representing Guarantees of Indebtedness of, joint ventures of Spectrum Brands or any Restricted Subsidiary; provided, however, that the aggregate principal amount of Indebtedness incurred under this clause (17), when aggregated with the principal amount of all other Indebtedness then outstanding and Incurred pursuant to this clause (17) does not exceed $50.0 million.</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purposes of determining compliance with this “Incurrence of Indebtedness and Issuance of Preferred Stock” covenant, in the event that any proposed Indebtedness meets the criteria of more than one of the categories of Permitted Debt described in clauses (1) through (17) above, or is entitled to be incurred pursuant to paragraph (a) of this covenant, Spectrum Brands will be permitted to divide, classify or reclassify at the time of its incurrence such item of Indebtedness in any manner that complies with this covenant; and</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addition, any Indebtedness originally classified as incurred pursuant to paragraph (a) or clauses (1) through (17) above may later be reclassified by Spectrum Brands such that it will be deemed as having been incurred pursuant to another of such clauses or paragraph (a) above to the extent that such reclassified Indebtedness could be incurred pursuant to such new clause or paragraph (a) at the time of such reclassification (based on circumstances existing at the time of such reclassification). If any Contribution Debt is designated as incurred under any provision other than clause (16) under paragraph (b), the related issuance of Equity Interests may be included in any calculation under paragraph (A)(3)(b) of “Restricted Payments.”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the foregoing, any Indebtedness incurred pursuant to clause (1) above shall be deemed for purposes of this covenant to have been incurred on the date such Indebtedness was first incurred until such Indebtedness is actually repaid, other than pursuant to “cash sweep” provisions or any similar provisions under any Credit Facility that provides that such Indebtedness is deemed to be repaid daily (or otherwise periodically).</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amount of Indebtedness incurred in any foreign currency for purposes of the 2020/2022 indenture shall be converted into U.S. dollars at the time of incurrence and the amount of such Indebtedness outstanding will not be deemed to change as a result of fluctuations in currency exchange rates after such date of incurrence.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Spectrum Brands shall not incur any Indebtedness that is subordinated or junior in right of payment to any Indebtedness of Spectrum Brands unless it is subordinated in right of payment to the 2020/2022 notes at least to the same extent. No Guarantor shall incur any Indebtedness that is subordinated or junior in right of payment to the Indebtedness of such Guarantor unless it is subordinated in right of payment to such Guarantor’s Note Guarantee at least to the same extent. For purposes of the foregoing, no Indebtedness will be deemed to be subordinated or junior in right of payment to any other Indebtedness of Spectrum Brands or any Guarantor, as applicable, solely by reason of any Liens or Guarantees arising or created in respect thereof or by virtue of the fact that the holders of any secured Indebtedness have entered into intercreditor agreements giving one or more of such holders priority over the other holders in the collateral held by them.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Liens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Spectrum Brands will not, and will not permit any of its Restricted Subsidiaries to, create, incur, assume or otherwise cause or suffer to exist or become effective any Lien of any kind (other than Permitted Liens) upon any of their property or assets, now owned or hereafter acquired, without effectively providing that the 2020/2022 notes are secured equally and ratably with (or, if the obligation to be secured by the Lien is subordinated in right of payment to the 2020/2022 notes or any Note Guarantee, prior to) the obligations so secured for so long as such obligations are so secured.</w:t>
      </w:r>
    </w:p>
    <w:p>
      <w:pPr>
        <w:spacing w:after="0" w:line="17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For purposes of determining compliance with this covenant, (A) a Lien securing an item of Indebtedness need not be permitted solely by reference to one category of permitted Liens described in clauses (1) through (27) of the definition of “Permitted Liens” or pursuant to the first paragraph of this covenant but may be permitted in part under any combination thereof and (B) in the event that a Lien securing an item of Indebtedness, Disqualified Stock or preferred stock (or any portion thereof) meets the criteria of one or more of the categories of permitted Liens described in clauses (1) through (27) of the definition of “Permitted Liens” or pursuant to the first paragraph of this covenant, Spectrum Brands shall, in its sole discretion, classify or reclassify, or later divide, classify or reclassify, such Lien securing such item of Indebtedness (or any portion thereof) in any manner that complies with this covenant and will only be required to include the amount and type of such Lien or such item of Indebtedness secured by such Lien in one of the clauses of the definition of “Permitted Liens” and such Lien securing such item of Indebtedness will be treated as being Incurred or existing pursuant to only one of such clauses or pursuant to the first paragraph hereof.</w:t>
      </w:r>
    </w:p>
    <w:p>
      <w:pPr>
        <w:spacing w:after="0" w:line="19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17"/>
          <w:szCs w:val="17"/>
          <w:i w:val="1"/>
          <w:iCs w:val="1"/>
          <w:color w:val="auto"/>
        </w:rPr>
        <w:t>Increased Amount</w:t>
      </w:r>
      <w:r>
        <w:rPr>
          <w:rFonts w:ascii="Arial" w:cs="Arial" w:eastAsia="Arial" w:hAnsi="Arial"/>
          <w:sz w:val="17"/>
          <w:szCs w:val="17"/>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the payment of dividends on preferred stock in the form of additional shares of preferred stock of the same class, accretion of original issue discount or liquidation preference and increases in the amount of Indebtedness outstanding solely as a result of fluctuations in the exchange rate of currencies or increases in the value of property securing Indebtedness described in subclause (x) of the second paragraph of the definition of “Indebtedness”.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and Other Payment Restrictions Affecting Restricted Subsidiaries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Spectrum Brands will not, and will not permit any of its Restricted Subsidiaries to, directly or indirectly, create or permit to exist or become effective any consensual encumbrance or restriction on the ability of any Restricted Subsidiary to:</w:t>
      </w:r>
    </w:p>
    <w:p>
      <w:pPr>
        <w:spacing w:after="0" w:line="62" w:lineRule="exact"/>
        <w:rPr>
          <w:sz w:val="20"/>
          <w:szCs w:val="20"/>
          <w:color w:val="auto"/>
        </w:rPr>
      </w:pPr>
    </w:p>
    <w:p>
      <w:pPr>
        <w:ind w:left="460" w:right="60" w:firstLine="443"/>
        <w:spacing w:after="0" w:line="342" w:lineRule="auto"/>
        <w:tabs>
          <w:tab w:leader="none" w:pos="115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(or with respect to any other interest or participation in, or measured by, its profits) to Spectrum Brands or any of its Restricted Subsidiaries or pay any liabilities owed to Spectrum Brands or any of its Restricted Subsidiaries;</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make loans or advances to Spectrum Brands or any of its Restricted Subsidiaries;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 any of its properties or assets to Spectrum Brands or any of its Restricted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 or with respect to:</w:t>
      </w:r>
    </w:p>
    <w:p>
      <w:pPr>
        <w:spacing w:after="0" w:line="117" w:lineRule="exact"/>
        <w:rPr>
          <w:sz w:val="20"/>
          <w:szCs w:val="20"/>
          <w:color w:val="auto"/>
        </w:rPr>
      </w:pPr>
    </w:p>
    <w:p>
      <w:pPr>
        <w:ind w:left="1160" w:hanging="257"/>
        <w:spacing w:after="0"/>
        <w:tabs>
          <w:tab w:leader="none" w:pos="11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Revolving Credit Agreement, the Term Loan Agreement, Existing Indebtedness or any other agreements as in effect on the Issue Date;</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firstLine="443"/>
        <w:spacing w:after="0" w:line="286" w:lineRule="auto"/>
        <w:tabs>
          <w:tab w:leader="none" w:pos="115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Person or the property or assets of a Person acquired by Spectrum Brands or any of its Restricted Subsidiaries existing at the time of such acquisition and not incurred in connection with or in contemplation of such acquisition, which encumbrance or restriction is not applicable to any Person or the properties or assets of any Person, other than the Person, or the property or assets of the Person, so acquired;</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clause (3) of the first paragraph of this covenant:</w:t>
      </w:r>
    </w:p>
    <w:p>
      <w:pPr>
        <w:spacing w:after="0" w:line="117" w:lineRule="exact"/>
        <w:rPr>
          <w:rFonts w:ascii="Arial" w:cs="Arial" w:eastAsia="Arial" w:hAnsi="Arial"/>
          <w:sz w:val="18"/>
          <w:szCs w:val="18"/>
          <w:color w:val="auto"/>
        </w:rPr>
      </w:pPr>
    </w:p>
    <w:p>
      <w:pPr>
        <w:ind w:left="920" w:right="420" w:firstLine="421"/>
        <w:spacing w:after="0" w:line="277" w:lineRule="auto"/>
        <w:tabs>
          <w:tab w:leader="none" w:pos="158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provisions that restrict in a customary manner the subletting, assignment or transfer of any property or asset that is a lease, license, conveyance or contract or similar property or asset;</w:t>
      </w:r>
    </w:p>
    <w:p>
      <w:pPr>
        <w:spacing w:after="0" w:line="62" w:lineRule="exact"/>
        <w:rPr>
          <w:rFonts w:ascii="Arial" w:cs="Arial" w:eastAsia="Arial" w:hAnsi="Arial"/>
          <w:sz w:val="18"/>
          <w:szCs w:val="18"/>
          <w:color w:val="auto"/>
        </w:rPr>
      </w:pPr>
    </w:p>
    <w:p>
      <w:pPr>
        <w:ind w:left="920" w:right="60" w:firstLine="421"/>
        <w:spacing w:after="0" w:line="277" w:lineRule="auto"/>
        <w:tabs>
          <w:tab w:leader="none" w:pos="159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restrictions existing by virtue of any transfer of, agreement to transfer, option or right with respect to, or Lien on, any property or assets of Spectrum Brands or any Restricted Subsidiary not otherwise prohibited by the 2020/2022 indenture; or</w:t>
      </w:r>
    </w:p>
    <w:p>
      <w:pPr>
        <w:spacing w:after="0" w:line="62" w:lineRule="exact"/>
        <w:rPr>
          <w:rFonts w:ascii="Arial" w:cs="Arial" w:eastAsia="Arial" w:hAnsi="Arial"/>
          <w:sz w:val="18"/>
          <w:szCs w:val="18"/>
          <w:color w:val="auto"/>
        </w:rPr>
      </w:pPr>
    </w:p>
    <w:p>
      <w:pPr>
        <w:ind w:left="920" w:right="120" w:firstLine="421"/>
        <w:spacing w:after="0" w:line="264" w:lineRule="auto"/>
        <w:tabs>
          <w:tab w:leader="none" w:pos="158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restrictions arising or agreed to in the ordinary course of business, not relating to any Indebtedness, and that do not, individually or in the aggregate, detract from the value of property or assets of Spectrum Brands or any Restricted Subsidiary in any manner material to Spectrum Brands or any Restricted Subsidiary;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joint venture agreements and other agreements;</w:t>
      </w:r>
    </w:p>
    <w:p>
      <w:pPr>
        <w:spacing w:after="0" w:line="140" w:lineRule="exact"/>
        <w:rPr>
          <w:rFonts w:ascii="Arial" w:cs="Arial" w:eastAsia="Arial" w:hAnsi="Arial"/>
          <w:sz w:val="16"/>
          <w:szCs w:val="16"/>
          <w:color w:val="auto"/>
        </w:rPr>
      </w:pPr>
    </w:p>
    <w:p>
      <w:pPr>
        <w:ind w:left="460" w:right="700" w:firstLine="443"/>
        <w:spacing w:after="0" w:line="277" w:lineRule="auto"/>
        <w:tabs>
          <w:tab w:leader="none" w:pos="11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all or substantially all of the capital stock of, or property and assets of, a Restricted Subsidiary that restricts distributions by that Restricted Subsidiary pending such sale or other disposition;</w:t>
      </w:r>
    </w:p>
    <w:p>
      <w:pPr>
        <w:spacing w:after="0" w:line="62" w:lineRule="exact"/>
        <w:rPr>
          <w:rFonts w:ascii="Arial" w:cs="Arial" w:eastAsia="Arial" w:hAnsi="Arial"/>
          <w:sz w:val="18"/>
          <w:szCs w:val="18"/>
          <w:color w:val="auto"/>
        </w:rPr>
      </w:pPr>
    </w:p>
    <w:p>
      <w:pPr>
        <w:ind w:left="460" w:right="240" w:firstLine="443"/>
        <w:spacing w:after="0" w:line="259" w:lineRule="auto"/>
        <w:tabs>
          <w:tab w:leader="none" w:pos="11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Indebtedness of a Foreign Subsidiary permitted to be incurred under the 2020/2022 indenture; provided that (a) such encumbrances or restrictions are ordinary and customary with respect to the type of Indebtedness being incurred and (b) such encumbrances or restrictions will not materially (in good faith by the Board of Directors of Spectrum Brands) impair Spectrum Brands’ ability to make principal and interest payments on the 2020/2022 notes, as determined;</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2020/2022 indenture, the 2020/2022 notes, any Additional Notes or the Guarantees;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w:t>
      </w:r>
    </w:p>
    <w:p>
      <w:pPr>
        <w:spacing w:after="0" w:line="140" w:lineRule="exact"/>
        <w:rPr>
          <w:rFonts w:ascii="Arial" w:cs="Arial" w:eastAsia="Arial" w:hAnsi="Arial"/>
          <w:sz w:val="16"/>
          <w:szCs w:val="16"/>
          <w:color w:val="auto"/>
        </w:rPr>
      </w:pPr>
    </w:p>
    <w:p>
      <w:pPr>
        <w:jc w:val="both"/>
        <w:ind w:left="460" w:right="40" w:firstLine="443"/>
        <w:spacing w:after="0" w:line="259" w:lineRule="auto"/>
        <w:tabs>
          <w:tab w:leader="none" w:pos="124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Indebtedness, Disqualified Stock or preferred stock of Restricted Subsidiaries permitted to be incurred after the Issue Date pursuant to the provisions of the covenant described under “—Incurrence of Indebtedness and Issuance of Preferred Stock”; provided that such restrictions will not materially (in the good faith judgment of the Board of Directors of Spectrum Brands) impair Spectrum Brands’ ability to make principal and interest payments on the 2020/2022 notes;</w:t>
      </w:r>
    </w:p>
    <w:p>
      <w:pPr>
        <w:spacing w:after="0" w:line="78" w:lineRule="exact"/>
        <w:rPr>
          <w:rFonts w:ascii="Arial" w:cs="Arial" w:eastAsia="Arial" w:hAnsi="Arial"/>
          <w:sz w:val="18"/>
          <w:szCs w:val="18"/>
          <w:color w:val="auto"/>
        </w:rPr>
      </w:pPr>
    </w:p>
    <w:p>
      <w:pPr>
        <w:ind w:left="460" w:right="60" w:firstLine="443"/>
        <w:spacing w:after="0" w:line="276" w:lineRule="auto"/>
        <w:tabs>
          <w:tab w:leader="none" w:pos="123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restrictions or conditions contained in any trading, netting, operating, construction, service, supply, purchase or other agreement to which Spectrum Brands or any of its Restricted Subsidiaries is a party and entered into in the ordinary course of business; provided that such agreement prohibits the encumbrance of solely the property or assets of Spectrum Brands or such Restricted Subsidiary that are the subject of such agreement, the payment rights arising thereunder or the proceeds thereof and does not extend to any other asset or property of Spectrum Brands or such Restricted Subsidiary or the assets or property of any other Restricted Subsidiary;</w:t>
      </w:r>
    </w:p>
    <w:p>
      <w:pPr>
        <w:spacing w:after="0" w:line="64" w:lineRule="exact"/>
        <w:rPr>
          <w:rFonts w:ascii="Arial" w:cs="Arial" w:eastAsia="Arial" w:hAnsi="Arial"/>
          <w:sz w:val="17"/>
          <w:szCs w:val="17"/>
          <w:color w:val="auto"/>
        </w:rPr>
      </w:pPr>
    </w:p>
    <w:p>
      <w:pPr>
        <w:ind w:left="460" w:firstLine="443"/>
        <w:spacing w:after="0" w:line="297" w:lineRule="auto"/>
        <w:tabs>
          <w:tab w:leader="none" w:pos="124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instrument governing any Indebtedness or Capital Stock of a Person that is an Unrestricted Subsidiary as in effect on the date that such Person becomes a Restricted Subsidiary, which encumbrance or restriction is not applicable to any Person, or the properties or assets of any Person, other than the Person who became a Restricted Subsidiary, or the property or assets of the Person who became a Restricted Subsidiary and was not entered into in contemplation of the designation of such Subsidiary as a Restricted Subsidiary; provided that, in the case of Indebtedness, the incurrence of such Indebtedness as a result of such Person becoming a Restricted Subsidiary was permitted by the terms of the 2020/2022 indenture;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firstLine="443"/>
        <w:spacing w:after="0" w:line="277" w:lineRule="auto"/>
        <w:tabs>
          <w:tab w:leader="none" w:pos="124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purchase money obligations for property acquired and Capital Lease Obligations in the ordinary course of business that impose restrictions of the nature discussed in clause (3) of the first paragraph of this covenant on the property so acquired; and</w:t>
      </w:r>
    </w:p>
    <w:p>
      <w:pPr>
        <w:spacing w:after="0" w:line="62" w:lineRule="exact"/>
        <w:rPr>
          <w:rFonts w:ascii="Arial" w:cs="Arial" w:eastAsia="Arial" w:hAnsi="Arial"/>
          <w:sz w:val="18"/>
          <w:szCs w:val="18"/>
          <w:color w:val="auto"/>
        </w:rPr>
      </w:pPr>
    </w:p>
    <w:p>
      <w:pPr>
        <w:ind w:left="460" w:right="140" w:firstLine="443"/>
        <w:spacing w:after="0" w:line="273" w:lineRule="auto"/>
        <w:tabs>
          <w:tab w:leader="none" w:pos="124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encumbrances or restrictions of the type referred to in clauses (1), (2) and (3) of the first paragraph of this covenant imposed by any amendments, modifications, restatements, renewals, increases, supplements, refundings, replacements or refinancings of the contracts, instruments or obligations referred to in clauses (1) through (13) above; provided that such amendments, modifications, restatements, renewals, increases, supplements, refundings, replacements or refinancings are, in the good faith judgment of Spectrum Brands’ Board of Directors, not materially more restrictive with respect to such encumbrance and other restrictions than those prior to such amendment, modification, restatement, renewal, increase, supplement, refunding, replacement or refinancing.</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determining compliance with this covenant,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Spectrum Brands or a Restricted Subsidiary of Spectrum Brands to other Indebtedness Incurred by Spectrum Brands or any such Restricted Subsidiary shall not be deemed a restriction on the ability to make loans or advances.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Spectrum Brands will not, directly or indirectly: (1) consolidate or merge with or into another Person (whether or not Spectrum Brands is the surviving corporation) or (2) sell, assign, transfer, convey or otherwise dispose of all or substantially all of the properties and assets of Spectrum Brands and its Restricted Subsidiaries taken as a whole, in one or more related transactions, to another Person or Persons, unless:</w:t>
      </w:r>
    </w:p>
    <w:p>
      <w:pPr>
        <w:spacing w:after="0" w:line="73" w:lineRule="exact"/>
        <w:rPr>
          <w:sz w:val="20"/>
          <w:szCs w:val="20"/>
          <w:color w:val="auto"/>
        </w:rPr>
      </w:pPr>
    </w:p>
    <w:p>
      <w:pPr>
        <w:ind w:left="460" w:right="40" w:firstLine="443"/>
        <w:spacing w:after="0" w:line="257" w:lineRule="auto"/>
        <w:tabs>
          <w:tab w:leader="none" w:pos="115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either: (a) Spectrum Brands is the surviving corporation; or (b) the Person formed by or surviving any such consolidation or merger (if other than Spectrum Brands) or to which such sale, assignment, transfer, conveyance or other disposition shall have been made (i) is a corporation or limited liability company organized or existing under the laws of the United States, any state thereof or the District of Columbia and (ii) assumes all the obligations of Spectrum Brands under the 2020/2022 notes, the 2020/2022 indenture, and the Registration Rights Agreement pursuant to agreements reasonably satisfactory to the Trustee;</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117" w:lineRule="exact"/>
        <w:rPr>
          <w:rFonts w:ascii="Arial" w:cs="Arial" w:eastAsia="Arial" w:hAnsi="Arial"/>
          <w:sz w:val="18"/>
          <w:szCs w:val="18"/>
          <w:color w:val="auto"/>
        </w:rPr>
      </w:pPr>
    </w:p>
    <w:p>
      <w:pPr>
        <w:ind w:left="460" w:firstLine="443"/>
        <w:spacing w:after="0" w:line="272" w:lineRule="auto"/>
        <w:tabs>
          <w:tab w:leader="none" w:pos="115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on a pro forma basis, Spectrum Brands or the Person formed by or surviving any such consolidation or merger (if other than Spectrum Brands), or to which such sale, assignment, transfer, conveyance or other disposition shall have been made, will, on the date of such transaction after giving pro forma effect thereto and any related financing transactions as if the same had occurred at the beginning of the applicable four-quarter period, be (i) permitted to incur at least $1.00 of additional Indebtedness pursuant to the Fixed Charge Coverage Ratio test set forth in the first paragraph of the covenant described above under the caption “—Incurrence of Indebtedness and Issuance of Preferred Stock” or (ii) have had a Fixed Charge Coverage Ratio equal to or greater than the actual Fixed Charge Coverage Ratio of Spectrum Brands for the four-quarter period immediately prior to such transaction.</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neither Spectrum Brands nor any Restricted Subsidiary may, directly or indirectly, lease all or substantially all of its properties or assets, in one or more related transactions, to any other Person. Clauses (2) and (3) above of this “Merger, Consolidation or Sale of Assets” covenant will not apply to any merger, consolidation or sale, assignment, transfer, lease, conveyance or other disposition of assets between or among Spectrum Brands and any of its Restricted Subsidiaries.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60"/>
          </w:cols>
          <w:pgMar w:left="240" w:top="459" w:right="2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Spectrum Brands will not, and will not permit any of its Restricted Subsidiaries to, make any payment to, or sell, lease, transfer or otherwise dispose of any of its properties or assets to, or purchase any property or assets from, or enter into, make, amend, renew or extend any transaction, contract, agreement, understanding, loan, advance or Guarantee with, or for the benefit of, any Affiliate (each, an “Affiliate Transaction”) involving payments of consideration in excess of $5.0 million, unless:</w:t>
      </w:r>
    </w:p>
    <w:p>
      <w:pPr>
        <w:spacing w:after="0" w:line="79" w:lineRule="exact"/>
        <w:rPr>
          <w:sz w:val="20"/>
          <w:szCs w:val="20"/>
          <w:color w:val="auto"/>
        </w:rPr>
      </w:pPr>
    </w:p>
    <w:p>
      <w:pPr>
        <w:jc w:val="both"/>
        <w:ind w:left="460" w:right="380" w:firstLine="443"/>
        <w:spacing w:after="0" w:line="264" w:lineRule="auto"/>
        <w:tabs>
          <w:tab w:leader="none" w:pos="11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 less favorable to Spectrum Brands or the relevant Restricted Subsidiary than those that would have been obtained in a comparable arm’s-length transaction by Spectrum Brands or such Restricted Subsidiary with a Person that is not an Affiliate of Spectrum Brands; and</w:t>
      </w:r>
    </w:p>
    <w:p>
      <w:pPr>
        <w:spacing w:after="0" w:line="73" w:lineRule="exact"/>
        <w:rPr>
          <w:rFonts w:ascii="Arial" w:cs="Arial" w:eastAsia="Arial" w:hAnsi="Arial"/>
          <w:sz w:val="18"/>
          <w:szCs w:val="18"/>
          <w:color w:val="auto"/>
        </w:rPr>
      </w:pPr>
    </w:p>
    <w:p>
      <w:pPr>
        <w:ind w:left="460" w:right="40" w:firstLine="443"/>
        <w:spacing w:after="0" w:line="279" w:lineRule="auto"/>
        <w:tabs>
          <w:tab w:leader="none" w:pos="115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Spectrum Brands delivers to the Trustee with respect to any Affiliate Transaction or series of related Affiliate Transactions involving aggregate consideration in excess of $25.0 million, a resolution of the Board of Directors set forth in an Officers’ Certificate certifying that such Affiliate Transaction or series of related Affiliate Transactions complies with clause (1) of this covenant and that such Affiliate Transaction or series of related Affiliate Transactions has been approved by a majority of the disinterested members of the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items shall not be deemed to be Affiliate Transactions and, therefore, will not be subject to the provisions of the prior paragraph:</w:t>
      </w:r>
    </w:p>
    <w:p>
      <w:pPr>
        <w:spacing w:after="0" w:line="129" w:lineRule="exact"/>
        <w:rPr>
          <w:sz w:val="20"/>
          <w:szCs w:val="20"/>
          <w:color w:val="auto"/>
        </w:rPr>
      </w:pPr>
    </w:p>
    <w:p>
      <w:pPr>
        <w:ind w:left="1160" w:hanging="257"/>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transactions between or among Spectrum Brands and/or its Restricted Subsidiaries;</w:t>
      </w:r>
    </w:p>
    <w:p>
      <w:pPr>
        <w:spacing w:after="0" w:line="117"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payment of reasonable and customary fees and compensation to, and reasonable and customary indemnification arrangements and similar payments on behalf of, directors of Spectrum Brands;</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Restricted Payments that are permitted by the provisions of the 2020/2022 indenture described above under the caption “—Restricted Payments,” or any Permitted Investments;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sale of Capital Stock (other than Disqualified Stock) of Spectrum Brands;</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loans and advances to officers and employees of Spectrum Brands or any of its Restricted Subsidiaries or Holdings (or any direct or indirect parent of Holdings) for bona fide business purposes in the ordinary course of business consistent with past practice;</w:t>
      </w:r>
    </w:p>
    <w:p>
      <w:pPr>
        <w:spacing w:after="0" w:line="62"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employment, consulting, service or termination agreement, or reasonable and customary indemnification arrangements, entered into by Spectrum Brands or any of its Restricted Subsidiaries with officers and employees of Spectrum Brands or any of its Restricted Subsidiaries or Holdings (or any direct or indirect parent of Holdings) and the payment of compensation to officers and employees of Spectrum Brands or any of its Restricted Subsidiaries (including amounts paid pursuant to employee benefit plans, employee stock option or similar plans), in each case in the ordinary course of business;</w:t>
      </w:r>
    </w:p>
    <w:p>
      <w:pPr>
        <w:spacing w:after="0" w:line="80" w:lineRule="exact"/>
        <w:rPr>
          <w:rFonts w:ascii="Arial" w:cs="Arial" w:eastAsia="Arial" w:hAnsi="Arial"/>
          <w:sz w:val="18"/>
          <w:szCs w:val="18"/>
          <w:color w:val="auto"/>
        </w:rPr>
      </w:pPr>
    </w:p>
    <w:p>
      <w:pPr>
        <w:ind w:left="460" w:right="60" w:firstLine="443"/>
        <w:spacing w:after="0" w:line="302" w:lineRule="auto"/>
        <w:tabs>
          <w:tab w:leader="none" w:pos="115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agreements or arrangements in effect on the Issue Date, or any amendment, modification, or supplement thereto or any replacement thereof, as long as such agreement or arrangement, as so amended, modified, supplemented or replaced, taken as a whole, is not more disadvantageous to Spectrum Brands and its Restricted Subsidiaries than the original agreement as in effect on the Issue Date, as determined in good faith by Spectrum Brands’ Board of Directors, and any transactions contemplated by any of the foregoing agreements or arrangements;</w:t>
      </w:r>
    </w:p>
    <w:p>
      <w:pPr>
        <w:spacing w:after="0" w:line="46" w:lineRule="exact"/>
        <w:rPr>
          <w:rFonts w:ascii="Arial" w:cs="Arial" w:eastAsia="Arial" w:hAnsi="Arial"/>
          <w:sz w:val="16"/>
          <w:szCs w:val="16"/>
          <w:color w:val="auto"/>
        </w:rPr>
      </w:pPr>
    </w:p>
    <w:p>
      <w:pPr>
        <w:ind w:left="460" w:right="20" w:firstLine="443"/>
        <w:spacing w:after="0" w:line="264"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ventures, joint venture partners, Unrestricted Subsidiaries or purchasers or sellers of goods and services, in each case in the ordinary course of business and on terms no less favorable than that available from non-affiliates (as determined by Spectrum Brands) and otherwise not prohibited by the 2020/2022 indenture;</w:t>
      </w:r>
    </w:p>
    <w:p>
      <w:pPr>
        <w:spacing w:after="0" w:line="73"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transaction with an Affiliate (i) where the only consideration paid by Spectrum Brands or any Restricted Subsidiary is Qualified Equity Interests or (ii) consisting of the provision of customary registration rights;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firstLine="438"/>
        <w:spacing w:after="0" w:line="277" w:lineRule="auto"/>
        <w:rPr>
          <w:sz w:val="20"/>
          <w:szCs w:val="20"/>
          <w:color w:val="auto"/>
        </w:rPr>
      </w:pPr>
      <w:r>
        <w:rPr>
          <w:rFonts w:ascii="Arial" w:cs="Arial" w:eastAsia="Arial" w:hAnsi="Arial"/>
          <w:sz w:val="18"/>
          <w:szCs w:val="18"/>
          <w:color w:val="auto"/>
        </w:rPr>
        <w:t>(10)(a) the payment of all Transaction Expenses by Spectrum Brands and its Restricted Subsidiaries and (b) the payment of all Prior Transaction Expenses by Spectrum Brands and its Restricted Subsidiaries;</w:t>
      </w:r>
    </w:p>
    <w:p>
      <w:pPr>
        <w:spacing w:after="0" w:line="62" w:lineRule="exact"/>
        <w:rPr>
          <w:sz w:val="20"/>
          <w:szCs w:val="20"/>
          <w:color w:val="auto"/>
        </w:rPr>
      </w:pPr>
    </w:p>
    <w:p>
      <w:pPr>
        <w:ind w:left="460" w:right="20" w:firstLine="443"/>
        <w:spacing w:after="0" w:line="312" w:lineRule="auto"/>
        <w:tabs>
          <w:tab w:leader="none" w:pos="123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merger, consolidation or reorganization of Spectrum Brands (otherwise permitted by the 2020/2022 indenture) with an Affiliate of Spectrum Brands solely for the purpose of (a) reorganizing to facilitate an initial public offering of securities of Spectrum Brands or a direct or indirect parent of Spectrum Brands, (b) forming or collapsing a holding company structure or (c) reincorporating Spectrum Brands in a new jurisdiction;</w:t>
      </w:r>
    </w:p>
    <w:p>
      <w:pPr>
        <w:spacing w:after="0" w:line="38" w:lineRule="exact"/>
        <w:rPr>
          <w:rFonts w:ascii="Arial" w:cs="Arial" w:eastAsia="Arial" w:hAnsi="Arial"/>
          <w:sz w:val="16"/>
          <w:szCs w:val="16"/>
          <w:color w:val="auto"/>
        </w:rPr>
      </w:pPr>
    </w:p>
    <w:p>
      <w:pPr>
        <w:jc w:val="both"/>
        <w:ind w:left="460" w:right="20" w:firstLine="443"/>
        <w:spacing w:after="0" w:line="312" w:lineRule="auto"/>
        <w:tabs>
          <w:tab w:leader="none" w:pos="124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transactions between Spectrum Brands or any of its Restricted Subsidiaries and any Person that is an Affiliate solely because one or more of its directors is also a director of Spectrum Brands or any direct or indirect parent of Spectrum Brands; provided that such director abstains from voting as a director of Spectrum Brands or such direct or indirect parent, as the case may be, on any matter involving such other Person;</w:t>
      </w:r>
    </w:p>
    <w:p>
      <w:pPr>
        <w:spacing w:after="0" w:line="38" w:lineRule="exact"/>
        <w:rPr>
          <w:rFonts w:ascii="Arial" w:cs="Arial" w:eastAsia="Arial" w:hAnsi="Arial"/>
          <w:sz w:val="16"/>
          <w:szCs w:val="16"/>
          <w:color w:val="auto"/>
        </w:rPr>
      </w:pPr>
    </w:p>
    <w:p>
      <w:pPr>
        <w:ind w:left="460" w:right="420" w:firstLine="443"/>
        <w:spacing w:after="0" w:line="277" w:lineRule="auto"/>
        <w:tabs>
          <w:tab w:leader="none" w:pos="124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entering into of any tax sharing agreement or arrangement or any other transactions undertaken in good faith that is consistent with paragraph (b)(9)(iv) of the “—Restricted Payments” covenant; and</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24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transactions in which Spectrum Brands or any Restricted Subsidiary, as the case may be, delivers to the Trustee a letter from an independent accounting, appraisal or investment banking firm of national standing stating that such transaction is fair to Spectrum Brands or such Restricted Subsidiary from a financial point of view or meets the requirements of clause (1) of the preceding paragraph.</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may designate any Restricted Subsidiary to be an Unrestricted Subsidiary; provided that:</w:t>
      </w:r>
    </w:p>
    <w:p>
      <w:pPr>
        <w:spacing w:after="0" w:line="117" w:lineRule="exact"/>
        <w:rPr>
          <w:sz w:val="20"/>
          <w:szCs w:val="20"/>
          <w:color w:val="auto"/>
        </w:rPr>
      </w:pPr>
    </w:p>
    <w:p>
      <w:pPr>
        <w:ind w:left="460" w:firstLine="443"/>
        <w:spacing w:after="0" w:line="259" w:lineRule="auto"/>
        <w:tabs>
          <w:tab w:leader="none" w:pos="11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Guarantee by Spectrum Brands or any Restricted Subsidiary of any Indebtedness of the Subsidiary being so designated will be deemed to be an incurrence of Indebtedness by Spectrum Brands or such Restricted Subsidiary (or both, if applicable) at the time of such designation, and such incurrence of Indebtedness would be permitted under the covenant described above under the caption “—Certain Covenants—Incurrence of Indebtedness and Issuance of Preferred Stock”;</w:t>
      </w:r>
    </w:p>
    <w:p>
      <w:pPr>
        <w:spacing w:after="0" w:line="78" w:lineRule="exact"/>
        <w:rPr>
          <w:rFonts w:ascii="Arial" w:cs="Arial" w:eastAsia="Arial" w:hAnsi="Arial"/>
          <w:sz w:val="18"/>
          <w:szCs w:val="18"/>
          <w:color w:val="auto"/>
        </w:rPr>
      </w:pPr>
    </w:p>
    <w:p>
      <w:pPr>
        <w:ind w:left="460" w:right="220" w:firstLine="443"/>
        <w:spacing w:after="0" w:line="259" w:lineRule="auto"/>
        <w:tabs>
          <w:tab w:leader="none" w:pos="11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aggregate fair market value of all outstanding Investments owned by Spectrum Brands and its Restricted Subsidiaries in the Subsidiary being so designated (including any Guarantee by Spectrum Brands or any Restricted Subsidiary of any Indebtedness of such Subsidiary) will be deemed to be a Restricted Investment made as of the time of such designation and that such Investment would be permitted under the covenant described above under the caption “—Certain Covenants—Restricted Payments”;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such Subsidiary does not own any Equity Interests of, or hold any Liens on any Property of, Spectrum Brands or any Restricted Subsidiary;</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Subsidiary being so designated:</w:t>
      </w:r>
    </w:p>
    <w:p>
      <w:pPr>
        <w:spacing w:after="0" w:line="117" w:lineRule="exact"/>
        <w:rPr>
          <w:rFonts w:ascii="Arial" w:cs="Arial" w:eastAsia="Arial" w:hAnsi="Arial"/>
          <w:sz w:val="18"/>
          <w:szCs w:val="18"/>
          <w:color w:val="auto"/>
        </w:rPr>
      </w:pPr>
    </w:p>
    <w:p>
      <w:pPr>
        <w:ind w:left="920" w:right="80" w:firstLine="421"/>
        <w:spacing w:after="0" w:line="277" w:lineRule="auto"/>
        <w:tabs>
          <w:tab w:leader="none" w:pos="158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is not party to any agreement, contract, arrangement or understanding with Spectrum Brands or any Restricted Subsidiary of Spectrum Brands that would not be permitted under “Transactions with Affiliates” and;</w:t>
      </w:r>
    </w:p>
    <w:p>
      <w:pPr>
        <w:spacing w:after="0" w:line="62" w:lineRule="exact"/>
        <w:rPr>
          <w:rFonts w:ascii="Arial" w:cs="Arial" w:eastAsia="Arial" w:hAnsi="Arial"/>
          <w:sz w:val="18"/>
          <w:szCs w:val="18"/>
          <w:color w:val="auto"/>
        </w:rPr>
      </w:pPr>
    </w:p>
    <w:p>
      <w:pPr>
        <w:ind w:left="920" w:right="40" w:firstLine="421"/>
        <w:spacing w:after="0" w:line="264" w:lineRule="auto"/>
        <w:tabs>
          <w:tab w:leader="none" w:pos="159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except as permitted under clauses (1) and (2) above is a Person with respect to which neither Spectrum Brands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Default or Event of Default would be in existence following such designation.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at any time, any Unrestricted Subsidiary would fail to meet any of the preceding requirements described in clause (4) above, it shall thereafter cease to be an Unrestricted Subsidiary for purposes of the 2020/2022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60"/>
          </w:cols>
          <w:pgMar w:left="240" w:top="460" w:right="2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indenture and any Indebtedness, Investments, or Liens on the property, of such Subsidiary shall be deemed to be incurred by a Restricted Subsidiary of Spectrum Brands as of such date and, if such Indebtedness, Investments or Liens are not permitted to be incurred as of such date under the 2020/2022 indenture, Spectrum Brands shall be in default under the 2020/2022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Board of Directors of Spectrum Brands may at any time designate any Unrestricted Subsidiary to be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29" w:lineRule="exact"/>
        <w:rPr>
          <w:sz w:val="20"/>
          <w:szCs w:val="20"/>
          <w:color w:val="auto"/>
        </w:rPr>
      </w:pPr>
    </w:p>
    <w:p>
      <w:pPr>
        <w:ind w:left="460" w:right="40" w:firstLine="443"/>
        <w:spacing w:after="0" w:line="279" w:lineRule="auto"/>
        <w:tabs>
          <w:tab w:leader="none" w:pos="115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such designation shall be deemed to be an incurrence of Indebtedness by a Restricted Subsidiary of Spectrum Brands of any outstanding Indebtedness of such Unrestricted Subsidiary and such designation shall only be permitted if such Indebtedness is permitted under the covenant described under the caption “—Certain Covenants—Incurrence of Indebtedness and Issuance of Preferred Stock,” calculated on a pro forma basis as if such designation had occurred at the beginning of the four-quarter reference period;</w:t>
      </w:r>
    </w:p>
    <w:p>
      <w:pPr>
        <w:spacing w:after="0" w:line="63" w:lineRule="exact"/>
        <w:rPr>
          <w:rFonts w:ascii="Arial" w:cs="Arial" w:eastAsia="Arial" w:hAnsi="Arial"/>
          <w:sz w:val="17"/>
          <w:szCs w:val="17"/>
          <w:color w:val="auto"/>
        </w:rPr>
      </w:pPr>
    </w:p>
    <w:p>
      <w:pPr>
        <w:ind w:left="460" w:right="220" w:firstLine="443"/>
        <w:spacing w:after="0" w:line="264"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outstanding Investments owned by such Unrestricted Subsidiary will be deemed to be made as of the time of such designation and such Investments shall only be permitted if such Investments would be permitted under the covenant described above under the caption “—Certain Covenants—Restricted Payments”;</w:t>
      </w:r>
    </w:p>
    <w:p>
      <w:pPr>
        <w:spacing w:after="0" w:line="73" w:lineRule="exact"/>
        <w:rPr>
          <w:rFonts w:ascii="Arial" w:cs="Arial" w:eastAsia="Arial" w:hAnsi="Arial"/>
          <w:sz w:val="18"/>
          <w:szCs w:val="18"/>
          <w:color w:val="auto"/>
        </w:rPr>
      </w:pPr>
    </w:p>
    <w:p>
      <w:pPr>
        <w:ind w:left="460" w:right="500" w:firstLine="443"/>
        <w:spacing w:after="0" w:line="277"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Liens upon property or assets of such Unrestricted Subsidiary existing at the time of such designation would be permitted under the caption “—Certain Covenants—Liens”;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Default or Event of Default would be in existence following such designation.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Spectrum Brands or any of its Restricted Subsidiaries acquires or creates another Domestic Subsidiary on or after the Escrow Release Date, then that newly acquired or created Domestic Subsidiary must become a Guarantor and execute a supplemental indenture and deliver an Opinion of Counsel to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Spectrum Brands or another Guarantor unless:</w:t>
      </w:r>
    </w:p>
    <w:p>
      <w:pPr>
        <w:spacing w:after="0" w:line="103" w:lineRule="exact"/>
        <w:rPr>
          <w:sz w:val="20"/>
          <w:szCs w:val="20"/>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firstLine="421"/>
        <w:spacing w:after="0" w:line="259" w:lineRule="auto"/>
        <w:tabs>
          <w:tab w:leader="none" w:pos="158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(if other than the Guarantor) is a Person organized or existing under the laws of the United States, any state thereof or the District of Columbia and assumes all the obligations of that Guarantor under the 2020/2022 indenture, Note Guarantee and the Registration Rights Agreement pursuant to a supplemental indenture satisfactory to the Trustee; or</w:t>
      </w:r>
    </w:p>
    <w:p>
      <w:pPr>
        <w:spacing w:after="0" w:line="78" w:lineRule="exact"/>
        <w:rPr>
          <w:rFonts w:ascii="Arial" w:cs="Arial" w:eastAsia="Arial" w:hAnsi="Arial"/>
          <w:sz w:val="18"/>
          <w:szCs w:val="18"/>
          <w:color w:val="auto"/>
        </w:rPr>
      </w:pPr>
    </w:p>
    <w:p>
      <w:pPr>
        <w:ind w:left="920" w:right="220" w:firstLine="421"/>
        <w:spacing w:after="0" w:line="277" w:lineRule="auto"/>
        <w:tabs>
          <w:tab w:leader="none" w:pos="159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except in the case of Holdings, such sale or other disposition or consolidation or merger complies with the covenant described above under the caption “—Repurchase at the Option of Holders—Asset Sales.”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 Guarantee of a Guarantor (other than Holdings) will be released:</w:t>
      </w:r>
    </w:p>
    <w:p>
      <w:pPr>
        <w:spacing w:after="0" w:line="117" w:lineRule="exact"/>
        <w:rPr>
          <w:sz w:val="20"/>
          <w:szCs w:val="20"/>
          <w:color w:val="auto"/>
        </w:rPr>
      </w:pPr>
    </w:p>
    <w:p>
      <w:pPr>
        <w:ind w:left="460" w:right="100" w:firstLine="443"/>
        <w:spacing w:after="0" w:line="264" w:lineRule="auto"/>
        <w:tabs>
          <w:tab w:leader="none" w:pos="11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a Guarantor to a Person that is not (either before or after giving effect to such transaction) Spectrum Brands or a Restricted Subsidiary, if the sale of all such Capital Stock of that Guarantor complies with the covenant described above under the caption “—Repurchase at the Option of Holders—Asset Sales”;</w:t>
      </w:r>
    </w:p>
    <w:p>
      <w:pPr>
        <w:spacing w:after="0" w:line="73" w:lineRule="exact"/>
        <w:rPr>
          <w:rFonts w:ascii="Arial" w:cs="Arial" w:eastAsia="Arial" w:hAnsi="Arial"/>
          <w:sz w:val="18"/>
          <w:szCs w:val="18"/>
          <w:color w:val="auto"/>
        </w:rPr>
      </w:pPr>
    </w:p>
    <w:p>
      <w:pPr>
        <w:ind w:left="5580" w:right="180" w:hanging="4677"/>
        <w:spacing w:after="0" w:line="449" w:lineRule="auto"/>
        <w:tabs>
          <w:tab w:leader="none" w:pos="11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Spectrum Brands designates such Guarantor as an Unrestricted Subsidiary in accordance with the provisions of the 2020/2022 indenture; 155</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firstLine="443"/>
        <w:spacing w:after="0" w:line="277" w:lineRule="auto"/>
        <w:tabs>
          <w:tab w:leader="none" w:pos="11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legal or covenant defeasance of the 2020/2022 notes or satisfaction and discharge of the 2020/2022 indenture as provided below under the captions “—Legal Defeasance and Covenant Defeasance” and “—Satisfaction and Discharge” or;</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a sale of Capital Stock which causes such Guarantor to cease to be a Subsidiary if such sale does not violate any of the provisions of the 2020/2022 indenture; provided that such Guarantor is concurrently released from any other Guarantees of Indebtedness of Spectrum Brands or any of its Restricted Subsidiaries at such time.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and after the Escrow Release Date, so long as any 2020/2022 notes are outstanding, Spectrum Brands will file with the U.S.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(“Commission”) and furnish to the Trustee and, upon request, to the Holders:</w:t>
      </w:r>
    </w:p>
    <w:p>
      <w:pPr>
        <w:spacing w:after="0" w:line="103" w:lineRule="exact"/>
        <w:rPr>
          <w:sz w:val="20"/>
          <w:szCs w:val="20"/>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within 90 days after the end of each fiscal year, an annual report on Form 10-K;</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fiscal quarters of each fiscal year, a quarterly report on Form 10-Q;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promptly from time to time after the occurrence of an event required to be therein reported pursuant to Form 8-K, a current report on Form 8-</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Spectrum Brands is no longer subject to the periodic reporting requirements of the Exchange Act for any reason, Spectrum Brands will nevertheless continue filing the reports specified in the preceding paragraphs of this covenant with the Commission within the time periods specified above unless the Commission will not accept such a filing. If the Commission will not accept Spectrum Brands’ filings for any reason, Spectrum Brands will furnish the reports referred to in the preceding paragraphs to the Trustee within the time periods that would apply if Spectrum Brands were required to file those reports with the Commission. Spectrum Brands will not take any action for the purpose of causing the Commission not to accept any such filings. Any information filed with, or furnished to, the Commission via EDGAR shall be deemed to have been made available to the Trustee and the registered holders of the 2020/2022 notes.</w:t>
      </w:r>
    </w:p>
    <w:p>
      <w:pPr>
        <w:spacing w:after="0" w:line="189" w:lineRule="exact"/>
        <w:rPr>
          <w:sz w:val="20"/>
          <w:szCs w:val="20"/>
          <w:color w:val="auto"/>
        </w:rPr>
      </w:pPr>
    </w:p>
    <w:p>
      <w:pPr>
        <w:ind w:right="680" w:firstLine="456"/>
        <w:spacing w:after="0" w:line="259" w:lineRule="auto"/>
        <w:rPr>
          <w:sz w:val="20"/>
          <w:szCs w:val="20"/>
          <w:color w:val="auto"/>
        </w:rPr>
      </w:pPr>
      <w:r>
        <w:rPr>
          <w:rFonts w:ascii="Arial" w:cs="Arial" w:eastAsia="Arial" w:hAnsi="Arial"/>
          <w:sz w:val="18"/>
          <w:szCs w:val="18"/>
          <w:color w:val="auto"/>
        </w:rPr>
        <w:t xml:space="preserve">Notwithstanding the foregoing, if Holdings or any other direct or indirect parent of Spectrum Brands fully and unconditionally guarantees the 2020/2022 notes, the filing of such reports by such parent within the time periods specified above will satisfy such obligations of Spectrum Brands;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reports shall include the information required by Rule 3-10 of Regulation S-X with respect to Spectrum Brands and the Guarantors.</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Spectrum Brands shall distribute such information and such reports to the Trustee, and make them available, upon request, to any Holder and to any such prospective investor or securities analyst. To the extent not satisfied by the foregoing, Spectrum Brands shall also make publicly available the information required to be available pursuant to Rule 144A(d)(4) under the Securities Act.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Activities of Holdings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Holdings shall not engage in any material activities or hold any material assets other than holding the Capital Stock of Spectrum Brands and those activities incidental thereto and will not incur any material liabilities other than liabilities relating to its Guarantee of the 2020/2022 notes, its Guarantee of any other Indebtedness of Spectrum Brands or any of its Subsidiaries and any other obligations or liabilities incidental to its activities as a holding company.</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40"/>
          </w:cols>
          <w:pgMar w:left="240" w:top="460" w:right="3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a series of 2020/2022 notes:</w:t>
      </w:r>
    </w:p>
    <w:p>
      <w:pPr>
        <w:spacing w:after="0" w:line="117" w:lineRule="exact"/>
        <w:rPr>
          <w:sz w:val="20"/>
          <w:szCs w:val="20"/>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such series of 2020/2022 notes;</w:t>
      </w:r>
    </w:p>
    <w:p>
      <w:pPr>
        <w:spacing w:after="0" w:line="117"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default in payment when due (whether at maturity, upon acceleration, redemption or otherwise) of the principal of, or premium, if any, on such series of 2020/2022 notes;</w:t>
      </w:r>
    </w:p>
    <w:p>
      <w:pPr>
        <w:spacing w:after="0" w:line="62" w:lineRule="exact"/>
        <w:rPr>
          <w:rFonts w:ascii="Arial" w:cs="Arial" w:eastAsia="Arial" w:hAnsi="Arial"/>
          <w:sz w:val="18"/>
          <w:szCs w:val="18"/>
          <w:color w:val="auto"/>
        </w:rPr>
      </w:pPr>
    </w:p>
    <w:p>
      <w:pPr>
        <w:jc w:val="both"/>
        <w:ind w:left="460" w:right="40" w:firstLine="443"/>
        <w:spacing w:after="0" w:line="312" w:lineRule="auto"/>
        <w:tabs>
          <w:tab w:leader="none" w:pos="115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failure by Spectrum Brands or any of its Restricted Subsidiaries to comply with the provisions described under the captions “—Repurchase at the Option of Holders—Change of Control,” “—Repurchase at the Option of Holders—Asset Sales” or “—Certain Covenants—Merger, Consolidation or Sale of Assets” or the provisions described in the second paragraph under the caption “—Certain Covenants—Guarantees”;</w:t>
      </w:r>
    </w:p>
    <w:p>
      <w:pPr>
        <w:spacing w:after="0" w:line="38" w:lineRule="exact"/>
        <w:rPr>
          <w:rFonts w:ascii="Arial" w:cs="Arial" w:eastAsia="Arial" w:hAnsi="Arial"/>
          <w:sz w:val="16"/>
          <w:szCs w:val="16"/>
          <w:color w:val="auto"/>
        </w:rPr>
      </w:pPr>
    </w:p>
    <w:p>
      <w:pPr>
        <w:ind w:left="460" w:firstLine="443"/>
        <w:spacing w:after="0" w:line="342" w:lineRule="auto"/>
        <w:tabs>
          <w:tab w:leader="none" w:pos="115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failure by Spectrum Brands or any of its Restricted Subsidiaries for 60 days after written notice by the Trustee or Holders representing 25% or more of the aggregate principal amount of 2020/2022 notes outstanding to comply with any of the other agreements in the 2020/2022 indenture;</w:t>
      </w:r>
    </w:p>
    <w:p>
      <w:pPr>
        <w:spacing w:after="0" w:line="15" w:lineRule="exact"/>
        <w:rPr>
          <w:rFonts w:ascii="Arial" w:cs="Arial" w:eastAsia="Arial" w:hAnsi="Arial"/>
          <w:sz w:val="16"/>
          <w:szCs w:val="16"/>
          <w:color w:val="auto"/>
        </w:rPr>
      </w:pPr>
    </w:p>
    <w:p>
      <w:pPr>
        <w:ind w:left="460" w:right="320" w:firstLine="443"/>
        <w:spacing w:after="0" w:line="312" w:lineRule="auto"/>
        <w:tabs>
          <w:tab w:leader="none" w:pos="115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Spectrum Brands or any of its Restricted Subsidiaries (or the payment of which is Guaranteed by Spectrum Brands or any of its Restricted Subsidiaries) whether such Indebtedness or Guarantee now exists, or is created after the Issue Date, if that default:</w:t>
      </w:r>
    </w:p>
    <w:p>
      <w:pPr>
        <w:spacing w:after="0" w:line="38" w:lineRule="exact"/>
        <w:rPr>
          <w:rFonts w:ascii="Arial" w:cs="Arial" w:eastAsia="Arial" w:hAnsi="Arial"/>
          <w:sz w:val="16"/>
          <w:szCs w:val="16"/>
          <w:color w:val="auto"/>
        </w:rPr>
      </w:pPr>
    </w:p>
    <w:p>
      <w:pPr>
        <w:ind w:left="1580" w:hanging="239"/>
        <w:spacing w:after="0"/>
        <w:tabs>
          <w:tab w:leader="none" w:pos="15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is caused by a failure to make any payment of principal at the final maturity of such Indebtedness (a “Payment Default”);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17" w:lineRule="exact"/>
        <w:rPr>
          <w:sz w:val="20"/>
          <w:szCs w:val="20"/>
          <w:color w:val="auto"/>
        </w:rPr>
      </w:pPr>
    </w:p>
    <w:p>
      <w:pPr>
        <w:ind w:left="920" w:right="20"/>
        <w:spacing w:after="0" w:line="308" w:lineRule="auto"/>
        <w:rPr>
          <w:sz w:val="20"/>
          <w:szCs w:val="20"/>
          <w:color w:val="auto"/>
        </w:rPr>
      </w:pPr>
      <w:r>
        <w:rPr>
          <w:rFonts w:ascii="Arial" w:cs="Arial" w:eastAsia="Arial" w:hAnsi="Arial"/>
          <w:sz w:val="17"/>
          <w:szCs w:val="17"/>
          <w:color w:val="auto"/>
        </w:rPr>
        <w:t>and, in each case, the principal amount of any such Indebtedness, together with the principal amount of any other such Indebtedness under which there has been a Payment Default or the maturity of which has been so accelerated, aggregates $50.0 million or more;</w:t>
      </w:r>
    </w:p>
    <w:p>
      <w:pPr>
        <w:spacing w:after="0" w:line="38" w:lineRule="exact"/>
        <w:rPr>
          <w:sz w:val="20"/>
          <w:szCs w:val="20"/>
          <w:color w:val="auto"/>
        </w:rPr>
      </w:pPr>
    </w:p>
    <w:p>
      <w:pPr>
        <w:ind w:left="460" w:right="120" w:firstLine="443"/>
        <w:spacing w:after="0" w:line="264"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failure by Spectrum Brands or any of its Restricted Subsidiaries to pay final judgments (to the extent such judgments are not paid or covered by insurance provided by a carrier that has acknowledged coverage in writing and has the ability to perform) aggregating in excess of $50.0 million, which judgments are not paid, discharged or stayed for a period of 60 days;</w:t>
      </w:r>
    </w:p>
    <w:p>
      <w:pPr>
        <w:spacing w:after="0" w:line="73"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permitted by the 2020/2022 indenture, any Note Guarantee shall be held in any judicial proceeding to be unenforceable or invalid or shall cease for any reason to be in full force and effect or any Guarantor, or any authorized Person acting on behalf of any Guarantor, shall deny or disaffirm its obligations under its Note Guarantee; and</w:t>
      </w:r>
    </w:p>
    <w:p>
      <w:pPr>
        <w:spacing w:after="0" w:line="73" w:lineRule="exact"/>
        <w:rPr>
          <w:rFonts w:ascii="Arial" w:cs="Arial" w:eastAsia="Arial" w:hAnsi="Arial"/>
          <w:sz w:val="18"/>
          <w:szCs w:val="18"/>
          <w:color w:val="auto"/>
        </w:rPr>
      </w:pPr>
    </w:p>
    <w:p>
      <w:pPr>
        <w:ind w:left="460" w:right="740" w:firstLine="443"/>
        <w:spacing w:after="0" w:line="277"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Spectrum Brands, any Significant Subsidiary of Spectrum Brands (or any Restricted Subsidiaries that together would constitute a Significant Subsidiary).</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Spectrum Brands, all outstanding 2020/2022 notes will become due and payable immediately without further action or notice. If any other Event of Default with respect to a series of 2020/2022 notes occurs and is continuing, the Trustee or the Holders of at least 25% in principal amount of the then outstanding 2020/2022 notes of such series may declare all the 2020/2022 notes of such series to be due and payable immediately by notice in writing to Spectrum Brands specifying the Event of Default.</w:t>
      </w:r>
    </w:p>
    <w:p>
      <w:pPr>
        <w:spacing w:after="0" w:line="154"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Holders of the 2020/2022 notes may not enforce the 2020/2022 indenture or the 2020/2022 notes except as provided in the 2020/2022 indenture. Subject to certain limitations, Holders of a majority in principal amount of the then outstanding 2020/2022 notes of a series may direct the Trustee in its exercise of any trust or power with respect to such series of 2020/2022 notes. The Trustee may withhold from Holders of the 2020/2022 notes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series notice of any Default or Event of Default (except a Default or Event of Default relating to the payment of principal or interest) if it determines that withholding notice is in their interest.</w:t>
      </w:r>
    </w:p>
    <w:p>
      <w:pPr>
        <w:spacing w:after="0" w:line="17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Holders of a majority in aggregate principal amount of a series of 2020/2022 notes then outstanding by notice to the Trustee may on behalf of the Holders of all of the 2020/2022 notes of such Series waive any existing Default or Event of Default and its consequences under the 2020/2022 indenture except a continuing Default or Event of Default in the payment of interest on, or the principal of, the 2020/2022 notes of such series. The Holders of a majority in principal amount of a series of 2020/2022 notes then outstanding will have the right to direct the time, method and place of conducting any proceeding for exercising any remedy available to the Trustee with respect to such series of 2020/2022 notes. However, the Trustee may refuse to follow any direction that conflicts with law or the 2020/2022 indenture, that may involve the Trustee in personal liability, or that the Trustee determines in good faith may be unduly prejudicial to the rights of Holders of such series of 2020/2022 notes not joining in the giving of such direction and may take any other action it deems proper that is not inconsistent with any such direction received from Holders.</w:t>
      </w:r>
    </w:p>
    <w:p>
      <w:pPr>
        <w:spacing w:after="0" w:line="179" w:lineRule="exact"/>
        <w:rPr>
          <w:sz w:val="20"/>
          <w:szCs w:val="20"/>
          <w:color w:val="auto"/>
        </w:rPr>
      </w:pPr>
    </w:p>
    <w:p>
      <w:pPr>
        <w:ind w:right="740" w:firstLine="456"/>
        <w:spacing w:after="0" w:line="342" w:lineRule="auto"/>
        <w:rPr>
          <w:sz w:val="20"/>
          <w:szCs w:val="20"/>
          <w:color w:val="auto"/>
        </w:rPr>
      </w:pPr>
      <w:r>
        <w:rPr>
          <w:rFonts w:ascii="Arial" w:cs="Arial" w:eastAsia="Arial" w:hAnsi="Arial"/>
          <w:sz w:val="16"/>
          <w:szCs w:val="16"/>
          <w:color w:val="auto"/>
        </w:rPr>
        <w:t>A Holder may not institute any proceeding, judicial or otherwise, with respect to the 2020/2022 indenture or the 2020/2022 notes, or form the appointment of a recipient or a trustee, or pursue any remedy with respect to the 2020/2022 indenture or the 2020/2022 notes unless:</w:t>
      </w:r>
    </w:p>
    <w:p>
      <w:pPr>
        <w:spacing w:after="0" w:line="16" w:lineRule="exact"/>
        <w:rPr>
          <w:sz w:val="20"/>
          <w:szCs w:val="20"/>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outstanding 2020/2022 notes of a series make a written request to the Trustee to pursue the remedy with respect to such series of 2020/2022 notes;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2020/2022 notes of such series do not give the Trustee a direction that is inconsistent with the request with respect to such series of 2020/2022 notes.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However, such limitations do not apply to the right of any Holder of a 2020/2022 note to receive payment of the principal of, premium, if any, or interest on, such 2020/2022 note or to bring suit for the enforcement of any such payment, on or after the due date expressed in the 2020/2022 notes, which right shall not be impaired or affected without the consent of the Holder.</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Spectrum Brands is required to deliver to the Trustee annually within 120 days after the end of each fiscal year a statement regarding compliance with the 2020/2022 indenture. Upon becoming aware of any Default or Event of Default, Spectrum Brands is required to deliver to the Trustee a statement specifying such Default or Event of Default.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No director, officer, employee, incorporator, stockholder or controlling person of Spectrum Brands or any Guarantor, as such, shall have any liability for any obligations of Spectrum Brands or the Guarantors under the 2020/2022 notes, the 2020/2022 indenture, the Note Guarantees, or for any claim based on, in respect of, or by reason of, such obligations or their creation. Each Holder of 2020/2022 notes by accepting a 2020/2022 note waives and releases all such liability. The waiver and release are part of the consideration for issuance of the 2020/2022 notes.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Spectrum Brands may, at its option and at any time, elect to have all of its obligations discharged with respect to the outstanding 2020/2022 notes of a series (“Legal Defeasance”) except for:</w:t>
      </w:r>
    </w:p>
    <w:p>
      <w:pPr>
        <w:spacing w:after="0" w:line="62" w:lineRule="exact"/>
        <w:rPr>
          <w:sz w:val="20"/>
          <w:szCs w:val="20"/>
          <w:color w:val="auto"/>
        </w:rPr>
      </w:pPr>
    </w:p>
    <w:p>
      <w:pPr>
        <w:ind w:left="460" w:right="220" w:firstLine="443"/>
        <w:spacing w:after="0" w:line="277" w:lineRule="auto"/>
        <w:tabs>
          <w:tab w:leader="none" w:pos="11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rights of Holders of outstanding 2020/2022 notes of a series to receive payments in respect of the principal of, or interest or premium, if any, on such series of 2020/2022 notes when such payments are due from the trust referred to below;</w:t>
      </w:r>
    </w:p>
    <w:p>
      <w:pPr>
        <w:spacing w:after="0" w:line="62" w:lineRule="exact"/>
        <w:rPr>
          <w:rFonts w:ascii="Arial" w:cs="Arial" w:eastAsia="Arial" w:hAnsi="Arial"/>
          <w:sz w:val="18"/>
          <w:szCs w:val="18"/>
          <w:color w:val="auto"/>
        </w:rPr>
      </w:pPr>
    </w:p>
    <w:p>
      <w:pPr>
        <w:jc w:val="both"/>
        <w:ind w:left="460" w:right="160" w:firstLine="443"/>
        <w:spacing w:after="0" w:line="264" w:lineRule="auto"/>
        <w:tabs>
          <w:tab w:leader="none" w:pos="11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Spectrum Brands’ obligations with respect to such series of 2020/2022 notes concerning issuing temporary 2020/2022 notes, registration of 2020/2022 notes, mutilated, destroyed, lost or stolen 2020/2022 notes and the maintenance of an office or agency for payment and money for security payments held in trust;</w:t>
      </w:r>
    </w:p>
    <w:p>
      <w:pPr>
        <w:spacing w:after="0" w:line="73" w:lineRule="exact"/>
        <w:rPr>
          <w:rFonts w:ascii="Arial" w:cs="Arial" w:eastAsia="Arial" w:hAnsi="Arial"/>
          <w:sz w:val="18"/>
          <w:szCs w:val="18"/>
          <w:color w:val="auto"/>
        </w:rPr>
      </w:pPr>
    </w:p>
    <w:p>
      <w:pPr>
        <w:ind w:left="460" w:right="740" w:firstLine="443"/>
        <w:spacing w:after="0" w:line="277" w:lineRule="auto"/>
        <w:tabs>
          <w:tab w:leader="none" w:pos="11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Spectrum Brands’ and the Guarantor’s obligations in connection therewith;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Legal Defeasance provisions of the 2020/2022 indenture.</w:t>
      </w:r>
    </w:p>
    <w:p>
      <w:pPr>
        <w:spacing w:after="0" w:line="225"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 addition, Spectrum Brands may, at its option and at any time, elect to have the obligations of Spectrum Brands and the Guarantors released with respect to a series of 2020/2022 notes with respect to most covenants that are described in the 2020/2022 indenture (“Covenant Defeasance”) and thereafter any omission to comply with those covenants shall not constitute a Default or Event of Default with respect to such series of 2020/2022 notes. In the event Covenant Defeasance occurs, certain events (not including non-payment, bankruptcy, receivership, rehabilitation and insolvency events) described under “Events of Default and Remedies” will no longer constitute Events of Default with respect to such series of 2020/2022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with respect to a series of 2020/2022 notes:</w:t>
      </w:r>
    </w:p>
    <w:p>
      <w:pPr>
        <w:spacing w:after="0" w:line="117" w:lineRule="exact"/>
        <w:rPr>
          <w:sz w:val="20"/>
          <w:szCs w:val="20"/>
          <w:color w:val="auto"/>
        </w:rPr>
      </w:pPr>
    </w:p>
    <w:p>
      <w:pPr>
        <w:ind w:left="460" w:right="40" w:firstLine="443"/>
        <w:spacing w:after="0" w:line="293" w:lineRule="auto"/>
        <w:tabs>
          <w:tab w:leader="none" w:pos="115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Spectrum Brands must irrevocably deposit with the Trustee, in trust, for the benefit of the Holders of such series of 2020/2022 notes, cash in U.S. dollars, non-callable Government Securities, or a combination thereof, in such amounts as will be sufficient, in the opinion of a nationally recognized firm of independent public accountants (or, if two or more nationally recognized firms of independent public accountants decline to issue such opinion as a matter of policy, in the opinion of Spectrum Brands’ chief financial officer) to pay the principal of, or interest and premium, if any, on the outstanding 2020/2022 notes of such series on the stated maturity or on the applicable redemption date, as the case may be, and Spectrum Brands must specify whether such series of 2020/2022 notes are being defeased to maturity or to a particular redemption date;</w:t>
      </w:r>
    </w:p>
    <w:p>
      <w:pPr>
        <w:spacing w:after="0" w:line="56" w:lineRule="exact"/>
        <w:rPr>
          <w:rFonts w:ascii="Arial" w:cs="Arial" w:eastAsia="Arial" w:hAnsi="Arial"/>
          <w:sz w:val="16"/>
          <w:szCs w:val="16"/>
          <w:color w:val="auto"/>
        </w:rPr>
      </w:pPr>
    </w:p>
    <w:p>
      <w:pPr>
        <w:ind w:left="460" w:firstLine="443"/>
        <w:spacing w:after="0" w:line="273" w:lineRule="auto"/>
        <w:tabs>
          <w:tab w:leader="none" w:pos="115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the case of Legal Defeasance, Spectrum Brands shall have delivered to the Trustee an Opinion of Counsel reasonably acceptable to the Trustee confirming that (a) Spectrum Brands has received from, or there has been published by, the Internal Revenue Service a ruling or (b) since the Issue Date, there has been a change in the applicable federal income tax law, in either case to the effect that, and based thereon such Opinion of Counsel shall confirm that, the Holders of the outstanding 2020/2022 notes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70" w:lineRule="exact"/>
        <w:rPr>
          <w:rFonts w:ascii="Arial" w:cs="Arial" w:eastAsia="Arial" w:hAnsi="Arial"/>
          <w:sz w:val="17"/>
          <w:szCs w:val="17"/>
          <w:color w:val="auto"/>
        </w:rPr>
      </w:pPr>
    </w:p>
    <w:p>
      <w:pPr>
        <w:ind w:left="460" w:right="100" w:firstLine="443"/>
        <w:spacing w:after="0" w:line="259" w:lineRule="auto"/>
        <w:tabs>
          <w:tab w:leader="none" w:pos="11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Covenant Defeasance, Spectrum Brands shall have delivered to the Trustee an Opinion of Counsel reasonably acceptable to the Trustee confirming that the Holders of the outstanding 2020/2022 notes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left="460" w:right="500" w:firstLine="443"/>
        <w:spacing w:after="0" w:line="277" w:lineRule="auto"/>
        <w:tabs>
          <w:tab w:leader="none" w:pos="11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resulting from the borrowing of funds to be applied to such deposit;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342" w:lineRule="auto"/>
        <w:tabs>
          <w:tab w:leader="none" w:pos="115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to which Spectrum Brands or any of its Subsidiaries is a party or by which Spectrum Brands or any of its Subsidiaries is bound;</w:t>
      </w:r>
    </w:p>
    <w:p>
      <w:pPr>
        <w:spacing w:after="0" w:line="15" w:lineRule="exact"/>
        <w:rPr>
          <w:rFonts w:ascii="Arial" w:cs="Arial" w:eastAsia="Arial" w:hAnsi="Arial"/>
          <w:sz w:val="16"/>
          <w:szCs w:val="16"/>
          <w:color w:val="auto"/>
        </w:rPr>
      </w:pPr>
    </w:p>
    <w:p>
      <w:pPr>
        <w:jc w:val="both"/>
        <w:ind w:left="460" w:right="20" w:firstLine="443"/>
        <w:spacing w:after="0" w:line="264"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Spectrum Brands must deliver to the Trustee an Officers’ Certificate stating that the deposit was not made by Spectrum Brands with the intent of preferring the Holders of 2020/2022 notes of such series over the other creditors of Spectrum Brands with the intent of defeating, hindering, delaying or defrauding creditors of Spectrum Brands or others;</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2020/2022 notes are to be redeemed prior to their stated maturity, Spectrum Brands must deliver to the Trustee irrevocable instructions to redeem all of the 2020/2022 notes of such series on the specified redemption date; and</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Spectrum Brands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legal or covenant defeasance, all Guarantees and Liens will be released.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Except as provided in the next succeeding paragraphs, with respect to a series of 2020/2022 notes, the 2020/2022 indenture, the 2020/2022 notes or the Guarantees with respect to such series may be amended or supplemented with the consent of the Holders of at least a majority in aggregate principal amount of such series of 2020/2022 notes then outstanding (including, without limitation, consents obtained in connection with a purchase of, or tender offer or exchange offer for, such series of 2020/2022 notes), and any existing Default or Event of Default or compliance with any provision of the 2020/2022 indenture, the 2020/2022 notes or the Guarantees with respect to such series may be waived with the consent of the Holders of a majority in aggregate principal amount of the then outstanding 2020/2022 notes of such series (including, without limitation, consents obtained in connection with a purchase of, or tender offer or exchange offer for, such series of 2020/2022 notes).</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Without the consent of each Holder of 2020/2022 notes of such series affected, an amendment, supplement or waiver may not (with respect to such series of 2020/2022 notes held by a non-consenting Holder):</w:t>
      </w:r>
    </w:p>
    <w:p>
      <w:pPr>
        <w:spacing w:after="0" w:line="62" w:lineRule="exact"/>
        <w:rPr>
          <w:sz w:val="20"/>
          <w:szCs w:val="20"/>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reduce the principal amount of the 2020/2022 notes whose Holders must consent to an amendment, supplement or waiver;</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2020/2022 note or alter the provisions, or waive any payment, with respect to the redemption of the 2020/2022 notes (other than the notice period with respect to the redemption of the 2020/2022 notes);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2020/2022 note;</w:t>
      </w:r>
    </w:p>
    <w:p>
      <w:pPr>
        <w:spacing w:after="0" w:line="117" w:lineRule="exact"/>
        <w:rPr>
          <w:rFonts w:ascii="Arial" w:cs="Arial" w:eastAsia="Arial" w:hAnsi="Arial"/>
          <w:sz w:val="18"/>
          <w:szCs w:val="18"/>
          <w:color w:val="auto"/>
        </w:rPr>
      </w:pPr>
    </w:p>
    <w:p>
      <w:pPr>
        <w:jc w:val="both"/>
        <w:ind w:left="460" w:right="60" w:firstLine="443"/>
        <w:spacing w:after="0" w:line="264"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2020/2022 notes (except a rescission of acceleration of the 2020/2022 notes by the Holders of at least a majority in aggregate principal amount of the then outstanding 2020/2022 notes and a waiver of the payment default that resulted from such acceleration);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make any 2020/2022 note payable in money other than U.S. dollars;</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make any change in the provisions of the 2020/2022 indenture relating to waivers of past Defaults or the rights of Holders of 2020/2022 notes to receive payments of principal of, or interest or premium, if any, on the 2020/2022 notes;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Note Guarantee or the 2020/2022 indenture, except in accordance with the terms of the 2020/2022 indenture;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on or with respect to the 2020/2022 notes or the Note Guarantees;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firstLine="443"/>
        <w:spacing w:after="0" w:line="257" w:lineRule="auto"/>
        <w:tabs>
          <w:tab w:leader="none" w:pos="11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amend, change or modify the obligation of Spectrum Brands to make and consummate an Asset Sale Offer with respect to any Asset Sale in accordance with the “Repurchase at the Option of Holders—Asset Sales” covenant after the obligation to make such Asset Sale Offer has arisen, or the obligation of Spectrum Brands to make and consummate a Change of Control Offer in the event of a Change of Control in accordance with the “Repurchase at the Option of Holders—Change of Control” covenant after such Change of Control has occurred, including, in each case, amending, changing or modifying any definition relating thereto;</w:t>
      </w:r>
    </w:p>
    <w:p>
      <w:pPr>
        <w:spacing w:after="0" w:line="80" w:lineRule="exact"/>
        <w:rPr>
          <w:rFonts w:ascii="Arial" w:cs="Arial" w:eastAsia="Arial" w:hAnsi="Arial"/>
          <w:sz w:val="18"/>
          <w:szCs w:val="18"/>
          <w:color w:val="auto"/>
        </w:rPr>
      </w:pPr>
    </w:p>
    <w:p>
      <w:pPr>
        <w:ind w:left="460" w:right="420" w:firstLine="443"/>
        <w:spacing w:after="0" w:line="277" w:lineRule="auto"/>
        <w:tabs>
          <w:tab w:leader="none" w:pos="124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otherwise permitted under the “Merger, Consolidation and Sale of Assets” covenant, consent to the assignment or transfer by Spectrum Brands of any of its rights or obligations under the 2020/2022 indenture; or</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preceding, without the consent of any Holder of the 2020/2022 notes of such series, Spectrum Brands, the Guarantors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may amend or supplement the 2020/2022 indenture, the 2020/2022 notes or the Guarantees with respect to such series:</w:t>
      </w:r>
    </w:p>
    <w:p>
      <w:pPr>
        <w:spacing w:after="0" w:line="103" w:lineRule="exact"/>
        <w:rPr>
          <w:sz w:val="20"/>
          <w:szCs w:val="20"/>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provide for uncertificated 2020/2022 notes in addition or in place of certificated 2020/2022 notes of such series;</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provide for the assumption of Spectrum Brands’ or any Guarantor’s obligations to Holders of 2020/2022 notes of such series in the case of a merger or consolidation or sale of all or substantially all of Spectrum Brands’ or such Guarantor’s assets;</w:t>
      </w:r>
    </w:p>
    <w:p>
      <w:pPr>
        <w:spacing w:after="0" w:line="62"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2020/2022 notes of such series or that does not adversely affect the legal rights under the 2020/2022 indenture of any such Holder;</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comply with requirements of the Commission in order to effect or maintain the qualification of the 2020/2022 indenture under the Trust Indenture Act;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comply with the provision described under “Certain Covenants—Guarantees”;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2020/2022 indenture;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conform any provision to this “Description of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2020/2022 indenture will be discharged and will cease to be of further effect as to a series of 2020/2022 notes issued thereunder, when:</w:t>
      </w:r>
    </w:p>
    <w:p>
      <w:pPr>
        <w:spacing w:after="0" w:line="129" w:lineRule="exact"/>
        <w:rPr>
          <w:sz w:val="20"/>
          <w:szCs w:val="20"/>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920" w:right="560" w:firstLine="421"/>
        <w:spacing w:after="0" w:line="264" w:lineRule="auto"/>
        <w:tabs>
          <w:tab w:leader="none" w:pos="158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2020/2022 notes of such series that have been authenticated (except lost, stolen or destroyed 2020/2022 notes that have been replaced or paid and 2020/2022 notes for whose payment money has theretofore been deposited in trust and thereafter repaid to Spectrum Brands) have been delivered to the Trustee for cancellation; or</w:t>
      </w:r>
    </w:p>
    <w:p>
      <w:pPr>
        <w:spacing w:after="0" w:line="73" w:lineRule="exact"/>
        <w:rPr>
          <w:rFonts w:ascii="Arial" w:cs="Arial" w:eastAsia="Arial" w:hAnsi="Arial"/>
          <w:sz w:val="18"/>
          <w:szCs w:val="18"/>
          <w:color w:val="auto"/>
        </w:rPr>
      </w:pPr>
    </w:p>
    <w:p>
      <w:pPr>
        <w:ind w:left="920" w:firstLine="421"/>
        <w:spacing w:after="0" w:line="297" w:lineRule="auto"/>
        <w:tabs>
          <w:tab w:leader="none" w:pos="159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all 2020/2022 notes of such series that have not been delivered to the Trustee for cancellation have become due and payable by reason of the making of a notice of redemption or otherwise or will become due and payable within one year and Spectrum Brands or any Guarantor has irrevocably deposited or caused to be deposited with the Trustee as trust funds in trust solely for the benefit of the Holders of such series of 2020/2022 notes, cash in U.S. dollars, non-callable Government Securities, or a combination thereof, in such amounts as will be sufficient without consideration of any reinvestment of interest, to pay and discharge the entire Indebtedness on the 2020/2022 notes of such series not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delivered to the Trustee for cancellation for principal, premium, if any, and accrued interest to the date of maturity or redemption;</w:t>
      </w:r>
    </w:p>
    <w:p>
      <w:pPr>
        <w:spacing w:after="0" w:line="117" w:lineRule="exact"/>
        <w:rPr>
          <w:sz w:val="20"/>
          <w:szCs w:val="20"/>
          <w:color w:val="auto"/>
        </w:rPr>
      </w:pPr>
    </w:p>
    <w:p>
      <w:pPr>
        <w:ind w:left="460" w:right="120" w:firstLine="443"/>
        <w:spacing w:after="0" w:line="259"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with respect to such series of 2020/2022 notes on the date of such deposit or shall occur as a result of such deposit (other than from the borrowing of funds to be applied to such deposit) and such deposit will not result in a breach or violation of, or constitute a default under, any other instrument (other than the 2020/2022 indenture) to which Spectrum Brands or any Guarantor is a party or by which Spectrum Brands or any Guarantor is bound;</w:t>
      </w:r>
    </w:p>
    <w:p>
      <w:pPr>
        <w:spacing w:after="0" w:line="78"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Spectrum Brands or any Guarantor has paid or caused to be paid all sums payable by it under the 2020/2022 indenture with respect to such series of 2020/2022 notes;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Spectrum Brands has delivered irrevocable instructions to the Trustee under the 2020/2022 indenture to apply the deposited money toward the payment of the 2020/2022 notes of such series at maturity or the redemption date, as the case may be.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addition, Spectrum Brands must deliver an Officers’ Certificate and an Opinion of Counsel to the Trustee stating that all conditions precedent to satisfaction and discharge have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Trustee becomes a creditor of Spectrum Brands or any Guarantor, the 2020/2022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2020/2022 indenture provides that in case an Event of Default shall occur and be continuing, the Trustee will be required, in the exercise of its power, to use the degree of care of a prudent person in the conduct of such person’s own affairs. Subject to such provisions, the Trustee will be under no obligation to exercise any of its rights or powers under the 2020/2022 indenture at the request of any Holder of the 2020/2022 notes, unless such Holder shall have offered to the Trustee security and indemnity satisfactory to it against any loss, liability or expense.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Set forth below are certain defined terms used in the 2020/2022 indenture. Reference is made to the 2020/2022 indenture for a full disclosure of all such terms, as well as any other capitalized terms used herein for which no definition is provided.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Debt” means, with respect to any specified Person:</w:t>
      </w:r>
    </w:p>
    <w:p>
      <w:pPr>
        <w:spacing w:after="0" w:line="117" w:lineRule="exact"/>
        <w:rPr>
          <w:sz w:val="20"/>
          <w:szCs w:val="20"/>
          <w:color w:val="auto"/>
        </w:rPr>
      </w:pPr>
    </w:p>
    <w:p>
      <w:pPr>
        <w:ind w:left="460" w:right="40" w:firstLine="443"/>
        <w:spacing w:after="0" w:line="264" w:lineRule="auto"/>
        <w:tabs>
          <w:tab w:leader="none" w:pos="115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becomes a Subsidiary of, such specified Person, whether or not such Indebtedness is incurred in connection with, or in contemplation of, such other Person merging with or into, or becoming a Subsidiary of, such specified Person;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“Acquisition” means the acquisition by Spectrum of all or substantially all of the business (including, without limitation, all assets, licenses and related operations) of the HHI Business (as defined in the Acquisition Agreement) and the TLM Business (as defined in the Acquisition Agreement) from Stanley Black &amp; Decker, Inc. pursuant to the Acquisition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“Acquisition Agreement” means the Acquisition Agreement dated October 8, 2012 by and between Stanley Black &amp; Decker, Inc. and Spectrum, as amended, supplemented or modified from time to time prior to the Escrow Release Date or thereafter, in accordance with its terms.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“Acquisition Documents” means the Acquisition Agreement and any other document entered into in connection therewith, in each case as amended, supplemented or modified from time to time prior to the Escrow Release Date or thereafter.</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 provided further that Paula Grundstücksverwaltungsgesellschaft mbH &amp; Co. Vermietungs-KG, Mannheim shall not be deemed an Affiliate of Spectrum Brands or any of its Restricted Subsidiaries solely by virtue of the beneficial ownership by Spectrum Brands or its Restricted Subsidiaries of up to 20% of the Voting Stock of such entity.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Premium” means, with respect to any 2020/2022 note on any redemption date, the greater of</w:t>
      </w:r>
    </w:p>
    <w:p>
      <w:pPr>
        <w:spacing w:after="0" w:line="117" w:lineRule="exact"/>
        <w:rPr>
          <w:sz w:val="20"/>
          <w:szCs w:val="20"/>
          <w:color w:val="auto"/>
        </w:rPr>
      </w:pPr>
    </w:p>
    <w:p>
      <w:pPr>
        <w:ind w:left="1120" w:hanging="217"/>
        <w:spacing w:after="0"/>
        <w:tabs>
          <w:tab w:leader="none" w:pos="11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1.0% of the principal amount of such 2020/2022 note;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17" w:lineRule="exact"/>
        <w:rPr>
          <w:rFonts w:ascii="Arial" w:cs="Arial" w:eastAsia="Arial" w:hAnsi="Arial"/>
          <w:sz w:val="18"/>
          <w:szCs w:val="18"/>
          <w:color w:val="auto"/>
        </w:rPr>
      </w:pPr>
    </w:p>
    <w:p>
      <w:pPr>
        <w:ind w:left="920" w:right="180" w:firstLine="421"/>
        <w:spacing w:after="0" w:line="291" w:lineRule="auto"/>
        <w:tabs>
          <w:tab w:leader="none" w:pos="1585" w:val="left"/>
        </w:tabs>
        <w:numPr>
          <w:ilvl w:val="2"/>
          <w:numId w:val="143"/>
        </w:numPr>
        <w:rPr>
          <w:rFonts w:ascii="Arial" w:cs="Arial" w:eastAsia="Arial" w:hAnsi="Arial"/>
          <w:sz w:val="16"/>
          <w:szCs w:val="16"/>
          <w:color w:val="auto"/>
        </w:rPr>
      </w:pPr>
      <w:r>
        <w:rPr>
          <w:rFonts w:ascii="Arial" w:cs="Arial" w:eastAsia="Arial" w:hAnsi="Arial"/>
          <w:sz w:val="16"/>
          <w:szCs w:val="16"/>
          <w:color w:val="auto"/>
        </w:rPr>
        <w:t>the present value at such redemption date of (i) the redemption price of such 2020/2022 note at November 15, 2016 (in the case of the 2020 notes) or November 15, 2017 (in the case of the 2022 notes) (such redemption price being set forth in the table appearing below), plus</w:t>
      </w:r>
    </w:p>
    <w:p>
      <w:pPr>
        <w:ind w:left="920" w:right="40" w:firstLine="1"/>
        <w:spacing w:after="0" w:line="255" w:lineRule="auto"/>
        <w:tabs>
          <w:tab w:leader="none" w:pos="118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required interest payments due on such 2020/2022 note through November 15, 2016 (in the case of the 2020 notes) or November 15, 2017 (in the case of the 2022 notes) excluding accrued but unpaid interest to the applicable redemption date, computed using a discount rate equal to the Treasury Rate as of such redemption date plus 50 basis points; over</w:t>
      </w:r>
    </w:p>
    <w:p>
      <w:pPr>
        <w:spacing w:after="0" w:line="82" w:lineRule="exact"/>
        <w:rPr>
          <w:rFonts w:ascii="Arial" w:cs="Arial" w:eastAsia="Arial" w:hAnsi="Arial"/>
          <w:sz w:val="18"/>
          <w:szCs w:val="18"/>
          <w:color w:val="auto"/>
        </w:rPr>
      </w:pPr>
    </w:p>
    <w:p>
      <w:pPr>
        <w:ind w:left="1600" w:hanging="259"/>
        <w:spacing w:after="0"/>
        <w:tabs>
          <w:tab w:leader="none" w:pos="160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principal amount of such 2020/2022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 Sale” means:</w:t>
      </w:r>
    </w:p>
    <w:p>
      <w:pPr>
        <w:spacing w:after="0" w:line="117" w:lineRule="exact"/>
        <w:rPr>
          <w:sz w:val="20"/>
          <w:szCs w:val="20"/>
          <w:color w:val="auto"/>
        </w:rPr>
      </w:pPr>
    </w:p>
    <w:p>
      <w:pPr>
        <w:ind w:left="460" w:right="60" w:firstLine="443"/>
        <w:spacing w:after="0" w:line="276" w:lineRule="auto"/>
        <w:tabs>
          <w:tab w:leader="none" w:pos="115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sale, lease, conveyance or other disposition of any property or assets of Spectrum Brands or any Restricted Subsidiary; provided that the sale, conveyance or other disposition of all or substantially all of the assets of Spectrum Brands and its Restricted Subsidiaries taken as a whole will be governed by the provisions of the 2020/2022 indenture described above under the caption “—Repurchase at the Option of Holders—Change of Control” and/or the provisions described above under the caption “—Certain Covenants—Merger, Consolidation or Sale of Assets” and not by the provisions described under “—Repurchase at the Option of Holders—Asset Sale”; and</w:t>
      </w:r>
    </w:p>
    <w:p>
      <w:pPr>
        <w:spacing w:after="0" w:line="64" w:lineRule="exact"/>
        <w:rPr>
          <w:rFonts w:ascii="Arial" w:cs="Arial" w:eastAsia="Arial" w:hAnsi="Arial"/>
          <w:sz w:val="17"/>
          <w:szCs w:val="17"/>
          <w:color w:val="auto"/>
        </w:rPr>
      </w:pPr>
    </w:p>
    <w:p>
      <w:pPr>
        <w:ind w:left="460" w:right="300" w:firstLine="443"/>
        <w:spacing w:after="0" w:line="308" w:lineRule="auto"/>
        <w:tabs>
          <w:tab w:leader="none" w:pos="115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issuance of Equity Interests (other than directors’ qualifying shares) by any of Spectrum Brands’ Restricted Subsidiaries or the sale by Spectrum Brands or any Restricted Subsidiary of Equity Interests (other than directors’ qualifying shares) in any of its Subsidiaries.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the following items shall be deemed not to be Asset Sales:</w:t>
      </w:r>
    </w:p>
    <w:p>
      <w:pPr>
        <w:spacing w:after="0" w:line="117" w:lineRule="exact"/>
        <w:rPr>
          <w:sz w:val="20"/>
          <w:szCs w:val="20"/>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$15.0 million;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transfer of assets between or among Spectrum Brands and its Restricted Subsidiaries;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Spectrum Brands or to another Restricted Subsidiary;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80" w:firstLine="443"/>
        <w:spacing w:after="0" w:line="312" w:lineRule="auto"/>
        <w:tabs>
          <w:tab w:leader="none" w:pos="115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sale, lease, assignment or other disposition of equipment, inventory, accounts receivable or other assets in the ordinary course of business and any other non-recourse factoring of accounts receivable pursuant to a factoring program sponsored by a retailer of national standing in partnership with a financial institution or otherwise entered into by Spectrum Brands or any of its subsidiaries with a financial institution;</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sale or other disposition of Cash Equivalents;</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Permitted Investment or Restricted Payment that is permitted by the covenant described above under the caption “—Certain Covenants— Restricted Payments”;</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sale or disposition of any property or equipment that has become damaged, worn out, obsolete or otherwise unsuitable or no longer used or required for use in the ordinary course of the business of Spectrum Brands or its Restricted Subsidiaries;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licensing of intellectual property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sale or other disposition deemed to occur with creating or granting a Lien not otherwise prohibited by the 2020/2022 indenture;</w:t>
      </w:r>
    </w:p>
    <w:p>
      <w:pPr>
        <w:spacing w:after="0" w:line="128" w:lineRule="exact"/>
        <w:rPr>
          <w:rFonts w:ascii="Arial" w:cs="Arial" w:eastAsia="Arial" w:hAnsi="Arial"/>
          <w:sz w:val="17"/>
          <w:szCs w:val="17"/>
          <w:color w:val="auto"/>
        </w:rPr>
      </w:pPr>
    </w:p>
    <w:p>
      <w:pPr>
        <w:ind w:left="1240" w:hanging="337"/>
        <w:spacing w:after="0"/>
        <w:tabs>
          <w:tab w:leader="none" w:pos="12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surrender or waiver of contract rights pursuant to a settlement, release, recovery on or surrender of contract, tort or other claims of any</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kind;</w:t>
      </w:r>
    </w:p>
    <w:p>
      <w:pPr>
        <w:spacing w:after="0" w:line="102" w:lineRule="exact"/>
        <w:rPr>
          <w:rFonts w:ascii="Arial" w:cs="Arial" w:eastAsia="Arial" w:hAnsi="Arial"/>
          <w:sz w:val="16"/>
          <w:szCs w:val="16"/>
          <w:color w:val="auto"/>
        </w:rPr>
      </w:pPr>
    </w:p>
    <w:p>
      <w:pPr>
        <w:ind w:left="460" w:right="120" w:firstLine="443"/>
        <w:spacing w:after="0" w:line="277" w:lineRule="auto"/>
        <w:tabs>
          <w:tab w:leader="none" w:pos="12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foreclosure or any similar action with respect to any property or other asset of Spectrum Brands or any of its Restricted Subsidiaries, which foreclosure or other similar action does not otherwise constitute a Default;</w:t>
      </w:r>
    </w:p>
    <w:p>
      <w:pPr>
        <w:spacing w:after="0" w:line="62" w:lineRule="exact"/>
        <w:rPr>
          <w:rFonts w:ascii="Arial" w:cs="Arial" w:eastAsia="Arial" w:hAnsi="Arial"/>
          <w:sz w:val="18"/>
          <w:szCs w:val="18"/>
          <w:color w:val="auto"/>
        </w:rPr>
      </w:pPr>
    </w:p>
    <w:p>
      <w:pPr>
        <w:ind w:left="460" w:right="580" w:firstLine="443"/>
        <w:spacing w:after="0" w:line="277" w:lineRule="auto"/>
        <w:tabs>
          <w:tab w:leader="none" w:pos="12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Internal Revenue Code of 1986, any exchange of like property (excluding any boot thereon) for use in a Permitted Business;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unwinding of any Hedging Obligation.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purposes of this definition, any series of related transactions that, if effected as a single transaction, would constitute an Asset Sale, shall be deemed to be a single Asset Sale effected when the last such transaction which is a part thereof is affected.</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“Beneficial Owner”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shall have a corresponding meaning.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w:t>
      </w:r>
    </w:p>
    <w:p>
      <w:pPr>
        <w:spacing w:after="0" w:line="117" w:lineRule="exact"/>
        <w:rPr>
          <w:sz w:val="20"/>
          <w:szCs w:val="20"/>
          <w:color w:val="auto"/>
        </w:rPr>
      </w:pPr>
    </w:p>
    <w:p>
      <w:pPr>
        <w:ind w:left="460" w:right="240" w:firstLine="443"/>
        <w:spacing w:after="0" w:line="277" w:lineRule="auto"/>
        <w:tabs>
          <w:tab w:leader="none" w:pos="115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duly authorized committee thereof having the authority of the full board with respect to the determination to be made;</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with respect to a limited liability company, any managing member thereof or, if managed by managers, the board of managers thereof, or any duly authorized committee thereof having the authority of the full board with respect to the determination to be made;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“Borrowing Base” means the sum of (A) 80% of the net book value of accounts receivable of Spectrum Brands and its Restricted Subsidiaries and (B) 60% of the net book value of inventory of Spectrum Brands and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Restricted Subsidiaries (with accounts receivable and inventory calculated on the basis that all Investments, acquisitions, dispositions, mergers, consolidations and disposed operations that have been made by the Company and its Restricted Subsidiaries prior to or substantially contemporaneous with the date of any calculation shall be included or excluded, as the case may be, on a pro forma basis with such calculations made in good faith by a responsible financial or accounting officer of the Company).</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means:</w:t>
      </w:r>
    </w:p>
    <w:p>
      <w:pPr>
        <w:spacing w:after="0" w:line="117" w:lineRule="exact"/>
        <w:rPr>
          <w:sz w:val="20"/>
          <w:szCs w:val="20"/>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Equivalents” means (a) United States dollars, Euros, British Pounds Sterling or any other currencies received in the ordinary course of business;</w:t>
      </w:r>
    </w:p>
    <w:p>
      <w:pPr>
        <w:spacing w:after="0" w:line="46" w:lineRule="exact"/>
        <w:rPr>
          <w:sz w:val="20"/>
          <w:szCs w:val="20"/>
          <w:color w:val="auto"/>
        </w:rPr>
      </w:pPr>
    </w:p>
    <w:p>
      <w:pPr>
        <w:ind w:right="240" w:firstLine="8"/>
        <w:spacing w:after="0" w:line="281" w:lineRule="auto"/>
        <w:tabs>
          <w:tab w:leader="none" w:pos="25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securities issued or directly and fully guaranteed or insured by the United States government or any agency or instrumentality thereof (provided that the full faith and credit of the United States is pledged in support thereof) having maturities of not more than one year from the date of acquisition; (c) time deposits, certificates of deposit and eurodollar time deposits with maturities of one year or less from the date of acquisition, bankers’ acceptances with maturities not exceeding one year and overnight bank deposits, in each case, with any bank or trust company organized or licensed under the laws of the United States or any state thereof or the District of Columbia whose short-term debt is rated “A-2” or higher by S&amp;P or “P-2” or higher by Moody’s;</w:t>
      </w:r>
    </w:p>
    <w:p>
      <w:pPr>
        <w:spacing w:after="0" w:line="3" w:lineRule="exact"/>
        <w:rPr>
          <w:rFonts w:ascii="Arial" w:cs="Arial" w:eastAsia="Arial" w:hAnsi="Arial"/>
          <w:sz w:val="16"/>
          <w:szCs w:val="16"/>
          <w:color w:val="auto"/>
        </w:rPr>
      </w:pPr>
    </w:p>
    <w:p>
      <w:pPr>
        <w:ind w:right="20" w:firstLine="8"/>
        <w:spacing w:after="0" w:line="288" w:lineRule="auto"/>
        <w:tabs>
          <w:tab w:leader="none" w:pos="25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seven days for underlying securities of the types described in clauses (b) and (c) above entered into with any financial institution meeting the qualifications specified in clause (c) above; (e) commercial paper having at least a “P-1” rating from Moody’s or “A-1” from S&amp;P and in each case maturing within nine months after the date of acquisition; (f) marketable direct obligations issued by any state of the United States of America or any political subdivision of any such state or any public instrumentality thereof having the highest ratings obtainable from Moody’s or S&amp;P and maturing within six months from the date of acquisition thereof; (g) money market funds at least 95% of the assets of which constitute Cash Equivalents of the kinds described in clauses (a) through (f) of this definition; and (h) in the case of a Foreign Subsidiary, substantially similar investments, of comparable credit quality, denominated in local currency held by such Foreign Subsidiary from time to time in the ordinary course of business.</w:t>
      </w:r>
    </w:p>
    <w:p>
      <w:pPr>
        <w:spacing w:after="0" w:line="16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“Cash Management Obligations” means, with respect to any Person, all obligations, whether now owing or hereafter arising, of such Person in respect of overdrafts and related liabilities or arising from (i) services in connection with operating, collections, payroll, trust or other depository or disbursement accounts, including automated clearinghouse, e-payable, electronic funds transfer, wire transfer, controlled disbursement, overdraft, depository, information reporting, lockbox or stop payment services, (ii) commercial credit card and merchant card services; and (iii) other banking products or services (other than letters of credit and leases).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17" w:lineRule="exact"/>
        <w:rPr>
          <w:sz w:val="20"/>
          <w:szCs w:val="20"/>
          <w:color w:val="auto"/>
        </w:rPr>
      </w:pPr>
    </w:p>
    <w:p>
      <w:pPr>
        <w:ind w:left="460" w:firstLine="443"/>
        <w:spacing w:after="0" w:line="277" w:lineRule="auto"/>
        <w:tabs>
          <w:tab w:leader="none" w:pos="115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of Spectrum Brands and its Restricted Subsidiaries, taken as a whole, to any “person” (as that term is used in Section 13(d)(3) of the Exchange Act) other than a Permitted Holder;</w:t>
      </w:r>
    </w:p>
    <w:p>
      <w:pPr>
        <w:spacing w:after="0" w:line="62" w:lineRule="exact"/>
        <w:rPr>
          <w:sz w:val="20"/>
          <w:szCs w:val="20"/>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Spectrum Brands;</w:t>
      </w:r>
    </w:p>
    <w:p>
      <w:pPr>
        <w:spacing w:after="0" w:line="117"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becomes the ultimate Beneficial Owner, directly or indirectly, of 35% or more of the voting power of the Voting Stock of Spectrum Brands or Holdings other than a Permitted Holder; provided that such event shall not be deemed a Change of Control so long as one or more Permitted Holders shall Beneficially Own more of the voting power of the Voting Stock of Spectrum Brands or Holdings than such person or group;</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Spectrum Brands or Holdings are not Continuing Directors; or</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Holdings ceases to directly own all Capital Stock of Spectrum Brands.</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For purposes of this definition, (i) any direct or indirect holding company of Spectrum Brands (including Holdings) shall not itself be considered a Person for purposes of clauses (3) or (5) above or a “person” or “group” for purposes of clauses (3) or (5) above, provided that no “person” or “group” (other than the Permitted Holders or another such holding company) Beneficially Owns, directly or indirectly, more than 50% of the voting power of the Voting Stock of such company, and a majority of the Voting Stock of such holding company immediately following it becoming the holding company of Spectrum Brands is Beneficially Owned by the Persons who Beneficially Owned the voting power of the Voting Stock of Spectrum Brands immediately prior to it becoming such holding company and (ii) a Person shall not be deemed to have beneficial ownership of securities subject to a stock purchase agreement, merger agreement or similar agreement until the consummation of the transactions contemplated by such agreement. In addition, any foreclosure (but not any sale thereof to a third party) with respect to Equity Interests of Spectrum Brands by the trustee or the holders of Harbinger Group Inc.’s outstanding 10.625% notes shall not be deemed a Change of Control.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Offer” has the meaning assigned to that term in the 2020/2022 indenture governing the 2020/2022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or any successor statute thereto.</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“Consolidated Cash Flow” means, with respect to any specified Person for any period, the Consolidated Net Income of such Person for such period plus, without duplication:</w:t>
      </w:r>
    </w:p>
    <w:p>
      <w:pPr>
        <w:spacing w:after="0" w:line="62" w:lineRule="exact"/>
        <w:rPr>
          <w:sz w:val="20"/>
          <w:szCs w:val="20"/>
          <w:color w:val="auto"/>
        </w:rPr>
      </w:pPr>
    </w:p>
    <w:p>
      <w:pPr>
        <w:ind w:left="920" w:right="360" w:firstLine="421"/>
        <w:spacing w:after="0" w:line="277" w:lineRule="auto"/>
        <w:tabs>
          <w:tab w:leader="none" w:pos="158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62" w:lineRule="exact"/>
        <w:rPr>
          <w:rFonts w:ascii="Arial" w:cs="Arial" w:eastAsia="Arial" w:hAnsi="Arial"/>
          <w:sz w:val="18"/>
          <w:szCs w:val="18"/>
          <w:color w:val="auto"/>
        </w:rPr>
      </w:pPr>
    </w:p>
    <w:p>
      <w:pPr>
        <w:ind w:left="920" w:right="140" w:firstLine="421"/>
        <w:spacing w:after="0" w:line="277" w:lineRule="auto"/>
        <w:tabs>
          <w:tab w:leader="none" w:pos="159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Fixed Charges of such Person and its Restricted Subsidiaries for such period, to the extent that any such Fixed Charges were deducted in computing such Consolidated Net Income; plus</w:t>
      </w:r>
    </w:p>
    <w:p>
      <w:pPr>
        <w:spacing w:after="0" w:line="62" w:lineRule="exact"/>
        <w:rPr>
          <w:rFonts w:ascii="Arial" w:cs="Arial" w:eastAsia="Arial" w:hAnsi="Arial"/>
          <w:sz w:val="18"/>
          <w:szCs w:val="18"/>
          <w:color w:val="auto"/>
        </w:rPr>
      </w:pPr>
    </w:p>
    <w:p>
      <w:pPr>
        <w:ind w:left="920" w:right="160" w:firstLine="421"/>
        <w:spacing w:after="0" w:line="257" w:lineRule="auto"/>
        <w:tabs>
          <w:tab w:leader="none" w:pos="158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80" w:lineRule="exact"/>
        <w:rPr>
          <w:rFonts w:ascii="Arial" w:cs="Arial" w:eastAsia="Arial" w:hAnsi="Arial"/>
          <w:sz w:val="18"/>
          <w:szCs w:val="18"/>
          <w:color w:val="auto"/>
        </w:rPr>
      </w:pPr>
    </w:p>
    <w:p>
      <w:pPr>
        <w:jc w:val="both"/>
        <w:ind w:left="920" w:firstLine="421"/>
        <w:spacing w:after="0" w:line="291" w:lineRule="auto"/>
        <w:tabs>
          <w:tab w:leader="none" w:pos="1595"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 unusual or non-recurring charges, (ii) relocation costs and integration costs or reserves (including such items related to proposed and completed acquisitions and Asset Sales and to closure/consolidation of facilities), (iii) Transaction Expenses, (iv) Prior Transaction Expenses and</w:t>
      </w:r>
    </w:p>
    <w:p>
      <w:pPr>
        <w:ind w:left="1180" w:hanging="259"/>
        <w:spacing w:after="0"/>
        <w:tabs>
          <w:tab w:leader="none" w:pos="11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severance costs, including such costs related to proposed and completed Permitted Investments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Asset Sales and to closure/consolidation of facilities, in each case incurred by Spectrum Brands, Inc. and its Restricted Subsidiaries; minus</w:t>
      </w:r>
    </w:p>
    <w:p>
      <w:pPr>
        <w:spacing w:after="0" w:line="129" w:lineRule="exact"/>
        <w:rPr>
          <w:sz w:val="20"/>
          <w:szCs w:val="20"/>
          <w:color w:val="auto"/>
        </w:rPr>
      </w:pPr>
    </w:p>
    <w:p>
      <w:pPr>
        <w:ind w:left="1580" w:hanging="239"/>
        <w:spacing w:after="0"/>
        <w:tabs>
          <w:tab w:leader="none" w:pos="15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non-cash items increasing such Consolidated Net Income for such period, other than the accrual of revenue consistent with past</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practice,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“Consolidated Net Income” means, with respect to any specified Person for any period, the aggregate of the Net Income of such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03" w:lineRule="exact"/>
        <w:rPr>
          <w:sz w:val="20"/>
          <w:szCs w:val="20"/>
          <w:color w:val="auto"/>
        </w:rPr>
      </w:pPr>
    </w:p>
    <w:p>
      <w:pPr>
        <w:ind w:left="460" w:right="220" w:firstLine="443"/>
        <w:spacing w:after="0" w:line="342" w:lineRule="auto"/>
        <w:tabs>
          <w:tab w:leader="none" w:pos="115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Restricted Subsidiary thereof;</w:t>
      </w:r>
    </w:p>
    <w:p>
      <w:pPr>
        <w:spacing w:after="0" w:line="15" w:lineRule="exact"/>
        <w:rPr>
          <w:rFonts w:ascii="Arial" w:cs="Arial" w:eastAsia="Arial" w:hAnsi="Arial"/>
          <w:sz w:val="16"/>
          <w:szCs w:val="16"/>
          <w:color w:val="auto"/>
        </w:rPr>
      </w:pPr>
    </w:p>
    <w:p>
      <w:pPr>
        <w:jc w:val="both"/>
        <w:ind w:left="460" w:right="440" w:firstLine="443"/>
        <w:spacing w:after="0" w:line="302" w:lineRule="auto"/>
        <w:tabs>
          <w:tab w:leader="none" w:pos="115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Net Income of any Restricted Subsidiary (other than a Guarantor)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46" w:lineRule="exact"/>
        <w:rPr>
          <w:rFonts w:ascii="Arial" w:cs="Arial" w:eastAsia="Arial" w:hAnsi="Arial"/>
          <w:sz w:val="16"/>
          <w:szCs w:val="16"/>
          <w:color w:val="auto"/>
        </w:rPr>
      </w:pPr>
    </w:p>
    <w:p>
      <w:pPr>
        <w:ind w:left="1160" w:hanging="257"/>
        <w:spacing w:after="0"/>
        <w:tabs>
          <w:tab w:leader="none" w:pos="11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Net Income of any Person acquired during the specified period for any period prior to the date of such acquisition shall be excluded;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notwithstanding clause (1) above, the Net Income (but not loss) of any Unrestricted Subsidiary shall be excluded, whether or not distributed to the specified Person or one of its Subsidiaries;</w:t>
      </w:r>
    </w:p>
    <w:p>
      <w:pPr>
        <w:spacing w:after="0" w:line="62" w:lineRule="exact"/>
        <w:rPr>
          <w:sz w:val="20"/>
          <w:szCs w:val="20"/>
          <w:color w:val="auto"/>
        </w:rPr>
      </w:pPr>
    </w:p>
    <w:p>
      <w:pPr>
        <w:jc w:val="both"/>
        <w:ind w:left="460" w:right="220" w:firstLine="438"/>
        <w:spacing w:after="0" w:line="264" w:lineRule="auto"/>
        <w:rPr>
          <w:sz w:val="20"/>
          <w:szCs w:val="20"/>
          <w:color w:val="auto"/>
        </w:rPr>
      </w:pPr>
      <w:r>
        <w:rPr>
          <w:rFonts w:ascii="Arial" w:cs="Arial" w:eastAsia="Arial" w:hAnsi="Arial"/>
          <w:sz w:val="18"/>
          <w:szCs w:val="18"/>
          <w:color w:val="auto"/>
        </w:rPr>
        <w:t>(6)(a) unrealized gains and losses due solely to fluctuations in currency values and the related tax effects according to GAAP shall be excluded (until realized, at which time such gains or losses shall be included); and (b) unrealized gains and losses with respect to Hedging Obligations shall be excluded (until realized, at which time such gains or losses shall be included);</w:t>
      </w:r>
    </w:p>
    <w:p>
      <w:pPr>
        <w:spacing w:after="0" w:line="73" w:lineRule="exact"/>
        <w:rPr>
          <w:sz w:val="20"/>
          <w:szCs w:val="20"/>
          <w:color w:val="auto"/>
        </w:rPr>
      </w:pPr>
    </w:p>
    <w:p>
      <w:pPr>
        <w:ind w:left="460" w:right="260" w:firstLine="443"/>
        <w:spacing w:after="0" w:line="342" w:lineRule="auto"/>
        <w:tabs>
          <w:tab w:leader="none" w:pos="115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any non-cash charge or expense realized or resulting from stock option plans, employee benefit plans or post-employment benefit plans, or grants or sales of stock, stock appreciation or similar rights, stock options, restricted stock, preferred stock or other rights shall be excluded;</w:t>
      </w:r>
    </w:p>
    <w:p>
      <w:pPr>
        <w:spacing w:after="0" w:line="16"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(8)(a)(i) the non-cash portion of “straight-line” rent expense less (ii) the cash portion of “straight-line” rent expense which exceeds the amount expensed in respect of such rent expense shall be excluded and (b) non-cash gains, losses, income and expenses resulting from fair value accounting required by the applicable standard under GAAP and related interpretations shall be excluded (until realized, at which time such gains or losses shall be included);</w:t>
      </w:r>
    </w:p>
    <w:p>
      <w:pPr>
        <w:spacing w:after="0" w:line="79" w:lineRule="exact"/>
        <w:rPr>
          <w:sz w:val="20"/>
          <w:szCs w:val="20"/>
          <w:color w:val="auto"/>
        </w:rPr>
      </w:pPr>
    </w:p>
    <w:p>
      <w:pPr>
        <w:ind w:left="460" w:right="40" w:firstLine="443"/>
        <w:spacing w:after="0" w:line="302" w:lineRule="auto"/>
        <w:tabs>
          <w:tab w:leader="none" w:pos="115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expenses with respect to liability or casualty events or business interruption shall be excluded to the extent covered by insurance and actually reimbursed, or, so long as such Person has made a determination that there exists reasonable evidence that such amount will in fact be reimbursed by the insurer and only to the extent that such amount is (a) approved by the applicable carrier in writing within 180 days and (b) in fact reimbursed within 365 days of the date of such evidence (with a deduction for any amount so added back to the extent not so reimbursed within 365 days);</w:t>
      </w:r>
    </w:p>
    <w:p>
      <w:pPr>
        <w:spacing w:after="0" w:line="46" w:lineRule="exact"/>
        <w:rPr>
          <w:rFonts w:ascii="Arial" w:cs="Arial" w:eastAsia="Arial" w:hAnsi="Arial"/>
          <w:sz w:val="16"/>
          <w:szCs w:val="16"/>
          <w:color w:val="auto"/>
        </w:rPr>
      </w:pPr>
    </w:p>
    <w:p>
      <w:pPr>
        <w:jc w:val="both"/>
        <w:ind w:left="460" w:right="180" w:firstLine="443"/>
        <w:spacing w:after="0" w:line="286" w:lineRule="auto"/>
        <w:tabs>
          <w:tab w:leader="none" w:pos="124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charges resulting from the application of FASB ASC 350, Intangibles—Goodwill and Other, Accounting Standards Codification Topic 360-10-35-15, Impairment or Disposal of Long-Lived Assets, Accounting Standards Codification Topic 480-10-25-4, Distinguishing Liabilities from Equity—Overall Recognition, or Accounting Standards Codification Topic 820 Fair Value Measurements and Disclosures,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amortization of intangibles arising pursuant to FASB ASC 805, Business Combinations, non-cash interest expense resulting from the application of Accounting Standards Codification Topic 470-20 Debt—Debt with Conversion Options—Recognition, and any non-cash income tax expense that results from the inability to include deferred tax liabilities related to indefinite-lived intangible assets as future reversals of temporary differences under FASB ASC 740-10-30-18, shall be excluded; and</w:t>
      </w:r>
    </w:p>
    <w:p>
      <w:pPr>
        <w:spacing w:after="0" w:line="79" w:lineRule="exact"/>
        <w:rPr>
          <w:sz w:val="20"/>
          <w:szCs w:val="20"/>
          <w:color w:val="auto"/>
        </w:rPr>
      </w:pPr>
    </w:p>
    <w:p>
      <w:pPr>
        <w:ind w:left="460" w:right="20" w:firstLine="443"/>
        <w:spacing w:after="0" w:line="277" w:lineRule="auto"/>
        <w:tabs>
          <w:tab w:leader="none" w:pos="12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restructuring and related charges and acquisition and related integration charges, including but not limited to, restructuring charges related to the Prior Transactions incurred prior to or within 36 months of June 16, 2010 and the Transactions, shall be excluded.</w:t>
      </w:r>
    </w:p>
    <w:p>
      <w:pPr>
        <w:spacing w:after="0" w:line="170"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“Consolidated Net Tangible Assets” of any Person means, as of any date, the amount which, in accordance with GAAP, would be set forth under the caption “Total Assets” (or any like caption) on a consolidated balance sheet of such Person and its Restricted Subsidiaries (or, in the case of a group of Foreign Subsidiaries, on a combined basis), as of the end of the most recently ended fiscal quarter for which internal financial statements are available, less</w:t>
      </w:r>
    </w:p>
    <w:p>
      <w:pPr>
        <w:ind w:firstLine="8"/>
        <w:spacing w:after="0" w:line="261"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intangible assets, including, without limitation, goodwill, organization costs, patents, trademarks, copyrights, franchises, and research and development costs and (2) current liabilities.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“Continuing Directors” means, as of any date of determination, any member of the Board of Directors of Spectrum Brands or Holdings who:</w:t>
      </w:r>
    </w:p>
    <w:p>
      <w:pPr>
        <w:spacing w:after="0" w:line="129" w:lineRule="exact"/>
        <w:rPr>
          <w:sz w:val="20"/>
          <w:szCs w:val="20"/>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or</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the Permitted Holders or a majority of the Continuing Directors who were members of such Board of Directors at the time of such nomination or election.</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“Contribution Debt” means Indebtedness or Disqualified Stock of Spectrum Brands or any Guarantor in an aggregate principal amount or liquidation preference not greater than twice the aggregate amount of cash received from the issuance and sale of Qualified Equity Interests of Spectrum Brands after the Issue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jc w:val="both"/>
        <w:ind w:left="460" w:right="60" w:firstLine="443"/>
        <w:spacing w:after="0" w:line="257" w:lineRule="auto"/>
        <w:tabs>
          <w:tab w:leader="none" w:pos="115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such cash has not been used to make a Restricted Payment and shall thereafter be excluded from any calculation under paragraph (A)(3)(b) under “Limitation on Restricted Payments” or used to make any Restricted Payment pursuant to paragraph (B) of such covenant (it being understood that if any such Indebtedness or Disqualified Stock incurred as Contribution Debt is redesignated as incurred under any provision other than paragraph (b)(16) of the “Limitation on Debt” covenant, the related issuance of Equity Interests may be included in any calculation under paragraph (A)(3)(b) in the “Limitation on Restricted Payments” covenant); and</w:t>
      </w:r>
    </w:p>
    <w:p>
      <w:pPr>
        <w:spacing w:after="0" w:line="80"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such Contribution Debt (a) is incurred within 180 days after the making of such cash contributions and (b) is so designated as Contribution Debt pursuant to an officers’ certificate on the incurrence date thereof.</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“Credit Facilities” means, one or more debt facilities (including, without limitation, the Revolving Credit Agreement, the Term Loan Agreement and the Existing Senior Secured Notes), or commercial paper facilities with banks or other institutional lenders or investors or indentures or other agreements providing for revolving credit loans, term loans, debt securities (including related exchange notes and guarantees thereof), receivables financing (including through the sale of receivables to such lenders or to special purpose entities formed to borrow from such lenders against such receivables) or letters of credit or other long-term indebtedness and, in each case, as such agreements may be amended, amended and restated, supplemented, in any manner whatsoever modified, refinanced, extended, substituted, replaced, renewed, or otherwise restructured or refunded, in whole or in part, in one or more instances, from time to time (including any successive renewals, extensions, substitutions, refinancings, restructurings, replacements, supplementations or other modifications of the foregoing and including any amendment increasing the amount of Indebtedness incurred or available to be borrowed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thereunder, extending the maturity of any Indebtedness incurred thereunder or contemplated thereby or deleting, adding or substituting one or more parties thereto (whether or not such added or substituted parties are banks or other lenders)), including into one or more debt facilities, commercial paper facilities or other debt instruments, indentures or agreements (including by means of sales of debt securities to investors), providing for revolving credit loans, term loans, letters of credit or other debt obligations.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“Designated Non-cash Consideration” means any non-cash consideration received by Spectrum Brands or one of its Restricted Subsidiaries in connection with an Asset Sale that is designated as Designated Non-cash Consideration pursuant to an officers’ certificate executed by an officer of Spectrum Brands or such Restricted Subsidiary at the time of such Asset Sale.</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that is the earlier date on which the 2020/2022 notes mature and the date the 2020/2022 notes are no longer outstanding, except to the extent such Capital Stock is solely redeemable with, or solely exchangeable for, any Equity Interests of Spectrum Brands that are not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Capital Stock is issued to any plan for the benefit of employees of Spectrum Brands or its Subsidiaries or by any such plan to such employees, such Capital Stock shall not constitute Disqualified Stock solely because it may be required to be repurchased by Spectrum Brands or its Subsidiaries in order to satisfy applicable statutory or regulatory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Capital Stock held by any future, present or former employee, director, officer, manager or consultant (or their estates, spouses or former spouses) of Spectrum Brands, any of its Subsidiaries or any of its direct or indirect parent companies pursuant to any stockholders agreement, management equity plan or stock option plan or any other management or employee benefit plan or agreement shall not constitute Disqualified Stock solely because it may be required to be repurchased by Spectrum Brands or its Subsidiaries following the termination of employment of such employee, director, officer, manager or consultant with Spectrum Brands or any of its Subsidiaries (so long as, in each case referred to in this sentence, any such requirement is made subject to compliance with the 2020/2022 indenture). Notwithstanding the preceding sentence, any Capital Stock that would constitute Disqualified Stock solely because the holders thereof have the right to require Spectrum Brands to repurchase such Capital Stock upon the occurrence of a change of control or an asset sale shall not constitute Disqualified Stock if the terms of such Capital Stock provide that Spectrum Brands may not repurchase or redeem any such Capital Stock pursuant to such provisions unless such repurchase or redemption complies with the covenant described above under the caption “—Certain Covenants—Restricted Payments.” The term “Disqualified Stock” shall also include any options, warrants or other rights that are convertible into Disqualified Stock or that are redeemable at the option of the holder, or required to be redeemed, prior to the date that is 91 days after the date on which the 2020/2022 notes mature.</w:t>
      </w:r>
    </w:p>
    <w:p>
      <w:pPr>
        <w:spacing w:after="0" w:line="170"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“Domestic Subsidiary” means any Restricted Subsidiary of Spectrum Brands other than a Restricted Subsidiary that is (1) a “controlled foreign corporation” under Section 957 of the Internal Revenue Code or (2) a Subsidiary of any such controlled foreign corporation.</w:t>
      </w:r>
    </w:p>
    <w:p>
      <w:pPr>
        <w:spacing w:after="0" w:line="14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“Equity Interests”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“Equity Offering” means a primary offering, after the Issue Date, of Qualified Stock of Spectrum Brands or of Holdings or any direct or indirect parent of Holdings (to the extent the proceeds thereof are contributed to the common equity of Spectrum Brands) other than an issuance registered on Form S-4 or S-8 or any successor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thereto or any issuance pursuant to employee benefit plans or otherwise in compensation to officers, directors or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“Existing Indebtedness” means the aggregate principal amount of Indebtedness of Spectrum and its Subsidiaries (other than Indebtedness under the Revolving Credit Agreement, the Term Loan Agreement and the indenture governing the Existing Senior Secured Notes) in existence on the Issue Date, until such amounts are repaid.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“Existing Senior Notes” means Spectrum’s 6.75% Senior Notes due 2020 outstanding on the Issue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“Existing Senior Secured Notes” means Spectrum’s 9.50% Senior Secured Notes due 2018 outstanding on the Issue Date.</w:t>
      </w:r>
    </w:p>
    <w:p>
      <w:pPr>
        <w:spacing w:after="0" w:line="22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“Existing Term Loan Agreement” means the amended and restated credit agreement dated February 1, 2011 among Spectrum, the lenders party thereto and Credit Suisse AG, as agent, together with any related documents, including any related notes, guarantees, collateral documents, instruments and agreements executed in connection therewith, in each case as such term loan credit agreement, in whole or in part, in one or more instances, may be amended, renewed, extended, substituted, refinanced, restructured, replaced, supplemented or otherwise modified from time to time (including any successive renewals, extensions, substitutions, refinancings, restructurings, replacements, supplementations or other modifications of the foregoing and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institutional lenders)), including into one or more debt facilities, commercial paper facilities or other debt instruments, indentures or agreements (including by means of sales of debt securities (including Additional Notes) to institutional investors), providing for revolving credit loans, term loans, letters of credit or other debt obligations, whether any such extension, replacement or refinancing (1) occurs simultaneously or not with the termination or repayment of a prior term loan credit agreement or (2) occurs on one or more separate occasions.</w:t>
      </w:r>
    </w:p>
    <w:p>
      <w:pPr>
        <w:spacing w:after="0" w:line="18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“Fair Market Value” means the price that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resolution of the Board of Directors.</w:t>
      </w:r>
    </w:p>
    <w:p>
      <w:pPr>
        <w:spacing w:after="0" w:line="18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“Fixed Charge Coverage Ratio” means with respect to any specified Person for any period, the ratio of the Consolidated Cash Flow of such Person for such period to the Fixed Charges of such Person for such period. In the event that the specified Person or any of its Subsidiaries incurs, assumes, Guarantees, repays, retires, extinguishes, repurchases or redeems any Indebtedness or issues, repurchases or redeems Disqualified Stock or preferred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shall be calculated giving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forma </w:t>
      </w:r>
      <w:r>
        <w:rPr>
          <w:rFonts w:ascii="Arial" w:cs="Arial" w:eastAsia="Arial" w:hAnsi="Arial"/>
          <w:sz w:val="17"/>
          <w:szCs w:val="17"/>
          <w:color w:val="auto"/>
        </w:rPr>
        <w:t>effect to such incurrence, assumption, Guarantee, repayment, retirement, extinguishment, repurchase or redemption of Indebtedness, or such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or redemption of Disqualified Stock or preferred stock, and the use of the proceeds therefrom as if the same had occurred at the beginning of the applicable four-quarter reference period.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460" w:firstLine="443"/>
        <w:spacing w:after="0" w:line="277" w:lineRule="auto"/>
        <w:tabs>
          <w:tab w:leader="none" w:pos="115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Investments or acquisitions and dispositions of business entities or property and assets constituting a division or line of business of any Person that have been made by the specified Person or any of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Restricted Subsidiaries, including through mergers or consolidations and including any related financing transactions, during the four-quarter reference period or subsequent to such reference period and on or prior to the Calculation Date shall be given pro forma effect as if they had occurred on the first day of the four-quarter reference period and Consolidated Cash Flow for such reference period shall be calculated on a pro forma basis, but without giving effect to clause (3) of the proviso set forth in the definition of Consolidated Net Income;</w:t>
      </w:r>
    </w:p>
    <w:p>
      <w:pPr>
        <w:spacing w:after="0" w:line="63" w:lineRule="exact"/>
        <w:rPr>
          <w:sz w:val="20"/>
          <w:szCs w:val="20"/>
          <w:color w:val="auto"/>
        </w:rPr>
      </w:pPr>
    </w:p>
    <w:p>
      <w:pPr>
        <w:ind w:left="1160" w:hanging="257"/>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shall be excluded;</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shall be excluded, but only to the extent that the obligations giving rise to such Fixed Charges will not be obligations of the specified Person or any of its Subsidiaries following the Calculation Date; and</w:t>
      </w:r>
    </w:p>
    <w:p>
      <w:pPr>
        <w:spacing w:after="0" w:line="73" w:lineRule="exact"/>
        <w:rPr>
          <w:rFonts w:ascii="Arial" w:cs="Arial" w:eastAsia="Arial" w:hAnsi="Arial"/>
          <w:sz w:val="18"/>
          <w:szCs w:val="18"/>
          <w:color w:val="auto"/>
        </w:rPr>
      </w:pPr>
    </w:p>
    <w:p>
      <w:pPr>
        <w:jc w:val="both"/>
        <w:ind w:left="460" w:right="60" w:firstLine="443"/>
        <w:spacing w:after="0" w:line="279" w:lineRule="auto"/>
        <w:tabs>
          <w:tab w:leader="none" w:pos="115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consolidated interest expense attributable to interest on any Indebtedness (whether existing or being incurred) computed on a pro forma basis and bearing a floating interest rate shall be computed as if the rate in effect on the Calculation Date (taking into account any interest rate option, swap, cap or similar agreement applicable to such Indebtedness if such agreement has a remaining term in excess of 12 months or, if shorter, at least equal to the remaining term of such Indebtedness) had been the applicable rate for the entire period.</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purposes of this definition, whenever pro forma effect is to be given to any event, the pro forma calculations shall be made in good faith by a responsible financial or accounting officer of Spectrum Brands. Any such pro forma calculation may include adjustments appropriate, in the reasonable good faith determination of Spectrum Brands as set forth in an officer’s certificate, to reflect operating expense reductions and other operating improvements or synergies reasonably expected to result from the applicable event.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Charges” means, with respect to any specified Person for any period, the sum, without duplication, of:</w:t>
      </w:r>
    </w:p>
    <w:p>
      <w:pPr>
        <w:spacing w:after="0" w:line="117" w:lineRule="exact"/>
        <w:rPr>
          <w:sz w:val="20"/>
          <w:szCs w:val="20"/>
          <w:color w:val="auto"/>
        </w:rPr>
      </w:pPr>
    </w:p>
    <w:p>
      <w:pPr>
        <w:ind w:left="460" w:firstLine="443"/>
        <w:spacing w:after="0" w:line="270" w:lineRule="auto"/>
        <w:tabs>
          <w:tab w:leader="none" w:pos="115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received or accrued in connection with Hedging Obligations (but excluding unrealized gains or losses with respect thereto), but excluding (i) amortization of deferred financing fees, debt issuance costs, commissions, fees and expenses, (ii) any expensing of bridge, commitment and other financing fees, (iii) any redemption premiums, prepayment fees, or other charges or penalties incurred in connection with the Transactions or Prior Transactions and (iv) any premiums, fees or other charges incurred in connection with the refinancing of the Existing Indebtedness on the Issue Date (in each case of (i) through (iv), to the extent included in any of the foregoing items listed in clause (1)); plus</w:t>
      </w:r>
    </w:p>
    <w:p>
      <w:pPr>
        <w:spacing w:after="0" w:line="73" w:lineRule="exact"/>
        <w:rPr>
          <w:rFonts w:ascii="Arial" w:cs="Arial" w:eastAsia="Arial" w:hAnsi="Arial"/>
          <w:sz w:val="17"/>
          <w:szCs w:val="17"/>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consolidated interest of such Person and its Restricted Subsidiaries that was capitalized during such period; plus</w:t>
      </w:r>
    </w:p>
    <w:p>
      <w:pPr>
        <w:spacing w:after="0" w:line="117" w:lineRule="exact"/>
        <w:rPr>
          <w:rFonts w:ascii="Arial" w:cs="Arial" w:eastAsia="Arial" w:hAnsi="Arial"/>
          <w:sz w:val="18"/>
          <w:szCs w:val="18"/>
          <w:color w:val="auto"/>
        </w:rPr>
      </w:pPr>
    </w:p>
    <w:p>
      <w:pPr>
        <w:ind w:left="460" w:firstLine="443"/>
        <w:spacing w:after="0" w:line="308" w:lineRule="auto"/>
        <w:tabs>
          <w:tab w:leader="none" w:pos="115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38" w:lineRule="exact"/>
        <w:rPr>
          <w:rFonts w:ascii="Arial" w:cs="Arial" w:eastAsia="Arial" w:hAnsi="Arial"/>
          <w:sz w:val="17"/>
          <w:szCs w:val="17"/>
          <w:color w:val="auto"/>
        </w:rPr>
      </w:pPr>
    </w:p>
    <w:p>
      <w:pPr>
        <w:ind w:left="460" w:right="40" w:firstLine="443"/>
        <w:spacing w:after="0" w:line="259" w:lineRule="auto"/>
        <w:tabs>
          <w:tab w:leader="none" w:pos="115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product of (a) all dividends, whether paid or accrued and whether or not in cash, on any series of Disqualified Stock or preferred stock of such Person or any of its Restricted Subsidiaries, other than (i) dividends on Equity Interests payable solely in Equity Interests of Spectrum Brands (other than Disqualified Stock) or (ii) dividends to Spectrum Brands or a Restricted Subsidiary of Spectrum Brands, times (b) a fraction, the numerator of which is one and the denominator of which is one minus the then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current combined federal, state and local statutory tax rate of such Person, expressed as a decimal, in each case, on a consolidated basis and in accordance with GAAP.</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any additional charges arising from (i) the application of Accounting Standards Codification Topic 480-10-25-4 (Distinguishing Liabilities from Equity—Overall—Recognition” to any series of preferred stock other than Disqualified Equity Interests or (ii) the application of Accounting Standards Codification Topic 470-20 “Debt—Debt with Conversion Options—Recognition,” in each case, shall be disregarded in the calculated of Consolidated Fixed Charges.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Subsidiary” means any Restricted Subsidiary of Spectrum Brands other than a Domestic Subsidiary.</w:t>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“GAAP” means generally accepted accounting principles set forth in the opinions and pronouncements of the Accounting Principles Board of the American Institute of Certified Public Accountants, the opinions and pronouncements of the Public Company Accounting Oversight Board and in the statements and pronouncements of the Financial Accounting Standards Board or in such other statements by such other entity as have been approved by a significant segment of the accounting profession, which are in effect on April 1, 2010.</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“Guarantee” means, as to any Person,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of another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“Guarantors” means:</w:t>
      </w:r>
    </w:p>
    <w:p>
      <w:pPr>
        <w:spacing w:after="0" w:line="117"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Holdings and each direct or indirect Domestic Subsidiary of Spectrum Brands on December 17, 2013;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other subsidiary that executes a Note Guarantee in accordance with the provisions of the 2020/2022 indenture;</w:t>
      </w:r>
    </w:p>
    <w:p>
      <w:pPr>
        <w:spacing w:after="0" w:line="11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and their respective successors and assigns until released from their obligations under their Note Guarantees and the 2020/2022 indenture in accordance with the terms of the 2020/2022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117" w:lineRule="exact"/>
        <w:rPr>
          <w:sz w:val="20"/>
          <w:szCs w:val="20"/>
          <w:color w:val="auto"/>
        </w:rPr>
      </w:pPr>
    </w:p>
    <w:p>
      <w:pPr>
        <w:ind w:left="460" w:right="60" w:firstLine="443"/>
        <w:spacing w:after="0" w:line="277" w:lineRule="auto"/>
        <w:tabs>
          <w:tab w:leader="none" w:pos="115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interest rate swap agreements, interest rate cap agreements, interest rate collar agreements and other agreements or arrangements designed for the purpose of managing interest rate risk;</w:t>
      </w:r>
    </w:p>
    <w:p>
      <w:pPr>
        <w:spacing w:after="0" w:line="62" w:lineRule="exact"/>
        <w:rPr>
          <w:rFonts w:ascii="Arial" w:cs="Arial" w:eastAsia="Arial" w:hAnsi="Arial"/>
          <w:sz w:val="18"/>
          <w:szCs w:val="18"/>
          <w:color w:val="auto"/>
        </w:rPr>
      </w:pPr>
    </w:p>
    <w:p>
      <w:pPr>
        <w:ind w:left="460" w:right="540" w:firstLine="443"/>
        <w:spacing w:after="0" w:line="277" w:lineRule="auto"/>
        <w:tabs>
          <w:tab w:leader="none" w:pos="115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commodity swap agreements, commodity option agreements, forward contracts and other agreements or arrangements designed for the purpose of managing commodity price risk; and</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foreign exchange contracts, currency swap agreements and other agreements or arrangements designed for the purpose of managing foreign currency exchange rate risk.</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“Incur” means, with respect to any Indebtedness, to incur, create, issue, assume, Guarantee or otherwise become directly or indirectly liable for or with respect to, or become responsible for, the payment of, contingently or otherwise,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any Indebtedness of a Person existing at the time such Person becomes a Restricted Subsidiary of Spectrum Brands will be deemed to be incurred by such Restricted Subsidiary at the time it becomes a Restricted Subsidiary of Spectrum Brands and (2) neither the accrual of interest nor the accretion of original issue discount nor the payment of interest in the form of additional Indebtedness with the same terms and the payment of dividends on Disqualified Stock in the form of additional shares of the same class of Disqualified Stock (to the extent provided for when the Indebtedness or Disqualified Stock on which such interest or dividend is paid was originally issued) shall be considered 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incurrence of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amount thereof is for all other purposes included in the Fixed Charges and Indebtedness of Spectrum Brands or its Restricted Subsidiary as accrued.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“Indebtedness” means, with respect to any specified Person, any indebtedness of such Person, whether or not contingent:</w:t>
      </w:r>
    </w:p>
    <w:p>
      <w:pPr>
        <w:spacing w:after="0" w:line="117" w:lineRule="exact"/>
        <w:rPr>
          <w:sz w:val="20"/>
          <w:szCs w:val="20"/>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jc w:val="both"/>
        <w:ind w:left="460" w:right="100" w:firstLine="443"/>
        <w:spacing w:after="0" w:line="259" w:lineRule="auto"/>
        <w:tabs>
          <w:tab w:leader="none" w:pos="115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 but excluding obligations with respect to letters of credit (including trade letters of credit) securing obligations entered into in the ordinary course of business of such Person to the extent such letters of credit are not drawn upon or, if drawn upon, to the extent such drawing is reimbursed no later than the fifth Business Day following receipt by such Person of a demand for reimbursement);</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respect of Capital Lease Obligations;</w:t>
      </w:r>
    </w:p>
    <w:p>
      <w:pPr>
        <w:spacing w:after="0" w:line="117" w:lineRule="exact"/>
        <w:rPr>
          <w:rFonts w:ascii="Arial" w:cs="Arial" w:eastAsia="Arial" w:hAnsi="Arial"/>
          <w:sz w:val="18"/>
          <w:szCs w:val="18"/>
          <w:color w:val="auto"/>
        </w:rPr>
      </w:pPr>
    </w:p>
    <w:p>
      <w:pPr>
        <w:ind w:left="460" w:right="540" w:firstLine="443"/>
        <w:spacing w:after="0" w:line="277" w:lineRule="auto"/>
        <w:tabs>
          <w:tab w:leader="none" w:pos="115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respect of the balance deferred and unpaid of the purchase price of any property, except any such balance that constitutes an accrued expense or trade payable;</w:t>
      </w:r>
    </w:p>
    <w:p>
      <w:pPr>
        <w:spacing w:after="0" w:line="62"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representing Hedging Obligations, other than Hedging Obligations that are incurred in the ordinary course of business for the purpose of fixing, hedging, swapping, managing interest rate, commodity price or foreign currency exchange rate risk (or to reverse or amend any such agreements previously made for such purposes), and not for speculative purposes, and that do not increase the Indebtedness of the obligor outstanding at any time other than as a result of fluctuations in interest rates, commodity prices or foreign currency exchange rates or by reason of fees, indemnities and compensation payable thereunder; or</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representing Disqualified Stock valued at the greater of its voluntary or involuntary maximum fixed repurchase price plus accrued dividends;</w:t>
      </w:r>
    </w:p>
    <w:p>
      <w:pPr>
        <w:spacing w:after="0" w:line="140"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if and to the extent that any of the preceding items (other than letters of credit and Hedging Obligations) would appear as a liability upon a balance sheet (excluding the footnotes thereto) of the specified Person prepared in accordance with GAAP or, in the case of any earn-out obligation or purchase price adjustment, would have been recorded as a liability under GAAP prior to the adoption of Financial Accounting Standards Board Statement</w:t>
      </w:r>
    </w:p>
    <w:p>
      <w:pPr>
        <w:ind w:left="460" w:right="20"/>
        <w:spacing w:after="0" w:line="268" w:lineRule="auto"/>
        <w:rPr>
          <w:sz w:val="20"/>
          <w:szCs w:val="20"/>
          <w:color w:val="auto"/>
        </w:rPr>
      </w:pPr>
      <w:r>
        <w:rPr>
          <w:rFonts w:ascii="Arial" w:cs="Arial" w:eastAsia="Arial" w:hAnsi="Arial"/>
          <w:sz w:val="17"/>
          <w:szCs w:val="17"/>
          <w:color w:val="auto"/>
        </w:rPr>
        <w:t>No. 141R. In addition, the term “Indebtedness” includes (x) all Indebtedness of others secured by a Lien on any asset of the specified Person (whether or not such Indebtedness is assumed by the specified Person),</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of such Indebtedness shall be the lesser of (A) the fair market value of such asset at such date of determination and (B) the amount of such Indebtedness, and (y) to the extent not otherwise included, the Guarantee by the specified Person of any Indebtedness of any other Person. For purposes hereof, the “maximum fixed repurchase price” of any Disqualified Stock which does not have a fixed repurchase price shall be calculated in accordance with the terms of such Disqualified Stock as if such Disqualified Stock were purchased on any date on which Indebtedness shall be required to be determined pursuant to the 2020/2022 indenture, and if such price is based upon, or measured by, the fair market value of such Disqualified Stock, such fair market value shall be determined in good faith by the Board of Directors of the issuer of such Disqualified Stock.</w:t>
      </w:r>
    </w:p>
    <w:p>
      <w:pPr>
        <w:spacing w:after="0" w:line="184"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color w:val="auto"/>
        </w:rPr>
        <w:t>The amount of any Indebtedness outstanding as of any date shall be the outstanding balance at such date of all unconditional obligations as described above and, with respect to contingent obligations, the maximum liability upon the occurrence of the contingency giving rise to the obligation, and shall be:</w:t>
      </w:r>
    </w:p>
    <w:p>
      <w:pPr>
        <w:spacing w:after="0" w:line="16" w:lineRule="exact"/>
        <w:rPr>
          <w:sz w:val="20"/>
          <w:szCs w:val="20"/>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accreted value thereof, in the case of any Indebtedness issued with original issue discount; and</w:t>
      </w:r>
    </w:p>
    <w:p>
      <w:pPr>
        <w:spacing w:after="0" w:line="117" w:lineRule="exact"/>
        <w:rPr>
          <w:rFonts w:ascii="Arial" w:cs="Arial" w:eastAsia="Arial" w:hAnsi="Arial"/>
          <w:sz w:val="18"/>
          <w:szCs w:val="18"/>
          <w:color w:val="auto"/>
        </w:rPr>
      </w:pPr>
    </w:p>
    <w:p>
      <w:pPr>
        <w:ind w:left="5580" w:right="400" w:hanging="4677"/>
        <w:spacing w:after="0" w:line="449" w:lineRule="auto"/>
        <w:tabs>
          <w:tab w:leader="none" w:pos="115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principal amount thereof, together with any interest thereon that is more than 30 days past due, in the case of any other Indebtedness; 173</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Indebtedness shall not include:</w:t>
      </w:r>
    </w:p>
    <w:p>
      <w:pPr>
        <w:spacing w:after="0" w:line="117" w:lineRule="exact"/>
        <w:rPr>
          <w:sz w:val="20"/>
          <w:szCs w:val="20"/>
          <w:color w:val="auto"/>
        </w:rPr>
      </w:pPr>
    </w:p>
    <w:p>
      <w:pPr>
        <w:ind w:left="1560" w:hanging="219"/>
        <w:spacing w:after="0"/>
        <w:tabs>
          <w:tab w:leader="none" w:pos="15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performance, surety or appeal bonds provided in the ordinary course of business;</w:t>
      </w:r>
    </w:p>
    <w:p>
      <w:pPr>
        <w:spacing w:after="0" w:line="117" w:lineRule="exact"/>
        <w:rPr>
          <w:rFonts w:ascii="Arial" w:cs="Arial" w:eastAsia="Arial" w:hAnsi="Arial"/>
          <w:sz w:val="18"/>
          <w:szCs w:val="18"/>
          <w:color w:val="auto"/>
        </w:rPr>
      </w:pPr>
    </w:p>
    <w:p>
      <w:pPr>
        <w:ind w:left="920" w:right="40" w:firstLine="421"/>
        <w:spacing w:after="0" w:line="255" w:lineRule="auto"/>
        <w:tabs>
          <w:tab w:leader="none" w:pos="1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agreements providing for indemnification, adjustment of purchase price or similar obligations, or Guarantees or letters of credit, surety bonds or performance bonds securing any obligations of Spectrum Brands or any of its Restricted Subsidiaries pursuant to such agreements, in any case incurred in connection with the disposition of any business, assets or Restricted Subsidiary (other than Guarantees of Indebtedness incurred by any Person acquiring all or any portion of such business, assets or Restricted Subsidiary for the purpose of financing such acquisition), so long as the principal amount does not exceed the gross proceeds actually received by Spectrum Brands or any Restricted Subsidiary in connection with such disposition; or</w:t>
      </w:r>
    </w:p>
    <w:p>
      <w:pPr>
        <w:spacing w:after="0" w:line="85" w:lineRule="exact"/>
        <w:rPr>
          <w:rFonts w:ascii="Arial" w:cs="Arial" w:eastAsia="Arial" w:hAnsi="Arial"/>
          <w:sz w:val="18"/>
          <w:szCs w:val="18"/>
          <w:color w:val="auto"/>
        </w:rPr>
      </w:pPr>
    </w:p>
    <w:p>
      <w:pPr>
        <w:ind w:left="1640" w:hanging="299"/>
        <w:spacing w:after="0"/>
        <w:tabs>
          <w:tab w:leader="none" w:pos="1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“Investment Grade” means a rating of BBB- or higher by S&amp;P and Baa3 or higher by Moody’s, or the equivalent of such ratings by another Rating Agency.</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“Investments” means, with respect to any Person, all direct or indirect investments by such Person in other Persons (including Affiliates) in the forms of loans or other extensions of credit (including Guarantees, but excluding advances to customers or suppliers in the ordinary course of business that are, in conformity with GAAP, recorded as accounts receivable, prepaid expenses or deposits on the balance sheet of Spectrum Brands or its Restricted Subsidiaries and endorsements for collection or deposit arising in the ordinary course of business), advances (excluding commission, travel, payroll and similar advances to officers and employees made consistent with past practices), capital contributions (by means of any transfer of cash or other property to others or any payment for property or services for the account or use of others), purchases or other acquisitions for consideration of Indebtedness, Equity Interests or other securities, together with all items that are or would be classified as investments on a balance sheet prepared in accordance with GAAP.</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Spectrum Brands or any Restricted Subsidiary of Spectrum Brands sells or otherwise disposes of any Equity Interests of any direct or indirect Restricted Subsidiary of Spectrum Brands such that, after giving effect to any such sale or disposition, such Person is no longer a Restricted Subsidiary of Spectrum Brands, Spectrum Brands shall be deemed to have made an Investment on the date of any such sale or disposition equal to the fair market value of the Investment in such Restricted Subsidiary not sold or disposed of in an amount determined as provided in the final paragraph of the covenant described above under the caption “—Certain Covenants—Restricted Payments.” The acquisition by Spectrum Brands or any Restricted Subsidiary of Spectrum Brands of a Person that holds an Investment in a third Person shall be deemed to be an Investment by Spectrum Brands or such Restricted Subsidiary in such third Person only if such Investment was made in contemplation of, or in connection with, the acquisition of such Person by Spectrum Brands or such Restricted Subsidiary and the amount of any such Investment shall be determined as provided in the final paragraph of the covenant described above under the caption “—Certain Covenants—Restricted Payments.”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Date” means November 16, 2012.</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Services, Inc. and its successors.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Income” means, with respect to any specified Person, the net income (loss) of such Person, determined in accordance with GAAP and before any reduction in respect of preferred stock dividends, excluding, however: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firstLine="443"/>
        <w:spacing w:after="0" w:line="264" w:lineRule="auto"/>
        <w:tabs>
          <w:tab w:leader="none" w:pos="11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sale of assets outside the ordinary course of business of such Person; or (b) the disposition of any securities by such Person or any of its Restricted Subsidiaries or the extinguishment of any Indebtedness of such Person or any of its Restricted Subsidiaries;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Proceeds” means the aggregate cash proceeds, including payments in respect of deferred payment obligations (to the extent corresponding to the principal, but not the interest component, thereof) received by Spectrum Brands or any of its Restricted Subsidiaries in respect of any Asset Sale (including, without limitation, any cash received upon the sale or other disposition of any non-cash consideration received in any Asset Sale), net of (1) the direct costs relating to such Asset Sale, including, without limitation, legal, accounting, brokerage and investment banking fees, and sales commissions, and any relocation expenses incurred as a result thereof, (2) taxes paid or payable as a result thereof, in each case, after taking into account any available tax credits or deductions arising therefrom and any tax sharing arrangements in connection therewith, (3) amounts required to be applied to the repayment of Indebtedness or other liabilities, secured by a Lien on the asset or assets that were the subject of such Asset Sale, or required to be paid as a result of such sale, and (4) any reserve for adjustment in respect of the sale price of such asset or assets established in accordance with GAAP.</w:t>
      </w:r>
    </w:p>
    <w:p>
      <w:pPr>
        <w:spacing w:after="0" w:line="166"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“Note Guarantee” means the Guarantee by each Guarantor of Spectrum Brands’ payment obligations under the 2020/2022 indenture and on the 2020/2022 notes, executed pursuant to the 2020/2022 indenture.</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“Obligations”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“Paying Agent” means an office or agency where 2020/2022 notes may be presented for payment.</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“Permitted Business” means any business conducted or proposed to be conducted by Spectrum Brands and its Restricted Subsidiaries on the Issue Date and other businesses complementary, similar or reasonably related, ancillary or incidental thereto or reasonable extensions thereof.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Holders” means</w:t>
      </w:r>
    </w:p>
    <w:p>
      <w:pPr>
        <w:spacing w:after="0" w:line="117" w:lineRule="exact"/>
        <w:rPr>
          <w:sz w:val="20"/>
          <w:szCs w:val="20"/>
          <w:color w:val="auto"/>
        </w:rPr>
      </w:pPr>
    </w:p>
    <w:p>
      <w:pPr>
        <w:ind w:left="460" w:right="180" w:firstLine="443"/>
        <w:spacing w:after="0" w:line="277" w:lineRule="auto"/>
        <w:tabs>
          <w:tab w:leader="none" w:pos="115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of Harbinger Group Inc., Harbinger Capital Partners Master Fund I, Ltd., Harbinger Capital Partners Special Situations Fund, L.P. and Global Opportunities Breakaway Ltd;</w:t>
      </w:r>
    </w:p>
    <w:p>
      <w:pPr>
        <w:spacing w:after="0" w:line="62" w:lineRule="exact"/>
        <w:rPr>
          <w:rFonts w:ascii="Arial" w:cs="Arial" w:eastAsia="Arial" w:hAnsi="Arial"/>
          <w:sz w:val="18"/>
          <w:szCs w:val="18"/>
          <w:color w:val="auto"/>
        </w:rPr>
      </w:pPr>
    </w:p>
    <w:p>
      <w:pPr>
        <w:ind w:left="460" w:right="220" w:firstLine="443"/>
        <w:spacing w:after="0" w:line="308" w:lineRule="auto"/>
        <w:tabs>
          <w:tab w:leader="none" w:pos="115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any Affiliate or Related Party of any Person specified in clause (1), other than another portfolio company thereof (which means a company actively engaged in providing goods and services to unaffiliated customers) or a company controlled by a “portfolio company”;</w:t>
      </w:r>
    </w:p>
    <w:p>
      <w:pPr>
        <w:spacing w:after="0" w:line="38"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Person both the Capital Stock and the Voting Stock of which (or in the case of a trust, the beneficial interests in which) are owned 50% or more by Persons specified in clauses (1) and (2) or any group in which the Persons specified in clauses (1) and (2) own more than a majority of the voting power of the Voting Stock held by such group.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Investments” means:</w:t>
      </w:r>
    </w:p>
    <w:p>
      <w:pPr>
        <w:spacing w:after="0" w:line="117" w:lineRule="exact"/>
        <w:rPr>
          <w:sz w:val="20"/>
          <w:szCs w:val="20"/>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Investment in Spectrum Brands or in a Restricted Subsidiary of Spectrum Brands;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Investment by Spectrum Brands or any Restricted Subsidiary of Spectrum Brands in a Person, if as a result of such Investment:</w:t>
      </w:r>
    </w:p>
    <w:p>
      <w:pPr>
        <w:spacing w:after="0" w:line="128" w:lineRule="exact"/>
        <w:rPr>
          <w:rFonts w:ascii="Arial" w:cs="Arial" w:eastAsia="Arial" w:hAnsi="Arial"/>
          <w:sz w:val="17"/>
          <w:szCs w:val="17"/>
          <w:color w:val="auto"/>
        </w:rPr>
      </w:pPr>
    </w:p>
    <w:p>
      <w:pPr>
        <w:ind w:left="1580" w:hanging="239"/>
        <w:spacing w:after="0"/>
        <w:tabs>
          <w:tab w:leader="none" w:pos="15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such Person becomes a Restricted Subsidiary of Spectrum Brands;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740" w:firstLine="421"/>
        <w:spacing w:after="0" w:line="277" w:lineRule="auto"/>
        <w:tabs>
          <w:tab w:leader="none" w:pos="159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Spectrum Brands or a Restricted Subsidiary of Spectrum Brands;</w:t>
      </w:r>
    </w:p>
    <w:p>
      <w:pPr>
        <w:spacing w:after="0" w:line="62"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(including Designated Non-Cash Consideration) that was made pursuant to and in compliance with the covenant described above under the caption “—Repurchase at the Option of Holders—Asset Sales”;</w:t>
      </w:r>
    </w:p>
    <w:p>
      <w:pPr>
        <w:spacing w:after="0" w:line="73" w:lineRule="exact"/>
        <w:rPr>
          <w:rFonts w:ascii="Arial" w:cs="Arial" w:eastAsia="Arial" w:hAnsi="Arial"/>
          <w:sz w:val="18"/>
          <w:szCs w:val="18"/>
          <w:color w:val="auto"/>
        </w:rPr>
      </w:pPr>
    </w:p>
    <w:p>
      <w:pPr>
        <w:jc w:val="both"/>
        <w:ind w:left="460" w:firstLine="443"/>
        <w:spacing w:after="0" w:line="279" w:lineRule="auto"/>
        <w:tabs>
          <w:tab w:leader="none" w:pos="115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Hedging Obligations that are incurred in the ordinary course of business for the purpose of managing interest rate, commodity price or foreign currency exchange rate risk (or to reverse or amend any such agreements previously made for such purposes), and not for speculative purposes, and that do not increase the Indebtedness of the obligor outstanding at any time other than as a result of fluctuations in interest rates, commodity prices or foreign currency exchange rates or by reason of fees, indemnities and compensation payable thereunder;</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stock, obligations or securities received in satisfaction of judgments;</w:t>
      </w:r>
    </w:p>
    <w:p>
      <w:pPr>
        <w:spacing w:after="0" w:line="117"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Investments in securities of trade debtors or customers received (x) pursuant to any plan of reorganization or similar arrangement upon the bankruptcy or insolvency of such trade creditors or customers or in good faith settlement of delinquent obligations of such trade debtors or customers or in compromise or resolution of litigation, arbitration or other disputes with Persons who are not Affiliates, (y) as a result of the foreclosure by Spectrum Brands or any Restricted Subsidiaries with respect to any secured Investment or other transfer of title, or (z) as a result of litigation, or other disputes with Persons who are not Affiliates;</w:t>
      </w:r>
    </w:p>
    <w:p>
      <w:pPr>
        <w:spacing w:after="0" w:line="80" w:lineRule="exact"/>
        <w:rPr>
          <w:rFonts w:ascii="Arial" w:cs="Arial" w:eastAsia="Arial" w:hAnsi="Arial"/>
          <w:sz w:val="18"/>
          <w:szCs w:val="18"/>
          <w:color w:val="auto"/>
        </w:rPr>
      </w:pPr>
    </w:p>
    <w:p>
      <w:pPr>
        <w:ind w:left="460" w:right="140" w:firstLine="443"/>
        <w:spacing w:after="0" w:line="279" w:lineRule="auto"/>
        <w:tabs>
          <w:tab w:leader="none" w:pos="115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other Investments in any Person engaged in a Permitted Business having an aggregate fair market value (measured on the date each such Investment was made and without giving effect to subsequent changes in value), when taken together with all other Investments made pursuant to this clause (8) since the Issue Date, not to exceed the greater of (x) $150.0 million and (y) 12.5% of Consolidated Net Tangible Assets, in each case, net of any return of or on such Investment received by Spectrum Brands or a Restricted Subsidiary;</w:t>
      </w:r>
    </w:p>
    <w:p>
      <w:pPr>
        <w:spacing w:after="0" w:line="63" w:lineRule="exact"/>
        <w:rPr>
          <w:rFonts w:ascii="Arial" w:cs="Arial" w:eastAsia="Arial" w:hAnsi="Arial"/>
          <w:sz w:val="17"/>
          <w:szCs w:val="17"/>
          <w:color w:val="auto"/>
        </w:rPr>
      </w:pPr>
    </w:p>
    <w:p>
      <w:pPr>
        <w:ind w:left="460" w:right="660" w:firstLine="443"/>
        <w:spacing w:after="0" w:line="277" w:lineRule="auto"/>
        <w:tabs>
          <w:tab w:leader="none" w:pos="11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or equipment, or the licensing or contribution of intellectual property pursuant to joint marketing, joint development or similar arrangements with other Persons;</w:t>
      </w:r>
    </w:p>
    <w:p>
      <w:pPr>
        <w:spacing w:after="0" w:line="62" w:lineRule="exact"/>
        <w:rPr>
          <w:rFonts w:ascii="Arial" w:cs="Arial" w:eastAsia="Arial" w:hAnsi="Arial"/>
          <w:sz w:val="18"/>
          <w:szCs w:val="18"/>
          <w:color w:val="auto"/>
        </w:rPr>
      </w:pPr>
    </w:p>
    <w:p>
      <w:pPr>
        <w:ind w:left="460" w:right="940" w:firstLine="443"/>
        <w:spacing w:after="0" w:line="277" w:lineRule="auto"/>
        <w:tabs>
          <w:tab w:leader="none" w:pos="124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advances, loans, rebates and extensions of credit (including the creation of receivables) to suppliers, customers and vendors, and performance guarantees, in each case in the ordinary course of business;</w:t>
      </w:r>
    </w:p>
    <w:p>
      <w:pPr>
        <w:spacing w:after="0" w:line="62" w:lineRule="exact"/>
        <w:rPr>
          <w:rFonts w:ascii="Arial" w:cs="Arial" w:eastAsia="Arial" w:hAnsi="Arial"/>
          <w:sz w:val="18"/>
          <w:szCs w:val="18"/>
          <w:color w:val="auto"/>
        </w:rPr>
      </w:pPr>
    </w:p>
    <w:p>
      <w:pPr>
        <w:ind w:left="460" w:right="600" w:firstLine="443"/>
        <w:spacing w:after="0" w:line="277" w:lineRule="auto"/>
        <w:tabs>
          <w:tab w:leader="none" w:pos="12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Investments in prepaid expenses, negotiable instruments held for collection and lease and utility and worker’s compensation deposits provided to third parties in the ordinary course of business; and</w:t>
      </w:r>
    </w:p>
    <w:p>
      <w:pPr>
        <w:spacing w:after="0" w:line="62" w:lineRule="exact"/>
        <w:rPr>
          <w:rFonts w:ascii="Arial" w:cs="Arial" w:eastAsia="Arial" w:hAnsi="Arial"/>
          <w:sz w:val="18"/>
          <w:szCs w:val="18"/>
          <w:color w:val="auto"/>
        </w:rPr>
      </w:pPr>
    </w:p>
    <w:p>
      <w:pPr>
        <w:ind w:left="460" w:right="220" w:firstLine="443"/>
        <w:spacing w:after="0" w:line="286" w:lineRule="auto"/>
        <w:tabs>
          <w:tab w:leader="none" w:pos="124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Investments (other than in Restricted Subsidiaries) outstanding on the Issue Date or made pursuant to binding agreements in effect on the Issue Date, including any extension, modification or renewal of such Investments, to the extent not involving any additional Investment other than as the result of the accrual or accretion of interest or original issue discount or the issuance of pay-in-kind securities;</w:t>
      </w:r>
    </w:p>
    <w:p>
      <w:pPr>
        <w:spacing w:after="0" w:line="57" w:lineRule="exact"/>
        <w:rPr>
          <w:rFonts w:ascii="Arial" w:cs="Arial" w:eastAsia="Arial" w:hAnsi="Arial"/>
          <w:sz w:val="17"/>
          <w:szCs w:val="17"/>
          <w:color w:val="auto"/>
        </w:rPr>
      </w:pPr>
    </w:p>
    <w:p>
      <w:pPr>
        <w:jc w:val="both"/>
        <w:ind w:left="460" w:right="120" w:firstLine="443"/>
        <w:spacing w:after="0" w:line="264" w:lineRule="auto"/>
        <w:tabs>
          <w:tab w:leader="none" w:pos="124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advances and loans to officers, directors or employees for business-related travel expenses, moving expenses and other similar expenses, in each case incurred in the ordinary course of business or consistent with past practice or to fund such person’s purchase of Equity Interests of Spectrum or any direct or indirect parent of Spectrum;</w:t>
      </w:r>
    </w:p>
    <w:p>
      <w:pPr>
        <w:spacing w:after="0" w:line="73" w:lineRule="exact"/>
        <w:rPr>
          <w:rFonts w:ascii="Arial" w:cs="Arial" w:eastAsia="Arial" w:hAnsi="Arial"/>
          <w:sz w:val="18"/>
          <w:szCs w:val="18"/>
          <w:color w:val="auto"/>
        </w:rPr>
      </w:pPr>
    </w:p>
    <w:p>
      <w:pPr>
        <w:ind w:left="460" w:right="120" w:firstLine="443"/>
        <w:spacing w:after="0" w:line="312" w:lineRule="auto"/>
        <w:tabs>
          <w:tab w:leader="none" w:pos="124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Investments in joint ventures having an aggregate fair market value, when taken together with all other Investments made pursuant to this clause that are at the time outstanding, not to exceed $75.0 million at the time of such Investment (with the fair market value of each Investment being measured at the time made and without giving effect to subsequent changes in value); provided, however, that if any Investment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pursuant to this clause (14) is made in any Person that is not Spectrum Brands or a Restricted Subsidiary at the date of the making of such Investment and such Person becomes Spectrum Brands or a Restricted Subsidiary after such date, such Investment shall thereafter be deemed to have been made pursuant to clause (1) above and shall cease to have been made pursuant to this clause (14) for so long as such Person continues to be Spectrum Brands or a Restricted Subsidiary; and</w:t>
      </w:r>
    </w:p>
    <w:p>
      <w:pPr>
        <w:spacing w:after="0" w:line="79" w:lineRule="exact"/>
        <w:rPr>
          <w:sz w:val="20"/>
          <w:szCs w:val="20"/>
          <w:color w:val="auto"/>
        </w:rPr>
      </w:pPr>
    </w:p>
    <w:p>
      <w:pPr>
        <w:ind w:left="460" w:right="260" w:firstLine="443"/>
        <w:spacing w:after="0" w:line="286" w:lineRule="auto"/>
        <w:tabs>
          <w:tab w:leader="none" w:pos="124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Investments in Unrestricted Subsidiaries having an aggregate fair market value, when taken together with all other Investments made pursuant to this clause that are at the time outstanding, not to exceed $75.0 million at the time of such Investment (with the fair market value of each Investment being measured at the time made and without giving effect to subsequent changes in value).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460" w:right="660" w:firstLine="443"/>
        <w:spacing w:after="0" w:line="277" w:lineRule="auto"/>
        <w:tabs>
          <w:tab w:leader="none" w:pos="11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securing Indebtedness incurred and then outstanding pursuant to clause (1) of the second paragraph of “—Certain Covenants— Incurrence of Indebtedness and Issuance of Preferred Stock” and other Obligations in respect thereof;</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in favor of Spectrum Brands or any Guarantor;</w:t>
      </w:r>
    </w:p>
    <w:p>
      <w:pPr>
        <w:spacing w:after="0" w:line="117" w:lineRule="exact"/>
        <w:rPr>
          <w:rFonts w:ascii="Arial" w:cs="Arial" w:eastAsia="Arial" w:hAnsi="Arial"/>
          <w:sz w:val="18"/>
          <w:szCs w:val="18"/>
          <w:color w:val="auto"/>
        </w:rPr>
      </w:pPr>
    </w:p>
    <w:p>
      <w:pPr>
        <w:ind w:left="460" w:right="80" w:firstLine="443"/>
        <w:spacing w:after="0" w:line="286" w:lineRule="auto"/>
        <w:tabs>
          <w:tab w:leader="none" w:pos="1153" w:val="left"/>
        </w:tabs>
        <w:numPr>
          <w:ilvl w:val="0"/>
          <w:numId w:val="178"/>
        </w:numPr>
        <w:rPr>
          <w:rFonts w:ascii="Arial" w:cs="Arial" w:eastAsia="Arial" w:hAnsi="Arial"/>
          <w:sz w:val="17"/>
          <w:szCs w:val="17"/>
          <w:color w:val="auto"/>
        </w:rPr>
      </w:pPr>
      <w:r>
        <w:rPr>
          <w:rFonts w:ascii="Arial" w:cs="Arial" w:eastAsia="Arial" w:hAnsi="Arial"/>
          <w:sz w:val="17"/>
          <w:szCs w:val="17"/>
          <w:color w:val="auto"/>
        </w:rPr>
        <w:t>Liens on property of a Person existing at the time such Person is merged with or into or consolidated with Spectrum Brands or any Restricted Subsidiary of Spectrum Brands; provided that such Liens were in existence prior to the contemplation of such merger or consolidation and do not extend to any assets other than those of the Person merged into or consolidated with Spectrum Brands or the Restricted Subsidiary;</w:t>
      </w:r>
    </w:p>
    <w:p>
      <w:pPr>
        <w:spacing w:after="0" w:line="57" w:lineRule="exact"/>
        <w:rPr>
          <w:rFonts w:ascii="Arial" w:cs="Arial" w:eastAsia="Arial" w:hAnsi="Arial"/>
          <w:sz w:val="17"/>
          <w:szCs w:val="17"/>
          <w:color w:val="auto"/>
        </w:rPr>
      </w:pPr>
    </w:p>
    <w:p>
      <w:pPr>
        <w:jc w:val="both"/>
        <w:ind w:left="460" w:right="160" w:firstLine="443"/>
        <w:spacing w:after="0" w:line="264" w:lineRule="auto"/>
        <w:tabs>
          <w:tab w:leader="none" w:pos="11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Spectrum Brands or any Restricted Subsidiary of Spectrum Brands, provided that such Liens were in existence prior to the contemplation of such acquisition and do not extend to any property other than the property so acquired by Spectrum Brands or the Restricted Subsidiary;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existing on the Issue Date not otherwise permitted hereby;</w:t>
      </w:r>
    </w:p>
    <w:p>
      <w:pPr>
        <w:spacing w:after="0" w:line="117" w:lineRule="exact"/>
        <w:rPr>
          <w:rFonts w:ascii="Arial" w:cs="Arial" w:eastAsia="Arial" w:hAnsi="Arial"/>
          <w:sz w:val="18"/>
          <w:szCs w:val="18"/>
          <w:color w:val="auto"/>
        </w:rPr>
      </w:pPr>
    </w:p>
    <w:p>
      <w:pPr>
        <w:ind w:left="460" w:right="140" w:firstLine="443"/>
        <w:spacing w:after="0" w:line="308" w:lineRule="auto"/>
        <w:tabs>
          <w:tab w:leader="none" w:pos="1153" w:val="left"/>
        </w:tabs>
        <w:numPr>
          <w:ilvl w:val="0"/>
          <w:numId w:val="178"/>
        </w:numPr>
        <w:rPr>
          <w:rFonts w:ascii="Arial" w:cs="Arial" w:eastAsia="Arial" w:hAnsi="Arial"/>
          <w:sz w:val="17"/>
          <w:szCs w:val="17"/>
          <w:color w:val="auto"/>
        </w:rPr>
      </w:pPr>
      <w:r>
        <w:rPr>
          <w:rFonts w:ascii="Arial" w:cs="Arial" w:eastAsia="Arial" w:hAnsi="Arial"/>
          <w:sz w:val="17"/>
          <w:szCs w:val="17"/>
          <w:color w:val="auto"/>
        </w:rPr>
        <w:t>Liens securing Permitted Refinancing Indebtedness (other than in respect of Indebtedness referred to in clause (1)); provided that such Liens do not extend to any property or assets other than the property or assets that secure the Indebtedness being refinanced;</w:t>
      </w:r>
    </w:p>
    <w:p>
      <w:pPr>
        <w:spacing w:after="0" w:line="38" w:lineRule="exact"/>
        <w:rPr>
          <w:rFonts w:ascii="Arial" w:cs="Arial" w:eastAsia="Arial" w:hAnsi="Arial"/>
          <w:sz w:val="17"/>
          <w:szCs w:val="17"/>
          <w:color w:val="auto"/>
        </w:rPr>
      </w:pPr>
    </w:p>
    <w:p>
      <w:pPr>
        <w:ind w:left="460" w:right="580" w:firstLine="443"/>
        <w:spacing w:after="0" w:line="277" w:lineRule="auto"/>
        <w:tabs>
          <w:tab w:leader="none" w:pos="11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Spectrum Brands or any Restricted Subsidiary of Spectrum Brands with respect to obligations that do not exceed the greater of $125 million or 10% of Consolidated Net Tangible Assets;</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the assets of a Foreign Subsidiary securing Indebtedness of a Foreign Subsidiary that was permitted by the terms of the 2020/2022 indenture to be incurred;</w:t>
      </w:r>
    </w:p>
    <w:p>
      <w:pPr>
        <w:spacing w:after="0" w:line="62" w:lineRule="exact"/>
        <w:rPr>
          <w:rFonts w:ascii="Arial" w:cs="Arial" w:eastAsia="Arial" w:hAnsi="Arial"/>
          <w:sz w:val="18"/>
          <w:szCs w:val="18"/>
          <w:color w:val="auto"/>
        </w:rPr>
      </w:pPr>
    </w:p>
    <w:p>
      <w:pPr>
        <w:ind w:left="460" w:right="500" w:firstLine="443"/>
        <w:spacing w:after="0" w:line="286" w:lineRule="auto"/>
        <w:tabs>
          <w:tab w:leader="none" w:pos="1153"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pledges or deposits under worker’s compensation laws, unemployment insurance laws or similar legislation, or good faith deposits in connection with bids, tenders, contracts or leases, or to secure public or statutory obligations, surety bonds, customs duties and the like, or for the payment of rent, in each case incurred in the ordinary course of business and not securing Indebtedness;</w:t>
      </w:r>
    </w:p>
    <w:p>
      <w:pPr>
        <w:spacing w:after="0" w:line="57" w:lineRule="exact"/>
        <w:rPr>
          <w:rFonts w:ascii="Arial" w:cs="Arial" w:eastAsia="Arial" w:hAnsi="Arial"/>
          <w:sz w:val="17"/>
          <w:szCs w:val="17"/>
          <w:color w:val="auto"/>
        </w:rPr>
      </w:pPr>
    </w:p>
    <w:p>
      <w:pPr>
        <w:ind w:left="460" w:right="60" w:firstLine="443"/>
        <w:spacing w:after="0" w:line="277" w:lineRule="auto"/>
        <w:tabs>
          <w:tab w:leader="none" w:pos="124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imposed by law, such as carriers’, vendors’, warehousemen’s and mechanics’ liens or other similar liens, in each case for sums not yet due or being contested in good faith and by appropriate proceedings;</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2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in respect of taxes and other governmental assessments and charges which are not yet due or which are being contested in good faith and by appropriate proceedings;</w:t>
      </w:r>
    </w:p>
    <w:p>
      <w:pPr>
        <w:spacing w:after="0" w:line="62" w:lineRule="exact"/>
        <w:rPr>
          <w:rFonts w:ascii="Arial" w:cs="Arial" w:eastAsia="Arial" w:hAnsi="Arial"/>
          <w:sz w:val="18"/>
          <w:szCs w:val="18"/>
          <w:color w:val="auto"/>
        </w:rPr>
      </w:pPr>
    </w:p>
    <w:p>
      <w:pPr>
        <w:ind w:left="460" w:firstLine="443"/>
        <w:spacing w:after="0" w:line="277" w:lineRule="auto"/>
        <w:tabs>
          <w:tab w:leader="none" w:pos="124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proceeds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firstLine="438"/>
        <w:spacing w:after="0" w:line="276" w:lineRule="auto"/>
        <w:rPr>
          <w:sz w:val="20"/>
          <w:szCs w:val="20"/>
          <w:color w:val="auto"/>
        </w:rPr>
      </w:pPr>
      <w:r>
        <w:rPr>
          <w:rFonts w:ascii="Arial" w:cs="Arial" w:eastAsia="Arial" w:hAnsi="Arial"/>
          <w:sz w:val="17"/>
          <w:szCs w:val="17"/>
          <w:color w:val="auto"/>
        </w:rPr>
        <w:t>(13)(x) minor survey exceptions, minor encumbrances, easements or reservations of, or rights of others for, licenses, rights of way, sewers, electric lines, telegraph and telephone lines and other similar purposes, or zoning or other restrictions as to the use of real property, or zoning or other restrictions as to the use of real property or Liens incidental to the conduct of the business of such Person or the ownership of its properties, not interfering in any material respect with the conduct of the business of Spectrum Brands and its Restricted Subsidiaries or (y) any zoning or similar law or right reserved to or vested in any governmental authority to control or regulate the use of any real property;</w:t>
      </w:r>
    </w:p>
    <w:p>
      <w:pPr>
        <w:spacing w:after="0" w:line="64" w:lineRule="exact"/>
        <w:rPr>
          <w:sz w:val="20"/>
          <w:szCs w:val="20"/>
          <w:color w:val="auto"/>
        </w:rPr>
      </w:pPr>
    </w:p>
    <w:p>
      <w:pPr>
        <w:ind w:left="460" w:right="640" w:firstLine="443"/>
        <w:spacing w:after="0" w:line="277" w:lineRule="auto"/>
        <w:tabs>
          <w:tab w:leader="none" w:pos="124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licenses or leases or sublicenses or subleases as licensor, lessor, sublicensor or sublessor of any of its property, including intellectual property, in the ordinary course of business;</w:t>
      </w:r>
    </w:p>
    <w:p>
      <w:pPr>
        <w:spacing w:after="0" w:line="62" w:lineRule="exact"/>
        <w:rPr>
          <w:rFonts w:ascii="Arial" w:cs="Arial" w:eastAsia="Arial" w:hAnsi="Arial"/>
          <w:sz w:val="18"/>
          <w:szCs w:val="18"/>
          <w:color w:val="auto"/>
        </w:rPr>
      </w:pPr>
    </w:p>
    <w:p>
      <w:pPr>
        <w:ind w:left="460" w:right="640" w:firstLine="443"/>
        <w:spacing w:after="0" w:line="277" w:lineRule="auto"/>
        <w:tabs>
          <w:tab w:leader="none" w:pos="124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customary Liens in favor of trustees and escrow agents, and netting and setoff rights, banker’s liens and the like in favor of financial institutions and counterparties to financial obligations and instruments, including Hedging Agreements;</w:t>
      </w:r>
    </w:p>
    <w:p>
      <w:pPr>
        <w:spacing w:after="0" w:line="62" w:lineRule="exact"/>
        <w:rPr>
          <w:rFonts w:ascii="Arial" w:cs="Arial" w:eastAsia="Arial" w:hAnsi="Arial"/>
          <w:sz w:val="18"/>
          <w:szCs w:val="18"/>
          <w:color w:val="auto"/>
        </w:rPr>
      </w:pPr>
    </w:p>
    <w:p>
      <w:pPr>
        <w:ind w:left="460" w:right="240" w:firstLine="443"/>
        <w:spacing w:after="0" w:line="277" w:lineRule="auto"/>
        <w:tabs>
          <w:tab w:leader="none" w:pos="124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Liens on assets pursuant to merger agreements, stock or asset purchase agreements and similar agreements in respect of the disposition of such assets;</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options, put and call arrangements, rights of first refusal and similar rights relating to Investments in joint ventures, partnerships and the like;</w:t>
      </w:r>
    </w:p>
    <w:p>
      <w:pPr>
        <w:spacing w:after="0" w:line="140" w:lineRule="exact"/>
        <w:rPr>
          <w:rFonts w:ascii="Arial" w:cs="Arial" w:eastAsia="Arial" w:hAnsi="Arial"/>
          <w:sz w:val="16"/>
          <w:szCs w:val="16"/>
          <w:color w:val="auto"/>
        </w:rPr>
      </w:pPr>
    </w:p>
    <w:p>
      <w:pPr>
        <w:ind w:left="460" w:right="280" w:firstLine="443"/>
        <w:spacing w:after="0" w:line="277" w:lineRule="auto"/>
        <w:tabs>
          <w:tab w:leader="none" w:pos="124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judgment liens, and Liens securing appeal bonds or letters of credit issued in support of or in lieu of appeal bonds, so long as no Event of Default then exists as a result thereof;</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24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not securing Indebtedness and not in the aggregate materially detracting from the value of the properties or their use in the operation of the business of Spectrum Brands and its Restricted Subsidiaries;</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24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Liens (including the interest of a lessor under a Capital Lease) on property that secure Indebtedness Incurred under clause (4) of Permitted Debt for the purpose of financing all or any part of the purchase price or cost of construction or improvement of such property and which attach within 365 days after the date of such purchase or the completion of construction or improvement;</w:t>
      </w:r>
    </w:p>
    <w:p>
      <w:pPr>
        <w:spacing w:after="0" w:line="73" w:lineRule="exact"/>
        <w:rPr>
          <w:rFonts w:ascii="Arial" w:cs="Arial" w:eastAsia="Arial" w:hAnsi="Arial"/>
          <w:sz w:val="18"/>
          <w:szCs w:val="18"/>
          <w:color w:val="auto"/>
        </w:rPr>
      </w:pPr>
    </w:p>
    <w:p>
      <w:pPr>
        <w:ind w:left="1240" w:hanging="337"/>
        <w:spacing w:after="0"/>
        <w:tabs>
          <w:tab w:leader="none" w:pos="12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deposits in the ordinary course of business to secure liability to insurance carriers;</w:t>
      </w:r>
    </w:p>
    <w:p>
      <w:pPr>
        <w:spacing w:after="0" w:line="117" w:lineRule="exact"/>
        <w:rPr>
          <w:rFonts w:ascii="Arial" w:cs="Arial" w:eastAsia="Arial" w:hAnsi="Arial"/>
          <w:sz w:val="18"/>
          <w:szCs w:val="18"/>
          <w:color w:val="auto"/>
        </w:rPr>
      </w:pPr>
    </w:p>
    <w:p>
      <w:pPr>
        <w:ind w:left="460" w:right="420" w:firstLine="443"/>
        <w:spacing w:after="0" w:line="277" w:lineRule="auto"/>
        <w:tabs>
          <w:tab w:leader="none" w:pos="124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left="460" w:right="160" w:firstLine="443"/>
        <w:spacing w:after="0" w:line="288" w:lineRule="auto"/>
        <w:tabs>
          <w:tab w:leader="none" w:pos="124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Liens consisting of contractual rights of set-off (i) relating to the establishment of depository relations with banks not given in connection with the issuance of Indebtedness, (ii) relating to pooled deposit or sweep accounts of Spectrum Brands or any of its Restricted Subsidiaries to permit satisfaction of overdraft or similar obligations incurred in the ordinary course of business of Spectrum Brands and its Restricted Subsidiaries or</w:t>
      </w:r>
    </w:p>
    <w:p>
      <w:pPr>
        <w:ind w:left="460" w:right="540" w:firstLine="4"/>
        <w:spacing w:after="0" w:line="261" w:lineRule="auto"/>
        <w:tabs>
          <w:tab w:leader="none" w:pos="77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relating to purchase orders and other agreements entered into with customers of Spectrum Brands or any of its Restricted Subsidiaries in the ordinary course of business;</w:t>
      </w:r>
    </w:p>
    <w:p>
      <w:pPr>
        <w:spacing w:after="0" w:line="75" w:lineRule="exact"/>
        <w:rPr>
          <w:rFonts w:ascii="Arial" w:cs="Arial" w:eastAsia="Arial" w:hAnsi="Arial"/>
          <w:sz w:val="18"/>
          <w:szCs w:val="18"/>
          <w:color w:val="auto"/>
        </w:rPr>
      </w:pPr>
    </w:p>
    <w:p>
      <w:pPr>
        <w:ind w:left="460" w:right="40" w:firstLine="443"/>
        <w:spacing w:after="0" w:line="277" w:lineRule="auto"/>
        <w:tabs>
          <w:tab w:leader="none" w:pos="124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Liens arising from financing statements filings under the Uniform Commercial Code or similar state laws regarding operating leases entered into by Spectrum Brands and its Restricted Subsidiaries in the ordinary course of business;</w:t>
      </w:r>
    </w:p>
    <w:p>
      <w:pPr>
        <w:spacing w:after="0" w:line="62" w:lineRule="exact"/>
        <w:rPr>
          <w:rFonts w:ascii="Arial" w:cs="Arial" w:eastAsia="Arial" w:hAnsi="Arial"/>
          <w:sz w:val="18"/>
          <w:szCs w:val="18"/>
          <w:color w:val="auto"/>
        </w:rPr>
      </w:pPr>
    </w:p>
    <w:p>
      <w:pPr>
        <w:ind w:left="460" w:right="100" w:firstLine="443"/>
        <w:spacing w:after="0" w:line="308" w:lineRule="auto"/>
        <w:tabs>
          <w:tab w:leader="none" w:pos="1243" w:val="left"/>
        </w:tabs>
        <w:numPr>
          <w:ilvl w:val="1"/>
          <w:numId w:val="180"/>
        </w:numPr>
        <w:rPr>
          <w:rFonts w:ascii="Arial" w:cs="Arial" w:eastAsia="Arial" w:hAnsi="Arial"/>
          <w:sz w:val="17"/>
          <w:szCs w:val="17"/>
          <w:color w:val="auto"/>
        </w:rPr>
      </w:pPr>
      <w:r>
        <w:rPr>
          <w:rFonts w:ascii="Arial" w:cs="Arial" w:eastAsia="Arial" w:hAnsi="Arial"/>
          <w:sz w:val="17"/>
          <w:szCs w:val="17"/>
          <w:color w:val="auto"/>
        </w:rPr>
        <w:t>Liens securing Cash Management Obligations and all Obligations under the Hedging Agreements owed to Persons that were agents and the lenders under the Revolving Credit Agreement or their affiliates at the time of entry into the agreements governing such obligations;</w:t>
      </w:r>
    </w:p>
    <w:p>
      <w:pPr>
        <w:spacing w:after="0" w:line="38" w:lineRule="exact"/>
        <w:rPr>
          <w:rFonts w:ascii="Arial" w:cs="Arial" w:eastAsia="Arial" w:hAnsi="Arial"/>
          <w:sz w:val="17"/>
          <w:szCs w:val="17"/>
          <w:color w:val="auto"/>
        </w:rPr>
      </w:pPr>
    </w:p>
    <w:p>
      <w:pPr>
        <w:ind w:left="460" w:right="80" w:firstLine="443"/>
        <w:spacing w:after="0" w:line="277" w:lineRule="auto"/>
        <w:tabs>
          <w:tab w:leader="none" w:pos="124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Spectrum Brands and its subsidiaries in the ordinary course of business;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Liens created for the benefit of each series of 2020/2022 notes or the Note Guarantees with respect thereto.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“Permitted Refinancing Indebtedness” means any Indebtedness of Spectrum Brands or any of its Restricted Subsidiaries issued in exchange for, or the net proceeds of which are used to extend, refinance, renew, replace, defease or refund other Indebtedness of Spectrum Brands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40" w:firstLine="443"/>
        <w:spacing w:after="0" w:line="259"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so extended, refinanced, renewed, replaced, defeased or refunded (plus all accrued interest thereon and the amount of any reasonably determined premium necessary to accomplish such refinancing and such reasonable expenses incurred in connection therewith);</w:t>
      </w:r>
    </w:p>
    <w:p>
      <w:pPr>
        <w:spacing w:after="0" w:line="78" w:lineRule="exact"/>
        <w:rPr>
          <w:rFonts w:ascii="Arial" w:cs="Arial" w:eastAsia="Arial" w:hAnsi="Arial"/>
          <w:sz w:val="18"/>
          <w:szCs w:val="18"/>
          <w:color w:val="auto"/>
        </w:rPr>
      </w:pPr>
    </w:p>
    <w:p>
      <w:pPr>
        <w:ind w:left="460" w:right="140" w:firstLine="443"/>
        <w:spacing w:after="0" w:line="264"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73"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2020/2022 notes or the Note Guarantees, such Permitted Refinancing Indebtedness is subordinated in right of payment to, the 2020/2022 notes or such Note Guarantees on terms at least as favorable to the Holders of 2020/2022 notes as those contained in the documentation governing the Indebtedness being extended, refinanced, renewed, replaced, defeased or refunded; and</w:t>
      </w:r>
    </w:p>
    <w:p>
      <w:pPr>
        <w:spacing w:after="0" w:line="78"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no event may Indebtedness of Spectrum Brands or any Guarantor be refinanced by means of Indebtedness of a Restricted Subsidiary that is not a Guarantor.</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“Person”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“Preferred Stock” means, with respect to any Person, any Capital Stock of such Person that has preferential rights to any other Capital Stock of such Person with respect to dividends or redemption upon liquidation.</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“Prior Transaction Expenses” means fees and expenses payable or otherwise borne by Spectrum Brands and its Restricted Subsidiaries in connection with the Prior Transactions and incurred before, or on or about, the issue date of the Existing Senior Secured Notes, including the costs of legal and financial advisors to Spectrum Brands and the lenders under the Existing Term Loan Agreement and the Revolving Credit Agreement and prepayment fees and penalties in connection with the prepayment of the existing Indebtedness of Spectrum Brands and its Restricted Subsidiaries on or about the issue date of the Existing Senior Secured Notes.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“Prior Transactions” means, collectively, (a) the execution, delivery and performance by Spectrum and the other parties thereto of the Revolving Credit Agreement and the Existing Term Loan Agreement and the making of the borrowings thereunder, (b) the execution, delivery and performance by Spectrum and the Guarantors of the indenture relating to the Existing Senior Secured Notes and related documents and the issuance of the Existing Senior Secured Notes, (c) the refinancing of certain Existing Indebtedness, (d) the mergers of Spectrum and Russell Hobbs, Inc. pursuant to that certain Agreement and Plan of Merger, dated February 9, 2010, by and among Spectrum Brands Holdings, Inc., (formerly SB/RH Holdings, Inc.), Russell Hobbs, Inc., Spectrum, Battery Merger Corp. and Grill Merger Corp., and the other transactions ancillary to or contemplated by such agreement and (e) the payment of the costs in respect thereof, in each case which occurred on or about June 16, 2010.</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“Qualified Equity Interests” means all Equity Interests of a person other than Disqualified Stock.</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“Rating Agencies” means S&amp;P and Moody’s; </w:t>
      </w:r>
      <w:r>
        <w:rPr>
          <w:rFonts w:ascii="Arial" w:cs="Arial" w:eastAsia="Arial" w:hAnsi="Arial"/>
          <w:sz w:val="18"/>
          <w:szCs w:val="18"/>
          <w:i w:val="1"/>
          <w:iCs w:val="1"/>
          <w:color w:val="auto"/>
        </w:rPr>
        <w:t>provided</w:t>
      </w:r>
      <w:r>
        <w:rPr>
          <w:rFonts w:ascii="Arial" w:cs="Arial" w:eastAsia="Arial" w:hAnsi="Arial"/>
          <w:sz w:val="18"/>
          <w:szCs w:val="18"/>
          <w:color w:val="auto"/>
        </w:rPr>
        <w:t>, that if either S&amp;P or Moody’s (or both) shall cease issuing a rating on the 2020/2022 notes for reasons outside the control of Spectrum Brands, Spectrum Brands may select a nationally recognized statistical rating agency to substitute for S&amp;P or Moody’s (or both).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means an office or agency where 2020/2022 notes may be presented for registration of transfer or for exchange.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“Replacement Assets” means (1) non-current assets (other than securities of any Person) that will be used or useful in a Permitted Business or (2) all or substantially all of the assets of a Permitted Business or Voting Stock of any Person engaged in a Permitted Business that will become on the date of acquisition thereof a Restricted Subsidiary.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Investment” means an Investment other than a Permitted Investment.</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“Restricted Subsidiary” of a Person means any Subsidiary of the referent Person that is not an Unrestricted Subsidiary. Unless the context otherwise requires, “Restricted Subsidiary” refers to a Restricted Subsidiary of Spectrum Brands.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“Revolving Credit Agreement” means the revolving credit agreement dated June 16, 2010 among Spectrum, the lenders party thereto and Bank of America NA, as agent, together with any related documents (including any security documents and guarantees) as such agreement, in whole or in part, in one or more instances, may be amended, renewed, extended, substituted, refinanced, restructured, replaced, supplemented or otherwise modified from time to time (including any successive renewals, extensions, substitutions, refinancings, restructurings, replacements, supplementations or other modifications of the foregoing and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institutional lenders)), including into one or more debt facilities, commercial paper facilities or other debt instruments, indentures or agreements (including by means of sales of debt securities (including Additional Notes) to institutional investors), providing for revolving credit loans, term loans, letters of credit or other debt obligations, whether any such extension, replacement or refinancing (1) occurs simultaneously or not with the termination or repayment of a prior credit agreement or (2) occurs on one or more separate occasions.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Ratings Group, a division of McGraw Hill, Inc. and its successors.</w:t>
      </w:r>
    </w:p>
    <w:p>
      <w:pPr>
        <w:spacing w:after="0" w:line="22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“Secured Leverage Ratio” means, on any date of determination (the “transaction date”), the ratio of (x) the aggregate amount of all outstanding Indebtedness (which Indebtedness is secured by a Lien on an any asset of Spectrum Brands or any of its Restricted Subsidiaries, other than liens described in clauses (2), (8), (25) and (27) of the definition of “Permitted Liens”) of Spectrum Brands and its Restricted Subsidiaries, determined on a consolidated basis (with any Indebtedness incurred pursuant to clause (i)(y) of the second paragraph of the covenant described under “—Certain Covenants—Incurrence of Indebtedness and issuance of Preferred Stock” deemed to be secured Indebtedness for this purpose in connection with any measurement of the Secured Leverage Ratio pursuant to such clause) minus the lesser of (i) the aggregate amount of unrestricted cash and Cash Equivalents owned by Spectrum Brands and its Restricted Subsidiaries on a consolidated basis and (ii) $50.0 million to (y) the aggregate amount of Consolidated Cash Flow of Spectrum Brands and its Restricted Subsidiaries for the four fiscal quarters immediately prior to the transaction date for which internal financial statements are available in each case with such pro forma adjustments to Indebtedness and Consolidated Cash Flow as are consistent with the pro forma adjustment provisions of the Fixed Charges Coverage Ratio.</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“Significant Subsidiary” means any Subsidiary that would constitute a “significant subsidiary” within the meaning of Article 1 of Regulation S-X of the Securities Act.</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 means, with respect to any specified Person:</w:t>
      </w:r>
    </w:p>
    <w:p>
      <w:pPr>
        <w:spacing w:after="0" w:line="117" w:lineRule="exact"/>
        <w:rPr>
          <w:sz w:val="20"/>
          <w:szCs w:val="20"/>
          <w:color w:val="auto"/>
        </w:rPr>
      </w:pPr>
    </w:p>
    <w:p>
      <w:pPr>
        <w:ind w:left="460" w:right="380" w:firstLine="443"/>
        <w:spacing w:after="0" w:line="312" w:lineRule="auto"/>
        <w:tabs>
          <w:tab w:leader="none" w:pos="115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38" w:lineRule="exact"/>
        <w:rPr>
          <w:rFonts w:ascii="Arial" w:cs="Arial" w:eastAsia="Arial" w:hAnsi="Arial"/>
          <w:sz w:val="16"/>
          <w:szCs w:val="16"/>
          <w:color w:val="auto"/>
        </w:rPr>
      </w:pPr>
    </w:p>
    <w:p>
      <w:pPr>
        <w:ind w:left="460" w:right="120" w:firstLine="443"/>
        <w:spacing w:after="0" w:line="308" w:lineRule="auto"/>
        <w:tabs>
          <w:tab w:leader="none" w:pos="115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4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“Term Loan Agreement” means the term loan credit agreement dated December 17, 2012 among Spectrum, the lenders party thereto and Deutsche Bank AG New York Branch, as agent, together with any related documents, including any related notes, guarantees, collateral documents, instruments and agreements executed in connection therewith, in each case as such term loan credit agreement, in whole or in part, in one or more instances, may be amended, renewed, extended, substituted, refinanced, restructured, replaced, supplemented or otherwise modified from time to time (including any successive renewals, extensions, substitutions, refinancings, restructurings, replacements, supplementations or other modifications of the foregoing and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institutional lenders)), including into one or more debt facilities, commercial paper facilities or other debt instruments, indentures or agreements (including by means of sales of debt securities (including Additional Notes) to institutional investors), providing for revolving credit loans, term loans, letters of credit or other debt obligations, whether any such extension, replacement or refinancing (1) occurs simultaneously or not with the termination or repayment of a prior term loan credit agreement or (2) occurs on one or more separate occasions.</w:t>
      </w:r>
    </w:p>
    <w:p>
      <w:pPr>
        <w:spacing w:after="0" w:line="18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“Transaction Expenses” means fees and expenses payable or otherwise borne by Spectrum Brands and its Restricted Subsidiaries in connection with the Transactions, including the costs of legal and financial advisors to Spectrum Brands and the lenders under the Term Loan Agreement and prepayment fees and penalties in connection with the prepayment of the Existing Term Loan Agreement.</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“Transactions” means, collectively, (a) the execution, delivery and performance by Spectrum Brands and the other parties thereto of the Term Loan Agreement and the making of the borrowings thereunder, (b) the refinancing of the Existing Term Loan Agreement, (c) the issuance of the 2020/2022 notes and (d) the consummation of the Acquisition and any other transactions contemplated by the Acquisition Agreement.</w:t>
      </w:r>
    </w:p>
    <w:p>
      <w:pPr>
        <w:spacing w:after="0" w:line="16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“Treasury Rate” means, as of any redemption date, the yield to maturity as of such redemption date of United States Treasury securities with a constant maturity (as compiled and published in the most recent Federal Reserve Statistical Release H.15(519) that has become publicly available at least two business days prior to the redemption date (or, if such Statistical Release is no longer published, any publicly available source of similar market data)) most nearly equal to the period from the redemption date to November 15, 2016 (in the case of the 2020 Notes) or November 15, 2017 (in the case of the 2022</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Notes); provided, however, that if the period from the redemption date to November 15, 2016 (in the case of the 2020 Notes) or November 15, 2017 (in the case of the 2022 Notes) is less than one year, the weekly average yield on actually traded United States Treasury securities adjusted to a constant maturity of one year will be used.</w:t>
      </w:r>
    </w:p>
    <w:p>
      <w:pPr>
        <w:spacing w:after="0" w:line="19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“Trustee” means the party named as such in the preamble to the 2020/2022 indenture until a successor replaces it in accordance with the 2020/2022 indenture and thereafter means the successor serving hereunder.</w:t>
      </w:r>
    </w:p>
    <w:p>
      <w:pPr>
        <w:spacing w:after="0" w:line="170" w:lineRule="exact"/>
        <w:rPr>
          <w:sz w:val="20"/>
          <w:szCs w:val="20"/>
          <w:color w:val="auto"/>
        </w:rPr>
      </w:pPr>
    </w:p>
    <w:p>
      <w:pPr>
        <w:jc w:val="right"/>
        <w:ind w:right="5580"/>
        <w:spacing w:after="0"/>
        <w:rPr>
          <w:sz w:val="20"/>
          <w:szCs w:val="20"/>
          <w:color w:val="auto"/>
        </w:rPr>
      </w:pPr>
      <w:r>
        <w:rPr>
          <w:rFonts w:ascii="Arial" w:cs="Arial" w:eastAsia="Arial" w:hAnsi="Arial"/>
          <w:sz w:val="17"/>
          <w:szCs w:val="17"/>
          <w:color w:val="auto"/>
        </w:rPr>
        <w:t>“Trust Indenture Act” means the Trust Indenture Act of 1939, as amended.</w:t>
      </w:r>
    </w:p>
    <w:p>
      <w:pPr>
        <w:spacing w:after="0" w:line="169"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“Unrestricted Subsidiary” means any Subsidiary of Spectrum Brands that is designated by the Board of Directors as an Unrestricted Subsidiary pursuant to a resolution of the Board of Directors in compliance with the covenant described under the caption “—Certain Covenants—Designation of Restricted and Unrestricted Subsidiaries,” and any Subsidiary of such Subsidiary.</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“Voting Stock”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 Average Life to Maturity” means, when applied to any Indebtedness at any date, the number of years obtained by dividing:</w:t>
      </w:r>
    </w:p>
    <w:p>
      <w:pPr>
        <w:spacing w:after="0" w:line="117" w:lineRule="exact"/>
        <w:rPr>
          <w:sz w:val="20"/>
          <w:szCs w:val="20"/>
          <w:color w:val="auto"/>
        </w:rPr>
      </w:pPr>
    </w:p>
    <w:p>
      <w:pPr>
        <w:ind w:left="460" w:right="140" w:firstLine="443"/>
        <w:spacing w:after="0" w:line="264" w:lineRule="auto"/>
        <w:tabs>
          <w:tab w:leader="none" w:pos="115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“Wholly Owned” means, with respect to any Restricted Subsidiary, a Restricted Subsidiary all of the outstanding Capital Stock of which (other than any director’s qualifying shares) is owned by Spectrum Brands and one or more Wholly Owned Restricted Subsidiaries (or a combination thereof).</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240" w:top="459" w:right="5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2024 NOTES</w:t>
      </w:r>
    </w:p>
    <w:p>
      <w:pPr>
        <w:spacing w:after="0" w:line="229"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In this Description of 2024 Notes, (i) “Spectrum Brands” refers only to Spectrum Brands, Inc. and any successor obligor on the 2024 notes and not to any of its subsidiaries, affiliates or direct or indirect parent companies and (ii) the terms “we,” “our” and “us” refer to Spectrum Brands and the Guarantors. You can find the definitions of certain terms used in this description of 2024 notes under “—Certain Definitions.”</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Spectrum Brands issued $250.0 million aggregate principal amount of 2024 notes under the 2024 notes indenture among Spectrum Brands, the guarantors named therein and U.S. Bank National Association, as Trustee, as supplemented by the supplemental indenture dated as of February 24, 2015 and as further supplemented by the supplemental indenture dated as of June 23, 2015.</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following is a summary of the material provisions of the 2024 notes indenture. Because this is a summary, it may not contain all the information that is important to you. You should read the 2024 notes indenture in its entirety because it, and not this description, defines your rights as holders of the 2024 notes. Copies of the 2024 notes indenture are available at the address described under “Where You Can Find More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2024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2024 notes will:</w:t>
      </w:r>
    </w:p>
    <w:p>
      <w:pPr>
        <w:spacing w:after="0" w:line="131" w:lineRule="exact"/>
        <w:rPr>
          <w:sz w:val="20"/>
          <w:szCs w:val="20"/>
          <w:color w:val="auto"/>
        </w:rPr>
      </w:pPr>
    </w:p>
    <w:p>
      <w:pPr>
        <w:ind w:left="900" w:right="740" w:hanging="325"/>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 general unsecured obligations of Spectrum Brands, ranking equally in right of payment with all existing and future unsecured senior Indebtedness of Spectrum Brands;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 guaranteed by Spectrum Brands’ direct parent, SB/RH Holdings, LLC (“Holdings”), and each of Spectrum Brands’ existing and future Domestic Subsidiaries, which guaranty in each case shall be a senior unsecured obligation of such Guarantor, ranking equally in right of payment with all existing and future senior Indebtedness of such Guarantor;</w:t>
      </w:r>
    </w:p>
    <w:p>
      <w:pPr>
        <w:spacing w:after="0" w:line="86"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rank senior in right of payment to all of Spectrum Brands’ and the Guarantors’ existing and future Indebtedness that expressly provides for its subordination to the 2024 notes and the Note Guarantees;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 effectively subordinated to any secured Indebtedness of Spectrum Brands, including all Indebtedness under the Term Loan Agreement and the Revolving Credit Agreement, to the extent of the value of the assets securing such Indebtedness;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be structurally subordinated to all Indebtedness and other liabilities of Spectrum Brands’ subsidiaries that do not guarantee the 2024 notes.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2024 notes will mature on December 15, 2024. Spectrum Brands will pay interest on the 2024 notes semi-annually in arrears on June 15 and December 15 of each year to holders of record on the immediately preceding June 1 and December 1. Interest on the 2024 notes will accrue from the most recent date to which interest has been or, if no interest has been paid, from the Issue Date. Interest will be computed on the basis of a 360-day year comprised of twelve 30-day months.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Spectrum Brands will pay interest on overdue principal of the 2024 notes at a rate equal to 1.0% per annum in excess of 6.125% per annum and will pay interest on overdue installments of interest at such higher rate, in each case to the extent lawful.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Subject to the covenants described below, Spectrum Brands may issue additional 2024 notes (“Additional Notes”) under the 2024 notes indenture in an unlimited aggregate principal amount, having the same terms in all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respects as the 2024 notes, or in all respects except with respect to issue price and interest accrued on or prior to the issue date thereof.</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required by applicable tax regulations, if Additional Notes are not fungible with other 2024 notes for U.S. federal income tax purposes, the Additional Notes will trade under a separate CUSIP number and will be treated as a separate class for purposes of transfer and exchange. Nevertheless, the 2024 notes offered hereby and any Additional Notes may, at our election, be treated as a single class for all purposes under the 2024 notes indenture and vote together as one class on all matters with respect to the 2024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2024 Notes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Holder has given wire transfer instructions to Spectrum Brands at least ten Business Days prior to the applicable payment or redemption date, Spectrum Brands will pay all principal, interest and premium, if any, on that Holder’s 2024 notes in accordance with those instructions. All other payments on 2024 notes will be made at the office or agency of the Paying Agent and Registrar unless Spectrum Brands elects to make interest payments by check mailed to the Holders at their addresses set forth in the register of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2024 Notes</w:t>
      </w:r>
    </w:p>
    <w:p>
      <w:pPr>
        <w:spacing w:after="0" w:line="121"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The Trustee is acting as Paying Agent and Registrar. Under the 2024 notes indenture, Spectrum Brands reserves the right to change the Paying Agent or Registrar without prior notice to the Holders, and Spectrum Brands or any of its Subsidiaries may act as Paying Agent or Registrar.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A Holder may transfer or exchange 2024 notes in accordance with the 2024 notes indenture. The Registrar and the Trustee may require a Holder, among other things, to furnish appropriate endorsements and transfer documents and Spectrum Brands may require a Holder to pay any taxes and fees required by law or permitted by the 2024 notes indenture. Spectrum Brands is not required to transfer or exchange any 2024 note selected for redemption. Also, Spectrum Brands is not required to transfer or exchange any 2024 note for a period of 15 days before a selection of the 2024 notes to be redeemed.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2024 note will be treated as the owner of such 2024 note for all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Spectrum Brands’ obligations under the 2024 notes and the 2024 notes indenture will be guaranteed, jointly and severally, on a senior unsecured basis, by Holdings and all of the Domestic Subsidiaries of Spectrum Brands. Each Note Guarantee will:</w:t>
      </w:r>
    </w:p>
    <w:p>
      <w:pPr>
        <w:spacing w:after="0" w:line="76" w:lineRule="exact"/>
        <w:rPr>
          <w:sz w:val="20"/>
          <w:szCs w:val="20"/>
          <w:color w:val="auto"/>
        </w:rPr>
      </w:pPr>
    </w:p>
    <w:p>
      <w:pPr>
        <w:ind w:left="900" w:hanging="325"/>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be a general, unsecured obligation of the Guarantor;</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rank equally in right of payment with all existing and future unsecured senior Indebtedness of the Guarantor, including the guaranty of the Existing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rank senior in right of payment to all existing and any future subordinated Indebtedness of the Guarantor;</w:t>
      </w:r>
    </w:p>
    <w:p>
      <w:pPr>
        <w:spacing w:after="0" w:line="130" w:lineRule="exact"/>
        <w:rPr>
          <w:rFonts w:ascii="Arial" w:cs="Arial" w:eastAsia="Arial" w:hAnsi="Arial"/>
          <w:sz w:val="18"/>
          <w:szCs w:val="18"/>
          <w:color w:val="auto"/>
        </w:rPr>
      </w:pPr>
    </w:p>
    <w:p>
      <w:pPr>
        <w:ind w:left="900" w:right="380" w:hanging="325"/>
        <w:spacing w:after="0" w:line="308"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be effectively subordinated to any secured Indebtedness of the Guarantor, including all Indebtedness of each Guarantor under the Term Loan Agreement and the Revolving Credit Agreement, to the extent of the value of the assets securing such Indebtedness; and</w:t>
      </w:r>
    </w:p>
    <w:p>
      <w:pPr>
        <w:spacing w:after="0" w:line="51" w:lineRule="exact"/>
        <w:rPr>
          <w:rFonts w:ascii="Arial" w:cs="Arial" w:eastAsia="Arial" w:hAnsi="Arial"/>
          <w:sz w:val="17"/>
          <w:szCs w:val="17"/>
          <w:color w:val="auto"/>
        </w:rPr>
      </w:pPr>
    </w:p>
    <w:p>
      <w:pPr>
        <w:ind w:left="5580" w:right="40" w:hanging="5005"/>
        <w:spacing w:after="0" w:line="449"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be structurally subordinated to all Indebtedness and other liabilities of any of Spectrum Brands’ subsidiaries that do not guarantee the 2024 notes. 184</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2024 notes indenture will provide that the obligations of each Guarantor under its Note Guarantee will be limited as necessary to prevent that Note Guarantee from constituting a fraudulent conveyance under applicable law. If Spectrum Brands or any of its Restricted Subsidiaries acquires or creates another Domestic Subsidiary on or after the Issue Date, then that newly acquired or created Domestic Subsidiary must promptly become a Guarantor, execute a supplemental indenture and deliver an opinion of counsel to the Trustee.</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None of Spectrum Brands’ Foreign Subsidiaries will guarantee the 2024 notes. Spectrum Brands’ Subsidiaries that will not be guaranteeing the 2024 notes had, as of September 30, 2015, approximately 19% of total liabilities and generated 54% of Spectrum’s revenue for the twelve month period ended September 30, 2015. See “Risk Factors—Risks Related to the Notes—The notes will be effectively subordinated to all liabilities of and claims of creditors of all of our foreign subsidiaries.” Under the circumstances described below under the caption “—Certain Covenants—Designation of Restricted and Unrestricted Subsidiaries,” we will be permitted to designate certain of our Subsidiaries as “Unrestricted Subsidiaries.” Spectrum Brands’ Unrestricted Subsidiaries will not be subject to the restrictive covenants in the 2024 notes indenture and will not guarantee the 2024 notes.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At any time prior to December 15, 2019, Spectrum Brands may redeem the 2024 notes at its option, in whole at any time or in part from time to time, at a redemption price equal to 100% of the principal amount of the 2024 notes redeemed plus the Applicable Premium as of, and accrued and unpaid interest, if any, to, the applicable redemption date.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 any time on or after December 15, 2019, Spectrum Brands may redeem all or a part of the 2024 notes, from time to time, at the redemption prices (expressed as percentages of principal amount) set forth below plus accrued and unpaid interest, if any, to the applicable redemption date, in cash, if redeemed during the twelve-month period beginning on December 15 in the years indicated below:</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84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2019</w:t>
            </w:r>
          </w:p>
        </w:tc>
        <w:tc>
          <w:tcPr>
            <w:tcW w:w="3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103.063%</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2020</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102.042%</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3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101.021%</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2022 and thereafter</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At any time and from time to time prior to December 15, 2017, Spectrum Brands may redeem the 2024 notes with an amount of cash equal to the net cash proceeds received by Spectrum Brands from one or more Equity Offerings at a redemption price equal to 106.125% of the principal amount plus accrued and unpaid interest to the redemption date, in an aggregate principal amount for all such redemptions not to exceed 35% of the aggregate principal amount of the 2024 notes (calculated after giving effect to any issuance of Additional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1" w:lineRule="exact"/>
        <w:rPr>
          <w:sz w:val="20"/>
          <w:szCs w:val="20"/>
          <w:color w:val="auto"/>
        </w:rPr>
      </w:pPr>
    </w:p>
    <w:p>
      <w:pPr>
        <w:ind w:left="720" w:hanging="256"/>
        <w:spacing w:after="0"/>
        <w:tabs>
          <w:tab w:leader="none" w:pos="7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each case the redemption takes place not later than 90 days after the closing of the related Equity Offering, and</w:t>
      </w:r>
    </w:p>
    <w:p>
      <w:pPr>
        <w:spacing w:after="0" w:line="225"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less than 65% of the aggregate principal amount of the 2024 notes (calculated after giving effect to any issuance of Additional Notes) issued under the 2024 notes indenture remains outstanding immediately thereafter.</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Notice of any redemption upon any Equity Offering may be given prior to the completion of the related Equity Offering, and any such redemption or notice may, at Spectrum Brands’ discretion, be subject to one or more conditions precedent, including, but not limited to, completion of the related Equity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less than all of the 2024 notes are to be redeemed at any time, the Trustee will select 2024 notes for redemption as follows:</w:t>
      </w:r>
    </w:p>
    <w:p>
      <w:pPr>
        <w:spacing w:after="0" w:line="225" w:lineRule="exact"/>
        <w:rPr>
          <w:sz w:val="20"/>
          <w:szCs w:val="20"/>
          <w:color w:val="auto"/>
        </w:rPr>
      </w:pPr>
    </w:p>
    <w:p>
      <w:pPr>
        <w:ind w:left="720" w:hanging="256"/>
        <w:spacing w:after="0"/>
        <w:tabs>
          <w:tab w:leader="none" w:pos="7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the 2024 notes are listed, in compliance with the requirements of the principal national securities exchange on which the 2024 notes are listed; or</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2024 notes are not so listed, on a pro rata basis, by lot or by such method as the Trustee shall deem fair and appropriate.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2024 notes of less than $2,000 shall be redeemed in part. Notices of redemption shall be mailed by first class mail, or delivered electronically if held by DTC, at least 30 but not more than 60 days before the redemption date to each Holder of the 2024 notes to be redeemed at its registered address, except that redemption notices may be delivered more than 60 days prior to the redemption date if the notice is issued in connection with the defeasance of the 2024 notes or a satisfaction and discharge of the 2024 notes indenture.</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If any 2024 note is to be redeemed in part only, the notice of redemption that relates to that 2024 note shall state the portion of the principal amount thereof to be redeemed. A new 2024 note in principal amount equal to the unredeemed portion of the original 2024 note will be issued in the name of the Holder thereof upon cancellation of the original 2024 note. The 2024 notes called for redemption become due on the date fixed for redemption. On and after the redemption date, interest ceases to accrue on the 2024 notes or portions of them called for redemption.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Open Market Purchases and Other Purchases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Spectrum Brands is not required to make mandatory redemption or sinking fund payments with respect to the 2024 notes.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From time to time, Spectrum Brands, its Restricted Subsidiaries, its direct or indirect parents or its Affiliates may acquire the 2024 notes through open market purchases, privately negotiated transactions, tender offers, exchange offers, redemptions or otherwise, upon such terms and at such prices as Spectrum Brands, its Restricted Subsidiaries, its direct or indirect parents or its Affiliates (as applicable) may determine (or as may be provided for in the 2024 notes indenture), which may be more or less than the consideration for which the 2024 notes are being sold and may be less than the redemption price in effect and could be for cash or other consideration, in accordance with applicable securities laws, so long as such acquisition does not otherwise violate the terms of the 2024 notes indenture. There can be no assurance as to which, if any, of these alternatives or combinations thereof Spectrum Brands, its Restricted Subsidiaries, its direct or indirect parents or its Affiliates may choose to pursue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Change of Control occurs, each Holder of 2024 notes will have the right to require Spectrum Brands to repurchase all or any part (equal to $2,000 or a higher multiple of $1,000) of that Holder’s 2024 notes pursuant to a Change of Control Offer on the terms set forth in the 2024 notes indenture. In the Change of Control Offer, Spectrum Brands will offer a payment (such payment, a “Change of Control Payment”) in cash equal to 101% of the aggregate principal amount of 2024 notes repurchased, plus accrued and unpaid interest thereon, to the date of purchase. Within 30 days following any Change of Control, Spectrum Brands will mail, or deliver electronically if held by DTC, a notice to each Holder describing the transaction or transactions that constitute the Change of Control and offering to repurchase 2024 notes on the date specified in such notice (the “Change of Control Payment Date”), which date shall be no earlier than 30 days and no later than 60 days from the date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notice is delivered, pursuant to the procedures required by the 2024 notes indenture and described in such notice. Spectrum Brands will comply with the requirements of Rule 14e-1 under the Exchange Act and any other securities laws and regulations thereunder to the extent such laws and regulations are applicable in connection with the repurchase of the 2024 notes as a result of a Change of Control. To the extent that the provisions of any securities laws or regulations conflict with the Change of Control provisions of the 2024 notes indenture, Spectrum Brands will comply with the applicable securities laws and regulations and will not be deemed to have breached its obligations under the Change of Control provisions of the 2024 notes indenture by virtue of such compliance.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or before the Change of Control Payment Date, Spectrum Brands will, to the extent lawful:</w:t>
      </w:r>
    </w:p>
    <w:p>
      <w:pPr>
        <w:spacing w:after="0" w:line="225" w:lineRule="exact"/>
        <w:rPr>
          <w:sz w:val="20"/>
          <w:szCs w:val="20"/>
          <w:color w:val="auto"/>
        </w:rPr>
      </w:pPr>
    </w:p>
    <w:p>
      <w:pPr>
        <w:ind w:left="720" w:hanging="256"/>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accept for payment all 2024 notes or portions thereof properly tendered pursuant to the Change of Control Offer;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2024 notes or portions thereof properly tendered;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firstLine="464"/>
        <w:spacing w:after="0" w:line="277" w:lineRule="auto"/>
        <w:tabs>
          <w:tab w:leader="none" w:pos="71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2024 notes so accepted together with an officer’s certificate stating the aggregate principal amount of 2024 notes or portions thereof being purchased by Spectrum Brands.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The Paying Agent will promptly mail or wire transfer to each Holder of 2024 notes properly tendered the Change of Control Payment for such 2024 notes, and the Trustee will promptly authenticate and mail (or cause to be transferred by book entry) to each Holder a new Note equal in principal amount to any unpurchased portion of the 2024 notes surrendered,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new 2024 note will be in a principal amount of $2,000 or a higher integral multiple of $1,000.</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Spectrum Brands’ senior credit facilities provide that certain change of control events with respect to Spectrum Brands would constitute a default under these agreements. Any future credit agreements or other agreements to which Spectrum Brands becomes a party may contain similar provisions. Spectrum Brands’ ability to pay cash to the Noteholders following the occurrence of a Change of Control may be limited by Spectrum Brands’ then existing financial resources. Moreover, the exercise by the Noteholders of their right to require Spectrum Brands to purchase the 2024 notes could cause a default under other debt, even if the Change of Control itself does not, due to the financial effect of the purchase on Spectrum Brands. There can be no assurance that sufficient funds will be available when necessary to make the required purchase of the 2024 notes. See “Risk Factors—Risks Related to the Notes—We may not be able to make the change of control offer required by the indenture.”</w:t>
      </w:r>
    </w:p>
    <w:p>
      <w:pPr>
        <w:spacing w:after="0" w:line="17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Spectrum Brands will not be required to make a Change of Control Offer upon a Change of Control if (1) a third party makes the Change of Control Offer in the manner, at the times and otherwise in compliance with the requirements set forth in the 2024 notes indenture applicable to a Change of Control Offer made by Spectrum Brands and purchases all 2024 notes validly tendered and not withdrawn under such Change of Control Offer or (2) notice of redemption has been given pursuant to the 2024 notes indenture as described above under the caption “—Optional Redemption,” unless and until there is a default in payment of the applicable redemption price.</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holders of not less than 90% in aggregate principal amount of the outstanding 2024 notes validly tender and do not withdraw such 2024 notes in a Change of Control Offer and Spectrum Brands, or any third party making a Change of Control Offer in lieu of Spectrum Brands as described above, purchases all of the 2024 notes validly tendered and not withdrawn by such holders, Spectrum Brands or such third party will have the right, upon not less than 30 nor more than 60 days’ prior notice, given not more than 30 days following such purchase pursuant to the Change of Control Offer described above, to redeem all 2024 notes that remain outstanding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following such purchase at a price in cash equal to 101% of the principal amount thereof plus accrued and unpaid interest to but excluding the date of redemption.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2024 notes repurchased by Spectrum Brands pursuant to a Change of Control Offer will have the status of 2024 notes issued but not outstanding or will be retired and canceled at the option of Spectrum Brands. 2024 notes purchased by a third party pursuant to the preceding paragraphs will have the status of 2024 notes issued and outstanding.</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Change of Control Offer may be made in advance of a Change of Control, conditional upon such Change of Control or other events, if a definitive agreement is in place for the Change of Control at the time of making of the Change of Control Offer.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provisions under the 2024 notes indenture relative to Spectrum Brand’s obligation to make a Change of Control Offer may be waived or modified with the written consent of the holders of a majority in principal amount of the 2024 notes then outstanding.</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the properties or assets of Spectrum Brands and its Subsidiaries taken as a whole. Although there is a limited body of case law interpreting the phrase “substantially all,” there is no precise established definition of the phrase under applicable law. Accordingly, the ability of a Holder of the 2024 notes to require Spectrum Brands to repurchase such 2024 notes as a result of a sale, lease, transfer, conveyance or other disposition of less than all of the assets of Spectrum Brands and its Subsidiaries taken as a whole to another Person or group may be uncertain.</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a Delaware Chancery Court interpretation of a change of control repurchase requirement with a continuing director provision, a board of directors may approve a slate of shareholder-nominated directors without endorsing them or while simultaneously recommending and endorsing its own slate instead. The foregoing interpretation would permit Spectrum Brands’ Board of Directors to approve a slate of directors that included a majority of dissident directors nominated pursuant to a proxy contest, and the ultimate election of such directors would not constitute a “Change of Control” under the 2024 notes indenture that would trigger the rights of a holder of 2024 notes to require a repurchase of the 2024 notes pursuant to this covenant.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Suspension of Certain Covenants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If at any time after the Issue Date that (i) the 2024 notes are rated Investment Grade by each of S&amp;P and Moody’s (or, if either (or both) of S&amp;P and Moody’s have been substituted in accordance with the definition of “Rating Agencies,” by each of the then applicable Rating Agencies) and (ii) no Default has occurred and is continuing under the 2024 notes indenture, Spectrum Brands and its Restricted Subsidiaries will not be subject to the covenants in the 2024 notes indenture specifically listed under the following captions in this “Description of 2024 Notes” section of this prospectus (the “Suspended Covenants”):</w:t>
      </w:r>
    </w:p>
    <w:p>
      <w:pPr>
        <w:spacing w:after="0" w:line="188" w:lineRule="exact"/>
        <w:rPr>
          <w:sz w:val="20"/>
          <w:szCs w:val="20"/>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“—Certain Covenants—Incurrence of Indebtedness and Issuance of Preferred Stock”;</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“—Certain Covenants—Restricted Payments”;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“—Certain Covenants—Dividend and Other Payment Restrictions Affecting Restricted Subsidiaries”;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“—Certain Covenants—Transactions with Affiliates”;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“—Certain Covenants—Asset Sales”;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clause (3) under “—Certain Covenants—Merger, Consolidation or Sale of Assets.”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Additionally, during such time as the above referenced covenants are suspended (a “Suspension Period”), Spectrum Brands will not be permitted to designate any Restricted Subsidiary as an Unrestricted Subsidiary.</w:t>
      </w:r>
    </w:p>
    <w:p>
      <w:pPr>
        <w:spacing w:after="0" w:line="170"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In the event that Spectrum Brands and its Restricted Subsidiaries are not subject to the Suspended Covenants for any period of time as a result of the foregoing, and on any subsequent date (the “Reversion Date”) the condition set forth in clause (i) of the first paragraph of this section is no longer satisfied, then Spectrum Brands and its Restricted Subsidiaries will thereafter again be subject to the Suspended Covenant with respect to future events.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each Reversion Date, all Debt incurred during the Suspension Period prior to such Reversion Date will be deemed to be Debt incurred pursuant to clause (b)(2) under “—Incurrence of Indebtedness and Issuance of Preferred Stock.” For purposes of calculating the amount available to be made as Restricted Payments under clause (3) of clause (A) of “—Restricted Payments,” calculations under such covenant shall be made as though such covenant had been in effect since the Issue Date and prior, but not during, the Suspension Period. Accordingly, Restricted Payments made during the Suspension Period will not reduce the amount available to be made as Restricted Payments under the first paragraph of “Restricted Payments.” For purposes of the “Asset Sales” covenant, on the Reversion Date, the amount of unutilized Excess Proceeds will be reset to zero. Notwithstanding that the Suspended Covenants may be reinstated, no Default or Event of Default shall be deemed to have occurred as a result of a failure to comply with the Suspended Covenants during a Suspension Period (or on the Reversion Date after a Suspension Period based solely on events that occurred during the Suspension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can be no assurance that the 2024 notes will ever achieve or maintain a rating of Investment Grade from the Rating Agencies.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Spectrum Brands will not, and will not permit any of its Restricted Subsidiaries to, directly or indirectly:</w:t>
      </w:r>
    </w:p>
    <w:p>
      <w:pPr>
        <w:spacing w:after="0" w:line="225" w:lineRule="exact"/>
        <w:rPr>
          <w:sz w:val="20"/>
          <w:szCs w:val="20"/>
          <w:color w:val="auto"/>
        </w:rPr>
      </w:pPr>
    </w:p>
    <w:p>
      <w:pPr>
        <w:ind w:firstLine="464"/>
        <w:spacing w:after="0" w:line="288" w:lineRule="auto"/>
        <w:tabs>
          <w:tab w:leader="none" w:pos="71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Spectrum Brands’ or any of its Restricted Subsidiaries’ Equity Interests (including, without limitation, any payment in connection with any merger or consolidation involving Spectrum Brands or any of its Restricted Subsidiaries) or to the direct or indirect holders of Spectrum Brands’ or any of its Restricted Subsidiaries’ Equity Interests in their capacity as such (other than</w:t>
      </w:r>
    </w:p>
    <w:p>
      <w:pPr>
        <w:ind w:right="240" w:firstLine="8"/>
        <w:spacing w:after="0" w:line="253" w:lineRule="auto"/>
        <w:tabs>
          <w:tab w:leader="none" w:pos="2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dividends, payments or distributions payable in Equity Interests (other than Disqualified Stock) of Spectrum Brands or to Spectrum Brands or a Restricted Subsidiary of Spectrum Brands; and (B) dividends, payments or distributions by a Restricted Subsidiary so long as, in the case of any dividends, payments or distributions payable on or in respect of any class or series of securities issued by a Restricted Subsidiary that is not Wholly Owned, Spectrum Brands or a Restricted Subsidiary receives at least its pro rata share of such dividends, payments or distributions in accordance with its Equity Interests in such class or series of securities);</w:t>
      </w:r>
    </w:p>
    <w:p>
      <w:pPr>
        <w:spacing w:after="0" w:line="191" w:lineRule="exact"/>
        <w:rPr>
          <w:rFonts w:ascii="Arial" w:cs="Arial" w:eastAsia="Arial" w:hAnsi="Arial"/>
          <w:sz w:val="18"/>
          <w:szCs w:val="18"/>
          <w:color w:val="auto"/>
        </w:rPr>
      </w:pPr>
    </w:p>
    <w:p>
      <w:pPr>
        <w:ind w:right="220" w:firstLine="464"/>
        <w:spacing w:after="0" w:line="308" w:lineRule="auto"/>
        <w:tabs>
          <w:tab w:leader="none" w:pos="71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purchase, redeem or otherwise acquire or retire for value (including, without limitation, in connection with any merger or consolidation involving Spectrum Brands) any Equity Interests of Spectrum Brands or any direct or indirect parent of Spectrum Brands, including Holdings;</w:t>
      </w:r>
    </w:p>
    <w:p>
      <w:pPr>
        <w:spacing w:after="0" w:line="146" w:lineRule="exact"/>
        <w:rPr>
          <w:rFonts w:ascii="Arial" w:cs="Arial" w:eastAsia="Arial" w:hAnsi="Arial"/>
          <w:sz w:val="17"/>
          <w:szCs w:val="17"/>
          <w:color w:val="auto"/>
        </w:rPr>
      </w:pPr>
    </w:p>
    <w:p>
      <w:pPr>
        <w:ind w:right="60" w:firstLine="464"/>
        <w:spacing w:after="0" w:line="257" w:lineRule="auto"/>
        <w:tabs>
          <w:tab w:leader="none" w:pos="71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make any payment on or with respect to, or purchase, redeem, defease or otherwise acquire or retire for value any Indebtedness that is contractually subordinated in right of payment to the 2024 notes or the Note Guarantees, except (a) payments of interest on or after Stated Maturity thereof, (b) payments, purchases, redemptions, defeasances or other acquisitions or retirements for value of principal on or after the date that is one year prior to the Stated Maturity thereof or (c) payments on Indebtedness permitted to be incurred pursuant to clause (6) of the covenant described below under the caption “—Incurrence of Indebtedness and Issuance of Preferred Stock,”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make any Restricted Investment.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such payments and other actions set forth in clauses (1) through (4) above being collectively referred to as “Restricted Payments”), unless, at the time of and after giving effect to such Restricted Payment:</w:t>
      </w:r>
    </w:p>
    <w:p>
      <w:pPr>
        <w:spacing w:after="0" w:line="170" w:lineRule="exact"/>
        <w:rPr>
          <w:sz w:val="20"/>
          <w:szCs w:val="20"/>
          <w:color w:val="auto"/>
        </w:rPr>
      </w:pPr>
    </w:p>
    <w:p>
      <w:pPr>
        <w:ind w:left="720" w:hanging="256"/>
        <w:spacing w:after="0"/>
        <w:tabs>
          <w:tab w:leader="none" w:pos="7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 and</w:t>
      </w:r>
    </w:p>
    <w:p>
      <w:pPr>
        <w:spacing w:after="0" w:line="225" w:lineRule="exact"/>
        <w:rPr>
          <w:rFonts w:ascii="Arial" w:cs="Arial" w:eastAsia="Arial" w:hAnsi="Arial"/>
          <w:sz w:val="18"/>
          <w:szCs w:val="18"/>
          <w:color w:val="auto"/>
        </w:rPr>
      </w:pPr>
    </w:p>
    <w:p>
      <w:pPr>
        <w:ind w:right="100" w:firstLine="464"/>
        <w:spacing w:after="0" w:line="259" w:lineRule="auto"/>
        <w:tabs>
          <w:tab w:leader="none" w:pos="71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Spectrum Brands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186" w:lineRule="exact"/>
        <w:rPr>
          <w:rFonts w:ascii="Arial" w:cs="Arial" w:eastAsia="Arial" w:hAnsi="Arial"/>
          <w:sz w:val="18"/>
          <w:szCs w:val="18"/>
          <w:color w:val="auto"/>
        </w:rPr>
      </w:pPr>
    </w:p>
    <w:p>
      <w:pPr>
        <w:ind w:right="120" w:firstLine="464"/>
        <w:spacing w:after="0" w:line="259" w:lineRule="auto"/>
        <w:tabs>
          <w:tab w:leader="none" w:pos="71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Spectrum Brands and its Restricted Subsidiaries after the Issue Date (excluding Restricted Payments permitted by clauses (2), (3), (4) (to the extent such dividends are paid to Spectrum Brands or any of its Restricted Subsidiaries) and (5), (6), (8), (9)(i), (ii) or (iv), (10), (11), (12) and (13) of the next succeeding paragraph (B)), is less than the sum, without duplication, of:</w:t>
      </w:r>
    </w:p>
    <w:p>
      <w:pPr>
        <w:spacing w:after="0" w:line="78" w:lineRule="exact"/>
        <w:rPr>
          <w:rFonts w:ascii="Arial" w:cs="Arial" w:eastAsia="Arial" w:hAnsi="Arial"/>
          <w:sz w:val="18"/>
          <w:szCs w:val="18"/>
          <w:color w:val="auto"/>
        </w:rPr>
      </w:pPr>
    </w:p>
    <w:p>
      <w:pPr>
        <w:jc w:val="both"/>
        <w:ind w:left="460" w:right="60" w:firstLine="443"/>
        <w:spacing w:after="0" w:line="264" w:lineRule="auto"/>
        <w:tabs>
          <w:tab w:leader="none" w:pos="114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Spectrum Brands for the period (taken as one accounting period) from October 1, 2014 to the end of Spectrum Brands’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73" w:lineRule="exact"/>
        <w:rPr>
          <w:rFonts w:ascii="Arial" w:cs="Arial" w:eastAsia="Arial" w:hAnsi="Arial"/>
          <w:sz w:val="18"/>
          <w:szCs w:val="18"/>
          <w:color w:val="auto"/>
        </w:rPr>
      </w:pPr>
    </w:p>
    <w:p>
      <w:pPr>
        <w:ind w:left="460" w:firstLine="443"/>
        <w:spacing w:after="0" w:line="257" w:lineRule="auto"/>
        <w:tabs>
          <w:tab w:leader="none" w:pos="115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100% of the aggregate net cash proceeds (and fair market value of marketable securities or other property) received by Spectrum Brands after the Issue Date as a contribution to its common equity capital or from the issue or sale of Equity Interests (other than Disqualified Stock) of Spectrum Brands or from the issue or sale of convertible or exchangeable Disqualified Stock or convertible or exchangeable debt securities of Spectrum Brands that have been converted into or exchanged for such Equity Interests (other than Equity Interests (or Disqualified Stock or debt securities) sold to a Subsidiary of Spectrum Brands); </w:t>
      </w:r>
      <w:r>
        <w:rPr>
          <w:rFonts w:ascii="Arial" w:cs="Arial" w:eastAsia="Arial" w:hAnsi="Arial"/>
          <w:sz w:val="18"/>
          <w:szCs w:val="18"/>
          <w:i w:val="1"/>
          <w:iCs w:val="1"/>
          <w:color w:val="auto"/>
        </w:rPr>
        <w:t>plus</w:t>
      </w:r>
    </w:p>
    <w:p>
      <w:pPr>
        <w:spacing w:after="0" w:line="80" w:lineRule="exact"/>
        <w:rPr>
          <w:rFonts w:ascii="Arial" w:cs="Arial" w:eastAsia="Arial" w:hAnsi="Arial"/>
          <w:sz w:val="18"/>
          <w:szCs w:val="18"/>
          <w:color w:val="auto"/>
        </w:rPr>
      </w:pPr>
    </w:p>
    <w:p>
      <w:pPr>
        <w:ind w:left="460" w:right="60" w:firstLine="443"/>
        <w:spacing w:after="0" w:line="272" w:lineRule="auto"/>
        <w:tabs>
          <w:tab w:leader="none" w:pos="1143"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with respect to Restricted Investments made by Spectrum Brands and its Restricted Subsidiaries after the Issue Date, an amount equal to the net reduction in Investments (other than reductions in Permitted Investments) in any Person resulting from repayments of loans or advances, or other transfers of assets, in each case to Spectrum Brands or any Restricted Subsidiary or from the net cash proceeds from the sale of any such Investment (except, in each case, to the extent any such payment or proceeds are included in the calculation of Consolidated Net Income) from the release of any Guarantee (except to the extent any amounts are paid under such Guarantee) or from redesignations of Unrestricted Subsidiaries as Restricted Subsidiaries, not to exceed, in each case, the amount of Investments previously made by Spectrum Brands or any Restricted Subsidiary in such Person or Unrestricted Subsidiary; </w:t>
      </w:r>
      <w:r>
        <w:rPr>
          <w:rFonts w:ascii="Arial" w:cs="Arial" w:eastAsia="Arial" w:hAnsi="Arial"/>
          <w:sz w:val="17"/>
          <w:szCs w:val="17"/>
          <w:i w:val="1"/>
          <w:iCs w:val="1"/>
          <w:color w:val="auto"/>
        </w:rPr>
        <w:t>plus</w:t>
      </w:r>
    </w:p>
    <w:p>
      <w:pPr>
        <w:spacing w:after="0" w:line="69" w:lineRule="exact"/>
        <w:rPr>
          <w:rFonts w:ascii="Arial" w:cs="Arial" w:eastAsia="Arial" w:hAnsi="Arial"/>
          <w:sz w:val="17"/>
          <w:szCs w:val="17"/>
          <w:color w:val="auto"/>
        </w:rPr>
      </w:pPr>
    </w:p>
    <w:p>
      <w:pPr>
        <w:ind w:left="1160" w:hanging="257"/>
        <w:spacing w:after="0"/>
        <w:tabs>
          <w:tab w:leader="none" w:pos="11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$350.0 million.</w:t>
      </w:r>
    </w:p>
    <w:p>
      <w:pPr>
        <w:spacing w:after="0" w:line="225" w:lineRule="exact"/>
        <w:rPr>
          <w:sz w:val="20"/>
          <w:szCs w:val="20"/>
          <w:color w:val="auto"/>
        </w:rPr>
      </w:pPr>
    </w:p>
    <w:p>
      <w:pPr>
        <w:ind w:right="140" w:firstLine="464"/>
        <w:spacing w:after="0" w:line="277" w:lineRule="auto"/>
        <w:tabs>
          <w:tab w:leader="none" w:pos="74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So long as, in the case of clauses (7) and (8), no Default has occurred and is continuing or would be caused thereby, the preceding provisions will not prohibit:</w:t>
      </w:r>
    </w:p>
    <w:p>
      <w:pPr>
        <w:spacing w:after="0" w:line="170" w:lineRule="exact"/>
        <w:rPr>
          <w:sz w:val="20"/>
          <w:szCs w:val="20"/>
          <w:color w:val="auto"/>
        </w:rPr>
      </w:pPr>
    </w:p>
    <w:p>
      <w:pPr>
        <w:ind w:right="180" w:firstLine="464"/>
        <w:spacing w:after="0" w:line="264" w:lineRule="auto"/>
        <w:tabs>
          <w:tab w:leader="none" w:pos="71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payment of any dividend or distribution or consummation of a redemption within 60 days after the date of declaration thereof or the giving of the redemption notice, as applicable, if at said date of declaration or notice such payment would have complied with the provisions of the 2024 notes indenture;</w:t>
      </w:r>
    </w:p>
    <w:p>
      <w:pPr>
        <w:spacing w:after="0" w:line="181"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redemption, repurchase, retirement, defeasance or other acquisition of any subordinated Indebtedness of Spectrum Brands or any Guarantor or of any Equity Interests (including Disqualified Stock) of Spectrum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 xml:space="preserve">Brands or any Restricted Subsidiary in exchange for, or out of the net cash proceeds of a contribution to the common equity of Spectrum Brands or sale (other than to a Subsidiary of Spectrum Brands) of, Equity Interests of Spectrum Brands or any direct or indirect parent of Spectrum Brands (other than Disqualified Stock) contributed to the equity of Spectrum Brands, in each case, within 60 days of such redemption, repurchase, retirement, defeasance or other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such net cash proceeds that are utilized for any such redemption, repurchase, retirement, defeasance or other acquisition shall be excluded from clause (3)(b) of the preceding paragraph (A);</w:t>
      </w:r>
    </w:p>
    <w:p>
      <w:pPr>
        <w:spacing w:after="0" w:line="173" w:lineRule="exact"/>
        <w:rPr>
          <w:sz w:val="20"/>
          <w:szCs w:val="20"/>
          <w:color w:val="auto"/>
        </w:rPr>
      </w:pPr>
    </w:p>
    <w:p>
      <w:pPr>
        <w:ind w:right="20" w:firstLine="464"/>
        <w:spacing w:after="0" w:line="277" w:lineRule="auto"/>
        <w:tabs>
          <w:tab w:leader="none" w:pos="71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defeasance, repayment, redemption, repurchase or other acquisition of subordinated Indebtedness of Spectrum Brands or any Guarantor with the net cash proceeds from an incurrence of Permitted Refinancing Indebtedness;</w:t>
      </w:r>
    </w:p>
    <w:p>
      <w:pPr>
        <w:spacing w:after="0" w:line="170" w:lineRule="exact"/>
        <w:rPr>
          <w:rFonts w:ascii="Arial" w:cs="Arial" w:eastAsia="Arial" w:hAnsi="Arial"/>
          <w:sz w:val="18"/>
          <w:szCs w:val="18"/>
          <w:color w:val="auto"/>
        </w:rPr>
      </w:pPr>
    </w:p>
    <w:p>
      <w:pPr>
        <w:ind w:right="220" w:firstLine="464"/>
        <w:spacing w:after="0" w:line="277" w:lineRule="auto"/>
        <w:tabs>
          <w:tab w:leader="none" w:pos="71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the payment of any dividend or distribution by a Restricted Subsidiary of Spectrum Brands to the holders of its common Equity Interests on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basis;</w:t>
      </w:r>
    </w:p>
    <w:p>
      <w:pPr>
        <w:spacing w:after="0" w:line="170" w:lineRule="exact"/>
        <w:rPr>
          <w:rFonts w:ascii="Arial" w:cs="Arial" w:eastAsia="Arial" w:hAnsi="Arial"/>
          <w:sz w:val="18"/>
          <w:szCs w:val="18"/>
          <w:color w:val="auto"/>
        </w:rPr>
      </w:pPr>
    </w:p>
    <w:p>
      <w:pPr>
        <w:ind w:right="240" w:firstLine="464"/>
        <w:spacing w:after="0" w:line="259" w:lineRule="auto"/>
        <w:tabs>
          <w:tab w:leader="none" w:pos="71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Investments acquired as a capital contribution to, or in exchange for, or out of the net cash proceeds of an offering of, Equity Interests (other than Disqualified Stock) of Spectrum Brands or other contributions to the common equity capital of Spectrum Brands, in each case within 60 days of the acquisition of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such net cash proceeds that are utilized for any such acquisition or exchange shall be excluded from clause (3)(b) of the preceding paragraph (A);</w:t>
      </w:r>
    </w:p>
    <w:p>
      <w:pPr>
        <w:spacing w:after="0" w:line="186" w:lineRule="exact"/>
        <w:rPr>
          <w:rFonts w:ascii="Arial" w:cs="Arial" w:eastAsia="Arial" w:hAnsi="Arial"/>
          <w:sz w:val="18"/>
          <w:szCs w:val="18"/>
          <w:color w:val="auto"/>
        </w:rPr>
      </w:pPr>
    </w:p>
    <w:p>
      <w:pPr>
        <w:ind w:right="400" w:firstLine="464"/>
        <w:spacing w:after="0" w:line="264" w:lineRule="auto"/>
        <w:tabs>
          <w:tab w:leader="none" w:pos="71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repurchase of Capital Stock deemed to occur upon the exercise of options, warrants or other convertible or exchangeable securities or the vesting of restricted stock, restricted stock units or similar instruments if such Capital Stock represents fractional shares or all or a portion of the exercise price thereof or withholding taxes payable in connection with the exercise thereof;</w:t>
      </w:r>
    </w:p>
    <w:p>
      <w:pPr>
        <w:spacing w:after="0" w:line="181" w:lineRule="exact"/>
        <w:rPr>
          <w:rFonts w:ascii="Arial" w:cs="Arial" w:eastAsia="Arial" w:hAnsi="Arial"/>
          <w:sz w:val="18"/>
          <w:szCs w:val="18"/>
          <w:color w:val="auto"/>
        </w:rPr>
      </w:pPr>
    </w:p>
    <w:p>
      <w:pPr>
        <w:ind w:right="100" w:firstLine="464"/>
        <w:spacing w:after="0" w:line="284" w:lineRule="auto"/>
        <w:tabs>
          <w:tab w:leader="none" w:pos="711"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(or payments to Holdings to fund any such repurchase, redemption or other acquisition of value) any Equity Interests of Holdings (or any direct or indirect parent of Holdings) or Spectrum Brands held by any employee, former employee, director or former director of Spectrum Brands (or any of its Restricted Subsidiaries) or Holdings (or any direct or indirect parent of Holdings) or any permitted transferee of any of the foregoing pursuant to the terms of any employee equity subscription agreement, stock option agreement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price paid for all such repurchased, redeemed, acquired or retired Equity Interests in any fiscal year, and any payment by Spectrum Brands to Holdings to enable Holdings (or any direct or indirect parent of Holdings) to make such payments, shall not exceed the sum of</w:t>
      </w:r>
    </w:p>
    <w:p>
      <w:pPr>
        <w:spacing w:after="0" w:line="4" w:lineRule="exact"/>
        <w:rPr>
          <w:rFonts w:ascii="Arial" w:cs="Arial" w:eastAsia="Arial" w:hAnsi="Arial"/>
          <w:sz w:val="16"/>
          <w:szCs w:val="16"/>
          <w:color w:val="auto"/>
        </w:rPr>
      </w:pPr>
    </w:p>
    <w:p>
      <w:pPr>
        <w:ind w:right="40" w:firstLine="8"/>
        <w:spacing w:after="0" w:line="255" w:lineRule="auto"/>
        <w:tabs>
          <w:tab w:leader="none" w:pos="2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$5.0 million and (y) the amount of Restricted Payments permitted but not made pursuant to this clause (7) in prior fiscal years;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$10.0 million may be carried forward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in any calendar year may be increased by an amount not to exceed:</w:t>
      </w:r>
    </w:p>
    <w:p>
      <w:pPr>
        <w:spacing w:after="0" w:line="82" w:lineRule="exact"/>
        <w:rPr>
          <w:rFonts w:ascii="Arial" w:cs="Arial" w:eastAsia="Arial" w:hAnsi="Arial"/>
          <w:sz w:val="18"/>
          <w:szCs w:val="18"/>
          <w:color w:val="auto"/>
        </w:rPr>
      </w:pPr>
    </w:p>
    <w:p>
      <w:pPr>
        <w:ind w:left="460" w:firstLine="443"/>
        <w:spacing w:after="0" w:line="297" w:lineRule="auto"/>
        <w:tabs>
          <w:tab w:leader="none" w:pos="1143" w:val="left"/>
        </w:tabs>
        <w:numPr>
          <w:ilvl w:val="2"/>
          <w:numId w:val="197"/>
        </w:numPr>
        <w:rPr>
          <w:rFonts w:ascii="Arial" w:cs="Arial" w:eastAsia="Arial" w:hAnsi="Arial"/>
          <w:sz w:val="16"/>
          <w:szCs w:val="16"/>
          <w:color w:val="auto"/>
        </w:rPr>
      </w:pPr>
      <w:r>
        <w:rPr>
          <w:rFonts w:ascii="Arial" w:cs="Arial" w:eastAsia="Arial" w:hAnsi="Arial"/>
          <w:sz w:val="16"/>
          <w:szCs w:val="16"/>
          <w:color w:val="auto"/>
        </w:rPr>
        <w:t>the cash proceeds received by Spectrum Brands or any of its Restricted Subsidiaries from the sale of Equity Interests (other than Disqualified Stock) of Spectrum Brands or any direct or indirect parent of Spectrum Brands (to the extent contributed to Spectrum Brands) to members of management, directors, employees or consultants of Spectrum Brands, its Restricted Subsidiaries or any direct or indirect parent of Spectrum Brands that occurs after the Issue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cash proceeds utilized for any such repurchase, redemption or other acquisition or dividend will not increase the amount available for Restricted Payments under clause (3)(b) of the preceding paragraph (A)); </w:t>
      </w:r>
      <w:r>
        <w:rPr>
          <w:rFonts w:ascii="Arial" w:cs="Arial" w:eastAsia="Arial" w:hAnsi="Arial"/>
          <w:sz w:val="16"/>
          <w:szCs w:val="16"/>
          <w:i w:val="1"/>
          <w:iCs w:val="1"/>
          <w:color w:val="auto"/>
        </w:rPr>
        <w:t>plus</w:t>
      </w:r>
    </w:p>
    <w:p>
      <w:pPr>
        <w:spacing w:after="0" w:line="50" w:lineRule="exact"/>
        <w:rPr>
          <w:rFonts w:ascii="Arial" w:cs="Arial" w:eastAsia="Arial" w:hAnsi="Arial"/>
          <w:sz w:val="16"/>
          <w:szCs w:val="16"/>
          <w:color w:val="auto"/>
        </w:rPr>
      </w:pPr>
    </w:p>
    <w:p>
      <w:pPr>
        <w:ind w:left="460" w:right="120" w:firstLine="443"/>
        <w:spacing w:after="0" w:line="277" w:lineRule="auto"/>
        <w:tabs>
          <w:tab w:leader="none" w:pos="1153"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cash proceeds of key man life insurance policies received by Spectrum Brands or any direct or indirect parent of Spectrum Brands (to the extent contributed to Spectrum Brands) or the Restricted Subsidiaries after the Issue Date;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cancellation of Indebtedness owing to Spectrum Brands or any Restricted Subsidiary from any present or former employees, directors, officers or consultants of Spectrum Brands, any Restricted Subsidiary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direct or indirect parents of Spectrum Brands in connection with a repurchase of Equity Interests of Spectrum Brands or any of its direct or indirect parents will not be deemed to constitute a Restricted Payment for purposes of this covenant or any other provision of the 2024 notes indenture;</w:t>
      </w:r>
    </w:p>
    <w:p>
      <w:pPr>
        <w:spacing w:after="0" w:line="124" w:lineRule="exact"/>
        <w:rPr>
          <w:sz w:val="20"/>
          <w:szCs w:val="20"/>
          <w:color w:val="auto"/>
        </w:rPr>
      </w:pPr>
    </w:p>
    <w:p>
      <w:pPr>
        <w:ind w:right="120" w:firstLine="464"/>
        <w:spacing w:after="0" w:line="259" w:lineRule="auto"/>
        <w:tabs>
          <w:tab w:leader="none" w:pos="71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payment, repurchase, redemption, defeasance or other acquisition or retirement for value of any subordinated Indebtedness required in accordance with provisions applicable thereto similar to those described under the “</w:t>
      </w:r>
      <w:r>
        <w:rPr>
          <w:rFonts w:ascii="Arial" w:cs="Arial" w:eastAsia="Arial" w:hAnsi="Arial"/>
          <w:sz w:val="18"/>
          <w:szCs w:val="18"/>
          <w:i w:val="1"/>
          <w:iCs w:val="1"/>
          <w:color w:val="auto"/>
        </w:rPr>
        <w:t>Asset Sales</w:t>
      </w:r>
      <w:r>
        <w:rPr>
          <w:rFonts w:ascii="Arial" w:cs="Arial" w:eastAsia="Arial" w:hAnsi="Arial"/>
          <w:sz w:val="18"/>
          <w:szCs w:val="18"/>
          <w:color w:val="auto"/>
        </w:rPr>
        <w:t>” and “</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covenants;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2024 notes tendered by Holders in connection with a Change of Control Offer or Asset Sale Offer, as applicable, have been repurchased, redeemed or acquired for value;</w:t>
      </w:r>
    </w:p>
    <w:p>
      <w:pPr>
        <w:spacing w:after="0" w:line="186" w:lineRule="exact"/>
        <w:rPr>
          <w:rFonts w:ascii="Arial" w:cs="Arial" w:eastAsia="Arial" w:hAnsi="Arial"/>
          <w:sz w:val="18"/>
          <w:szCs w:val="18"/>
          <w:color w:val="auto"/>
        </w:rPr>
      </w:pPr>
    </w:p>
    <w:p>
      <w:pPr>
        <w:ind w:right="580" w:firstLine="464"/>
        <w:spacing w:after="0" w:line="291" w:lineRule="auto"/>
        <w:tabs>
          <w:tab w:leader="none" w:pos="71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payments made to Holdings (i) to allow Holdings (or any direct or indirect parent of Holdings) to pay administrative expenses and corporate overhead, franchise fees, public company costs (including SEC and auditing fees) and customary director fees in an aggregate amount not to exceed</w:t>
      </w:r>
    </w:p>
    <w:p>
      <w:pPr>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$5.0 million in any calendar year; (ii) to allow Holdings to pay premiums and deductibles in respect of directors and officers insurance policies and umbrella excess insurance policies obtained from third-party insurers and indemnities for the benefit of its directors, officers and employees, (iii) to allow Holdings or such other parent of Spectrum Brands to pay reasonable fees and expenses incurred in connection with any unsuccessful debt or equity offering or any unsuccessful acquisition or strategic transaction by such direct or indirect parent company of Spectrum Brands and (iv) to allow Holdings (or any direct or indirect parent of Holdings) to pay income taxes attributable to Spectrum Brands and its Subsidiaries in an amount not to exceed the amount of such taxes that would be payable by Spectrum Brands and its Subsidiaries on a stand-alone basis (if Spectrum Brands were a corporation and parent of a consolidated group including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payments pursuant to this clause (iv) in any period not otherwise deducted in calculating Consolidated Net Income shall be deducted in calculating Consolidated Net Income for such period (and shall be deemed to be a provision for taxes for purposes of calculating Consolidated Cash Flow for such period);</w:t>
      </w:r>
    </w:p>
    <w:p>
      <w:pPr>
        <w:spacing w:after="0" w:line="182" w:lineRule="exact"/>
        <w:rPr>
          <w:rFonts w:ascii="Arial" w:cs="Arial" w:eastAsia="Arial" w:hAnsi="Arial"/>
          <w:sz w:val="16"/>
          <w:szCs w:val="16"/>
          <w:color w:val="auto"/>
        </w:rPr>
      </w:pPr>
    </w:p>
    <w:p>
      <w:pPr>
        <w:ind w:left="800" w:hanging="336"/>
        <w:spacing w:after="0"/>
        <w:tabs>
          <w:tab w:leader="none" w:pos="8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Restricted Payments not otherwise permitted hereby in an aggregate amount not to exceed the greater of 17.5% of Consolidated Cash Flow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$120.0 million;</w:t>
      </w:r>
    </w:p>
    <w:p>
      <w:pPr>
        <w:spacing w:after="0" w:line="211" w:lineRule="exact"/>
        <w:rPr>
          <w:sz w:val="20"/>
          <w:szCs w:val="20"/>
          <w:color w:val="auto"/>
        </w:rPr>
      </w:pPr>
    </w:p>
    <w:p>
      <w:pPr>
        <w:ind w:right="60" w:firstLine="464"/>
        <w:spacing w:after="0" w:line="284" w:lineRule="auto"/>
        <w:tabs>
          <w:tab w:leader="none" w:pos="79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 the declaration and payment of dividends to holders of any class or series of Disqualified Stock of Spectrum Brands or any Restricted Subsidiary or preferred stock of any Restricted Subsidiary issued in accordance with the covenant described under “—</w:t>
      </w:r>
      <w:r>
        <w:rPr>
          <w:rFonts w:ascii="Arial" w:cs="Arial" w:eastAsia="Arial" w:hAnsi="Arial"/>
          <w:sz w:val="16"/>
          <w:szCs w:val="16"/>
          <w:i w:val="1"/>
          <w:iCs w:val="1"/>
          <w:color w:val="auto"/>
        </w:rPr>
        <w:t>Incurrence of Indebtedness and</w:t>
      </w:r>
      <w:r>
        <w:rPr>
          <w:rFonts w:ascii="Arial" w:cs="Arial" w:eastAsia="Arial" w:hAnsi="Arial"/>
          <w:sz w:val="16"/>
          <w:szCs w:val="16"/>
          <w:color w:val="auto"/>
        </w:rPr>
        <w:t xml:space="preserve"> </w:t>
      </w:r>
      <w:r>
        <w:rPr>
          <w:rFonts w:ascii="Arial" w:cs="Arial" w:eastAsia="Arial" w:hAnsi="Arial"/>
          <w:sz w:val="16"/>
          <w:szCs w:val="16"/>
          <w:i w:val="1"/>
          <w:iCs w:val="1"/>
          <w:color w:val="auto"/>
        </w:rPr>
        <w:t>Issuance of Preferred Stock</w:t>
      </w:r>
      <w:r>
        <w:rPr>
          <w:rFonts w:ascii="Arial" w:cs="Arial" w:eastAsia="Arial" w:hAnsi="Arial"/>
          <w:sz w:val="16"/>
          <w:szCs w:val="16"/>
          <w:color w:val="auto"/>
        </w:rPr>
        <w:t>” to the extent such dividends are included in the definition of Fixed Charges and payment of any redemption price or liquidation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value of any such Disqualified Stock or preferred stock when due at final maturity in accordance with its terms and (B) the declaration and payment of dividends to a direct or indirect parent company of Spectrum Brands, the proceeds of which will be used to fund the payment of dividends to holders of any class or series of preferred stock (other than Disqualified Stock) of such parent company issued after the Issue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dividends paid pursuant to this clause (B) shall not exceed the aggregate amount of cash actually contributed to Spectrum Brands from the sale of such preferred stock and (ii) the amount of cash used to make any payments pursuant to this clause (B) shall be excluded from calculations pursuant to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of the first paragraph above and shall not be used for the purpose of any other Restricted Payment;</w:t>
      </w:r>
    </w:p>
    <w:p>
      <w:pPr>
        <w:spacing w:after="0" w:line="210" w:lineRule="exact"/>
        <w:rPr>
          <w:rFonts w:ascii="Arial" w:cs="Arial" w:eastAsia="Arial" w:hAnsi="Arial"/>
          <w:sz w:val="18"/>
          <w:szCs w:val="18"/>
          <w:color w:val="auto"/>
        </w:rPr>
      </w:pPr>
    </w:p>
    <w:p>
      <w:pPr>
        <w:ind w:left="800" w:hanging="336"/>
        <w:spacing w:after="0"/>
        <w:tabs>
          <w:tab w:leader="none" w:pos="8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Restricted Payments used to fund the Transactions and the fees and expenses related thereto, including those owed to Affiliates;</w:t>
      </w:r>
    </w:p>
    <w:p>
      <w:pPr>
        <w:spacing w:after="0" w:line="225" w:lineRule="exact"/>
        <w:rPr>
          <w:rFonts w:ascii="Arial" w:cs="Arial" w:eastAsia="Arial" w:hAnsi="Arial"/>
          <w:sz w:val="18"/>
          <w:szCs w:val="18"/>
          <w:color w:val="auto"/>
        </w:rPr>
      </w:pPr>
    </w:p>
    <w:p>
      <w:pPr>
        <w:ind w:right="20" w:firstLine="464"/>
        <w:spacing w:after="0" w:line="264" w:lineRule="auto"/>
        <w:tabs>
          <w:tab w:leader="none" w:pos="80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“deemed dividend” resulting under the tax laws from, or in connection with, the filing of a consolidated or combined tax return by Holdings or any direct or indirect parent of Spectrum Brands (and not involving any cash distribution from Spectrum Brands or any Restricted Subsidiary except as permitted by clause (9)(iv) above); and</w:t>
      </w:r>
    </w:p>
    <w:p>
      <w:pPr>
        <w:spacing w:after="0" w:line="181" w:lineRule="exact"/>
        <w:rPr>
          <w:rFonts w:ascii="Arial" w:cs="Arial" w:eastAsia="Arial" w:hAnsi="Arial"/>
          <w:sz w:val="18"/>
          <w:szCs w:val="18"/>
          <w:color w:val="auto"/>
        </w:rPr>
      </w:pPr>
    </w:p>
    <w:p>
      <w:pPr>
        <w:ind w:right="160" w:firstLine="464"/>
        <w:spacing w:after="0" w:line="277" w:lineRule="auto"/>
        <w:tabs>
          <w:tab w:leader="none" w:pos="80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payment of dividends to Holdings to fund a payment of dividends on Holdings’ common stock (or the common stock of any direct or indirect parent of Holdings) of up to 6% per annum of the net cash proceeds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received by or contributed to Spectrum Brands as a contribution to equity in or from any public offering of common stock of Holdings (or the common stock of any direct or indirect parent of Holdings) other than public offerings registered on Form S-4 or Form S-8 (or their successor or equivalent forms).</w:t>
      </w:r>
    </w:p>
    <w:p>
      <w:pPr>
        <w:spacing w:after="0" w:line="124"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amount of all Restricted Payments (other than cash) shall be the fair market value on the date of the Restricted Payment of the asset(s) or securities proposed to be transferred or issued to or by Spectrum Brands or such Subsidiary, as the case may be, pursuant to the Restricted Payment. The fair market value of any assets or securities in excess of $10.0 million that are required to be valued by this covenant shall be determined by the Board of Directors.</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For purposes of determining compliance with this covenant, in the event that a proposed Restricted Payment (or portion thereof) meets the criteria of more than one of the categories of Restricted Payments described in clauses (1) through (14) above, or is entitled to be incurred pursuant to the first paragraph of this covenant, Spectrum Brands will be entitled to divide, classify or re-classify (based on circumstances existing on the date of such reclassification) such restricted payment or portion thereof in any manner that complies with this covenant and such Restricted Payment will be treated as having been made pursuant to only such clause or clauses or the first paragraph of this covenant.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117" w:lineRule="exact"/>
        <w:rPr>
          <w:sz w:val="20"/>
          <w:szCs w:val="20"/>
          <w:color w:val="auto"/>
        </w:rPr>
      </w:pPr>
    </w:p>
    <w:p>
      <w:pPr>
        <w:ind w:right="20" w:firstLine="464"/>
        <w:spacing w:after="0" w:line="287" w:lineRule="auto"/>
        <w:tabs>
          <w:tab w:leader="none" w:pos="70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Spectrum Brands will not, and will not permit any of its Restricted Subsidiaries to, directly or indirectly, incur any Indebtedness (including Acquired Debt), and Spectrum Brands will not permit any of its Restricted Subsidiaries to issue any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Spectrum Brands or any Restricted Subsidiaries may incur Indebtedness, if the Fixed Charge Coverage Ratio for Spectrum Brands’ most recently ended four full fiscal quarters for which internal financial statements are available immediately preceding the date on which such additional Indebtedness is incurred would have been at least 2.0 to 1.0,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application of the net proceeds therefrom), as if the additional Indebtedness had been incurred at the beginning of such four-quarter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Restricted Subsidiary that is not a Guarantor may not incur Indebtedness or issue shares of Disqualified Stock or Preferred Stock in a principal amount (or accreted value, as applicable) that, when aggregated with the principal amount (or accreted value, as applicable) of all Indebtedness then outstanding and incurred by such non-Guarantor Restricted Subsidiaries under this clause (a), together with all Permitted Refinancing Indebtedness incurred to refund, refinance or replace any such Indebtedness, exceeds the greater of $300 million and 50% of the Consolidated Cash Flows of Spectrum Brands for the most recently ended four full fiscal quarters for which internal financial statements are available immediately preceding such date on which such additional Indebtedness is incurred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(including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application of the net proceeds therefrom) as if such indebtedness had been incurred at the beginning of such four fiscal quarters.</w:t>
      </w:r>
    </w:p>
    <w:p>
      <w:pPr>
        <w:spacing w:after="0" w:line="168" w:lineRule="exact"/>
        <w:rPr>
          <w:rFonts w:ascii="Arial" w:cs="Arial" w:eastAsia="Arial" w:hAnsi="Arial"/>
          <w:sz w:val="16"/>
          <w:szCs w:val="16"/>
          <w:color w:val="auto"/>
        </w:rPr>
      </w:pPr>
    </w:p>
    <w:p>
      <w:pPr>
        <w:ind w:left="720" w:hanging="256"/>
        <w:spacing w:after="0"/>
        <w:tabs>
          <w:tab w:leader="none" w:pos="72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Paragraph (a) of this covenant will not prohibit the incurrence of any of the following items of Indebtedness (collectively, “Permitted Debt”):</w:t>
      </w:r>
    </w:p>
    <w:p>
      <w:pPr>
        <w:spacing w:after="0" w:line="237" w:lineRule="exact"/>
        <w:rPr>
          <w:sz w:val="20"/>
          <w:szCs w:val="20"/>
          <w:color w:val="auto"/>
        </w:rPr>
      </w:pPr>
    </w:p>
    <w:p>
      <w:pPr>
        <w:ind w:right="160" w:firstLine="464"/>
        <w:spacing w:after="0" w:line="286" w:lineRule="auto"/>
        <w:tabs>
          <w:tab w:leader="none" w:pos="711"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incurrence by Spectrum Brands or any Restricted Subsidiaries of Indebtedness (including Indebtedness under the Revolving Credit Agreement and the Term Loan Agreement) under Credit Facilities (and the incurrence of Guarantees thereof) in an aggregate principal amount at any one time outstanding pursuant to this clause (1) (with letters of credit being deemed to have a principal amount equal to the maximum potential liability of Spectrum Brands and its Restricted Subsidiaries thereunder) not to exceed the sum of (A) the greater of $700 million and the Borrowing Base; and (B) the greater of</w:t>
      </w:r>
    </w:p>
    <w:p>
      <w:pPr>
        <w:spacing w:after="0" w:line="1" w:lineRule="exact"/>
        <w:rPr>
          <w:rFonts w:ascii="Arial" w:cs="Arial" w:eastAsia="Arial" w:hAnsi="Arial"/>
          <w:sz w:val="16"/>
          <w:szCs w:val="16"/>
          <w:color w:val="auto"/>
        </w:rPr>
      </w:pPr>
    </w:p>
    <w:p>
      <w:pPr>
        <w:ind w:firstLine="8"/>
        <w:spacing w:after="0" w:line="273" w:lineRule="auto"/>
        <w:tabs>
          <w:tab w:leader="none" w:pos="25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$2,300 million and (y) an amount such that,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after giving effect to the incurrence of such Indebtedness (and application of the net proceeds therefrom), the Secured Leverage Ratio would be no greater than 3.25 to 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Indebtedness incurred under clause (B)(y), whether or not secured, shall be included when calculating the Secured Leverage Ratio for purposes of this clause (B)(y));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aggregate amount of all Net Proceeds of Asset Sales applied by Spectrum Brands or any Restricted Subsidiary to permanently repay any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Indebtedness (and, in the case of any revolving credit Indebtedness, to effect a corresponding commitment reduction thereunder) pursuant to the covenant “— Repurchase at the Option of Holders—Asset Sales”;</w:t>
      </w:r>
    </w:p>
    <w:p>
      <w:pPr>
        <w:spacing w:after="0" w:line="170" w:lineRule="exact"/>
        <w:rPr>
          <w:sz w:val="20"/>
          <w:szCs w:val="20"/>
          <w:color w:val="auto"/>
        </w:rPr>
      </w:pPr>
    </w:p>
    <w:p>
      <w:pPr>
        <w:ind w:left="720" w:hanging="256"/>
        <w:spacing w:after="0"/>
        <w:tabs>
          <w:tab w:leader="none" w:pos="7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incurrence of Existing Indebtedness;</w:t>
      </w:r>
    </w:p>
    <w:p>
      <w:pPr>
        <w:spacing w:after="0" w:line="225" w:lineRule="exact"/>
        <w:rPr>
          <w:rFonts w:ascii="Arial" w:cs="Arial" w:eastAsia="Arial" w:hAnsi="Arial"/>
          <w:sz w:val="18"/>
          <w:szCs w:val="18"/>
          <w:color w:val="auto"/>
        </w:rPr>
      </w:pPr>
    </w:p>
    <w:p>
      <w:pPr>
        <w:ind w:right="340" w:firstLine="464"/>
        <w:spacing w:after="0" w:line="277" w:lineRule="auto"/>
        <w:tabs>
          <w:tab w:leader="none" w:pos="71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incurrence by Spectrum Brands and the Guarantors of Indebtedness represented by the 2024 notes offered hereby (excluding any Additional Notes) and the related Note Guarantees;</w:t>
      </w:r>
    </w:p>
    <w:p>
      <w:pPr>
        <w:spacing w:after="0" w:line="170" w:lineRule="exact"/>
        <w:rPr>
          <w:rFonts w:ascii="Arial" w:cs="Arial" w:eastAsia="Arial" w:hAnsi="Arial"/>
          <w:sz w:val="18"/>
          <w:szCs w:val="18"/>
          <w:color w:val="auto"/>
        </w:rPr>
      </w:pPr>
    </w:p>
    <w:p>
      <w:pPr>
        <w:ind w:right="40" w:firstLine="464"/>
        <w:spacing w:after="0" w:line="284" w:lineRule="auto"/>
        <w:tabs>
          <w:tab w:leader="none" w:pos="711"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incurrence by Spectrum Brands or any Restricted Subsidiary of Spectrum Brands of Indebtedness (including Capital Lease Obligations, mortgage financings or purchase money obligations), incurred for the purpose of financing or reimbursing all or any part of the purchase price or cost of the acquisition, development, construction, purchase, lease, repair, addition or improvement of property (real or personal), plant, equipment or other fixed or capital assets that are used or useful in the Permitted Business, whether through the direct purchase of assets or the purchase of Equity Interests of any Person owning such assets (in each case, incurred within 365 days of such acquisition, development, construction, purchase, lease, repair, addition or improvement), in a principal amount that, when aggregated with the principal amount of all Indebtedness then outstanding under this clause (4), together with all Permitted Refinancing Indebtedness incurred to refund, refinance or replace any such Indebtedness incurred under this clause (4), does not exceed the greater of</w:t>
      </w:r>
    </w:p>
    <w:p>
      <w:pPr>
        <w:spacing w:after="0" w:line="2" w:lineRule="exact"/>
        <w:rPr>
          <w:rFonts w:ascii="Arial" w:cs="Arial" w:eastAsia="Arial" w:hAnsi="Arial"/>
          <w:sz w:val="16"/>
          <w:szCs w:val="16"/>
          <w:color w:val="auto"/>
        </w:rPr>
      </w:pPr>
    </w:p>
    <w:p>
      <w:pPr>
        <w:ind w:firstLine="8"/>
        <w:spacing w:after="0" w:line="255" w:lineRule="auto"/>
        <w:tabs>
          <w:tab w:leader="none" w:pos="24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$200.0 million and (b) 30% of Consolidated Cash Flow of Spectrum Brands for the most recently ended four full fiscal quarters for which internal financial statements are available immediately preceding such date on which such additional Indebtedness is incurred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event occurred at the beginning of such four fiscal quarters;</w:t>
      </w:r>
    </w:p>
    <w:p>
      <w:pPr>
        <w:spacing w:after="0" w:line="190" w:lineRule="exact"/>
        <w:rPr>
          <w:rFonts w:ascii="Arial" w:cs="Arial" w:eastAsia="Arial" w:hAnsi="Arial"/>
          <w:sz w:val="18"/>
          <w:szCs w:val="18"/>
          <w:color w:val="auto"/>
        </w:rPr>
      </w:pPr>
    </w:p>
    <w:p>
      <w:pPr>
        <w:ind w:right="60" w:firstLine="464"/>
        <w:spacing w:after="0" w:line="286" w:lineRule="auto"/>
        <w:tabs>
          <w:tab w:leader="none" w:pos="711" w:val="left"/>
        </w:tabs>
        <w:numPr>
          <w:ilvl w:val="1"/>
          <w:numId w:val="205"/>
        </w:numPr>
        <w:rPr>
          <w:rFonts w:ascii="Arial" w:cs="Arial" w:eastAsia="Arial" w:hAnsi="Arial"/>
          <w:sz w:val="17"/>
          <w:szCs w:val="17"/>
          <w:color w:val="auto"/>
        </w:rPr>
      </w:pPr>
      <w:r>
        <w:rPr>
          <w:rFonts w:ascii="Arial" w:cs="Arial" w:eastAsia="Arial" w:hAnsi="Arial"/>
          <w:sz w:val="17"/>
          <w:szCs w:val="17"/>
          <w:color w:val="auto"/>
        </w:rPr>
        <w:t>the incurrence by Spectrum Brands or any Restricted Subsidiary of Spectrum Brands of Permitted Refinancing Indebtedness in exchange for, or the net proceeds of which are used to refund, refinance or replace Indebtedness (other than intercompany Indebtedness) that was permitted by the 2024 notes indenture to be incurred under the first paragraph of this covenant or clauses (2), (3), (4), (5), (8), (10), (11) or (16) of this paragraph;</w:t>
      </w:r>
    </w:p>
    <w:p>
      <w:pPr>
        <w:spacing w:after="0" w:line="165" w:lineRule="exact"/>
        <w:rPr>
          <w:rFonts w:ascii="Arial" w:cs="Arial" w:eastAsia="Arial" w:hAnsi="Arial"/>
          <w:sz w:val="17"/>
          <w:szCs w:val="17"/>
          <w:color w:val="auto"/>
        </w:rPr>
      </w:pPr>
    </w:p>
    <w:p>
      <w:pPr>
        <w:ind w:right="260" w:firstLine="464"/>
        <w:spacing w:after="0" w:line="277" w:lineRule="auto"/>
        <w:tabs>
          <w:tab w:leader="none" w:pos="71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the incurrence by Spectrum Brands or any of its Restricted Subsidiaries of intercompany Indebtedness owing to and held by Spectrum Brands or any of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jc w:val="both"/>
        <w:ind w:left="460" w:right="20" w:firstLine="443"/>
        <w:spacing w:after="0" w:line="264" w:lineRule="auto"/>
        <w:tabs>
          <w:tab w:leader="none" w:pos="1143"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if Spectrum Brands or any Guarantor is the obligor on such Indebtedness, such Indebtedness must be unsecured and expressly subordinated to the prior payment in full in cash of all Obligations with respect to the 2024 notes, in the case of Spectrum Brands, or the Note Guarantee, in the case of a Guarantor; and</w:t>
      </w:r>
    </w:p>
    <w:p>
      <w:pPr>
        <w:spacing w:after="0" w:line="73" w:lineRule="exact"/>
        <w:rPr>
          <w:rFonts w:ascii="Arial" w:cs="Arial" w:eastAsia="Arial" w:hAnsi="Arial"/>
          <w:sz w:val="18"/>
          <w:szCs w:val="18"/>
          <w:color w:val="auto"/>
        </w:rPr>
      </w:pPr>
    </w:p>
    <w:p>
      <w:pPr>
        <w:ind w:left="460" w:right="40" w:firstLine="443"/>
        <w:spacing w:after="0" w:line="259" w:lineRule="auto"/>
        <w:tabs>
          <w:tab w:leader="none" w:pos="1153"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that results in any such Indebtedness being held by a Person other than Spectrum Brands or a Restricted Subsidiary thereof and (ii) any sale or other transfer of any such Indebtedness to a Person that is not either Spectrum Brands or a Restricted Subsidiary thereof, shall be deemed, in each case, to constitute an incurrence of such Indebtedness by Spectrum Brands or such Restricted Subsidiary, as the case may be, that was not permitted by this clause (6);</w:t>
      </w:r>
    </w:p>
    <w:p>
      <w:pPr>
        <w:spacing w:after="0" w:line="186" w:lineRule="exact"/>
        <w:rPr>
          <w:rFonts w:ascii="Arial" w:cs="Arial" w:eastAsia="Arial" w:hAnsi="Arial"/>
          <w:sz w:val="18"/>
          <w:szCs w:val="18"/>
          <w:color w:val="auto"/>
        </w:rPr>
      </w:pPr>
    </w:p>
    <w:p>
      <w:pPr>
        <w:ind w:right="20" w:firstLine="464"/>
        <w:spacing w:after="0" w:line="277" w:lineRule="auto"/>
        <w:tabs>
          <w:tab w:leader="none" w:pos="71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Guarantee by Spectrum Brands or any Restricted Subsidiary of Indebtedness of Spectrum Brands or a Restricted Subsidiary of Spectrum Brands that was permitted to be incurred by another provision of this covenant;</w:t>
      </w:r>
    </w:p>
    <w:p>
      <w:pPr>
        <w:spacing w:after="0" w:line="170" w:lineRule="exact"/>
        <w:rPr>
          <w:rFonts w:ascii="Arial" w:cs="Arial" w:eastAsia="Arial" w:hAnsi="Arial"/>
          <w:sz w:val="18"/>
          <w:szCs w:val="18"/>
          <w:color w:val="auto"/>
        </w:rPr>
      </w:pPr>
    </w:p>
    <w:p>
      <w:pPr>
        <w:ind w:right="120" w:firstLine="464"/>
        <w:spacing w:after="0" w:line="288" w:lineRule="auto"/>
        <w:tabs>
          <w:tab w:leader="none" w:pos="711"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incurrence by Spectrum Brands or any Restricted Subsidiary of Spectrum Brands of other Indebtedness in a principal amount (or accreted amount as applicable) that, when aggregated with the principal amount of all Indebtedness then outstanding under this clause (8), together with all Permitted Refinancing Indebtedness incurred to refund, refinance or replace any such Indebtedness incurred under this clause (8), does not exceed the greater of</w:t>
      </w:r>
    </w:p>
    <w:p>
      <w:pPr>
        <w:ind w:right="600" w:firstLine="8"/>
        <w:spacing w:after="0" w:line="261" w:lineRule="auto"/>
        <w:tabs>
          <w:tab w:leader="none" w:pos="24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$250.0 million and (b) 35% of Consolidated Cash Flow of Spectrum Brands for the most recently ended four full fiscal quarters for which internal financial statements are available immediately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preceding such date on which such additional Indebtedness is incurred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event occurred at the beginning of such four fiscal quarters;</w:t>
      </w:r>
    </w:p>
    <w:p>
      <w:pPr>
        <w:spacing w:after="0" w:line="170" w:lineRule="exact"/>
        <w:rPr>
          <w:sz w:val="20"/>
          <w:szCs w:val="20"/>
          <w:color w:val="auto"/>
        </w:rPr>
      </w:pPr>
    </w:p>
    <w:p>
      <w:pPr>
        <w:ind w:right="160" w:firstLine="464"/>
        <w:spacing w:after="0" w:line="264" w:lineRule="auto"/>
        <w:tabs>
          <w:tab w:leader="none" w:pos="71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incurrence of Indebtedness by Spectrum Brands or any Restricted Subsidiary of Spectrum Brands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extinguished within five Business Days of incurrence;</w:t>
      </w:r>
    </w:p>
    <w:p>
      <w:pPr>
        <w:spacing w:after="0" w:line="181" w:lineRule="exact"/>
        <w:rPr>
          <w:rFonts w:ascii="Arial" w:cs="Arial" w:eastAsia="Arial" w:hAnsi="Arial"/>
          <w:sz w:val="18"/>
          <w:szCs w:val="18"/>
          <w:color w:val="auto"/>
        </w:rPr>
      </w:pPr>
    </w:p>
    <w:p>
      <w:pPr>
        <w:ind w:right="380" w:firstLine="464"/>
        <w:spacing w:after="0" w:line="264" w:lineRule="auto"/>
        <w:tabs>
          <w:tab w:leader="none" w:pos="80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Acquired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thereof, Spectrum Brands either (x) could incur $1.00 of indebtedness under paragraph (a) above or (y) would have had a Fixed Charge Coverage Ratio equal to or greater than the actual Fixed Charge Coverage Ratio of Spectrum Brands for the four-quarter period immediately prior to such transaction;</w:t>
      </w:r>
    </w:p>
    <w:p>
      <w:pPr>
        <w:spacing w:after="0" w:line="181" w:lineRule="exact"/>
        <w:rPr>
          <w:rFonts w:ascii="Arial" w:cs="Arial" w:eastAsia="Arial" w:hAnsi="Arial"/>
          <w:sz w:val="18"/>
          <w:szCs w:val="18"/>
          <w:color w:val="auto"/>
        </w:rPr>
      </w:pPr>
    </w:p>
    <w:p>
      <w:pPr>
        <w:jc w:val="both"/>
        <w:ind w:right="220" w:firstLine="464"/>
        <w:spacing w:after="0" w:line="279" w:lineRule="auto"/>
        <w:tabs>
          <w:tab w:leader="none" w:pos="79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the incurrence of Indebtedness by Foreign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principal amount (or accreted value, as applicable) incurred under this clause (11), when aggregated with the principal amount (or accreted value, as applicable) of all other Indebtedness then outstanding and incurred under this clause (11), together with all Permitted Refinancing Indebtedness incurred to refund, refinance or replace any Indebtedness incurred pursuant to this clause (11), does not exceed $500.0 million, and Guarantees thereof by any Foreign Subsidiary;</w:t>
      </w:r>
    </w:p>
    <w:p>
      <w:pPr>
        <w:spacing w:after="0" w:line="171" w:lineRule="exact"/>
        <w:rPr>
          <w:rFonts w:ascii="Arial" w:cs="Arial" w:eastAsia="Arial" w:hAnsi="Arial"/>
          <w:sz w:val="17"/>
          <w:szCs w:val="17"/>
          <w:color w:val="auto"/>
        </w:rPr>
      </w:pPr>
    </w:p>
    <w:p>
      <w:pPr>
        <w:ind w:firstLine="464"/>
        <w:spacing w:after="0" w:line="297" w:lineRule="auto"/>
        <w:tabs>
          <w:tab w:leader="none" w:pos="80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 Indebtedness in respect of bid, performance or surety bonds, workers’ compensation claims, self-insurance obligations or health, disability or other benefits to employees or former employees or their families, and Indebtedness incurred in connection with the maintenance of, or pursuant to the requirements of, environmental or other permits or licenses from governmental authorities, in each case incurred in the ordinary course of business, including guarantees or obligations of Spectrum Brands or any Restricted Subsidiary with respect to letters of credit supporting such obligations (in each case other than for an obligation for money borrowed); and (B) Indebtedness consisting of the financing of insurance premiums, in the ordinary course of business;</w:t>
      </w:r>
    </w:p>
    <w:p>
      <w:pPr>
        <w:spacing w:after="0" w:line="158" w:lineRule="exact"/>
        <w:rPr>
          <w:rFonts w:ascii="Arial" w:cs="Arial" w:eastAsia="Arial" w:hAnsi="Arial"/>
          <w:sz w:val="16"/>
          <w:szCs w:val="16"/>
          <w:color w:val="auto"/>
        </w:rPr>
      </w:pPr>
    </w:p>
    <w:p>
      <w:pPr>
        <w:ind w:left="800" w:hanging="336"/>
        <w:spacing w:after="0"/>
        <w:tabs>
          <w:tab w:leader="none" w:pos="8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25" w:lineRule="exact"/>
        <w:rPr>
          <w:rFonts w:ascii="Arial" w:cs="Arial" w:eastAsia="Arial" w:hAnsi="Arial"/>
          <w:sz w:val="18"/>
          <w:szCs w:val="18"/>
          <w:color w:val="auto"/>
        </w:rPr>
      </w:pPr>
    </w:p>
    <w:p>
      <w:pPr>
        <w:ind w:right="340" w:firstLine="464"/>
        <w:spacing w:after="0" w:line="308" w:lineRule="auto"/>
        <w:tabs>
          <w:tab w:leader="none" w:pos="80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Indebtedness of Spectrum Brands or any Restricted Subsidiary incurred in the ordinary course of business under guarantees of Indebtedness of suppliers, licensees, franchisees or customers in an aggregate amount not to exceed $10.0 million at any time outstanding;</w:t>
      </w:r>
    </w:p>
    <w:p>
      <w:pPr>
        <w:spacing w:after="0" w:line="146" w:lineRule="exact"/>
        <w:rPr>
          <w:rFonts w:ascii="Arial" w:cs="Arial" w:eastAsia="Arial" w:hAnsi="Arial"/>
          <w:sz w:val="17"/>
          <w:szCs w:val="17"/>
          <w:color w:val="auto"/>
        </w:rPr>
      </w:pPr>
    </w:p>
    <w:p>
      <w:pPr>
        <w:ind w:right="60" w:firstLine="464"/>
        <w:spacing w:after="0" w:line="277" w:lineRule="auto"/>
        <w:tabs>
          <w:tab w:leader="none" w:pos="80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incurrence by Spectrum Brands or any of its Restricted Subsidiaries of Indebtedness solely in respect of premium financing or similar deferred payment obligations with respect to insurance policies purchased in the ordinary course of business;</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Contribution Indebtedness; and</w:t>
      </w:r>
    </w:p>
    <w:p>
      <w:pPr>
        <w:spacing w:after="0" w:line="225" w:lineRule="exact"/>
        <w:rPr>
          <w:rFonts w:ascii="Arial" w:cs="Arial" w:eastAsia="Arial" w:hAnsi="Arial"/>
          <w:sz w:val="18"/>
          <w:szCs w:val="18"/>
          <w:color w:val="auto"/>
        </w:rPr>
      </w:pPr>
    </w:p>
    <w:p>
      <w:pPr>
        <w:ind w:firstLine="464"/>
        <w:spacing w:after="0" w:line="259" w:lineRule="auto"/>
        <w:tabs>
          <w:tab w:leader="none" w:pos="80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Indebtedness incurred on behalf of, or representing Guarantees of Indebtedness of, joint ventures of Spectrum Brands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principal amount of Indebtedness incurred under this clause (17), when aggregated with the principal amount of all other Indebtedness then outstanding and incurred pursuant to this clause (17) does not exceed the greater of $75.0 million and 10.0% of Consolidated Cash Flow.</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purposes of determining compliance with this “Incurrence of Indebtedness and Issuance of Preferred Stock” covenant, in the event that any proposed Indebtedness meets the criteria of more than one of the categories of Permitted Debt described in clauses (1) through (17) above, or is entitled to be incurred pursuant to paragraph (a) of this covenant, Spectrum Brands will be permitted to divide, classify or reclassify at the time of its incurrence such item of Indebtedness in any manner that complies with this covenant. In addition,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Indebtedness originally classified as incurred pursuant to paragraph (a) or clauses (1) through (17) above may later be reclassified by Spectrum Brands such that it will be deemed as having been incurred pursuant to another of such clauses or paragraph (a) above to the extent that such reclassified Indebtedness could be incurred pursuant to such new clause or paragraph (a) at the time of such reclassification (based on circumstances existing at the time of such reclassification). If any Contribution Debt is designated as incurred under any provision other than clause (16) under paragraph (b), the related issuance of Equity Interests may be included in any calculation under paragraph (A)(3)(b) of “Restricted Payments.”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the foregoing, any Indebtedness incurred pursuant to clause (1) above shall be deemed for purposes of this covenant to have been incurred on the date such Indebtedness was first incurred until such Indebtedness is actually repaid, other than pursuant to “cash sweep” provisions or any similar provisions under any Credit Facility that provides that such Indebtedness is deemed to be repaid daily (or otherwise periodically).</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amount of Indebtedness incurred in any foreign currency for purposes of the 2024 notes indenture shall be converted into U.S. dollars at the time of first incurrence, in the case of term debt, or first committed or first incurred (whichever yields the lower U.S. dollar equivalent), in the case of revolving credit debt, and the amount of such Indebtedness outstanding will not be deemed to change as a result of fluctuations in currency exchange rates after such date of incurrence. However, if the Indebtedness is incurred to refinance other Indebtedness denominated in a foreign currency, and the refinancing would cause the applicable U.S. dollar-denominated restriction to be exceeded if calculated at the relevant currency exchange rate in effect on the date of the refinancing, the U.S. dollar-denominated restriction will be deemed not to have been exceeded so long as the principal amount of the refinancing Indebtedness does not exceed the principal amount of the Indebtedness being refinanced.</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Spectrum Brands shall not incur any Indebtedness that is subordinated or junior in right of payment to any Indebtedness of Spectrum Brands unless it is subordinated in right of payment to the 2024 notes at least to the same extent. No Guarantor shall incur any Indebtedness that is subordinated or junior in right of payment to the Indebtedness of such Guarantor unless it is subordinated in right of payment to such Guarantor’s Note Guarantee at least to the same extent. For purposes of the foregoing, no Indebtedness will be deemed to be subordinated or junior in right of payment to any other Indebtedness of Spectrum Brands or any Guarantor, as applicable, solely by reason of any Liens or Guarantees arising or created in respect thereof or by virtue of the fact that the holders of any secured Indebtedness have entered into intercreditor agreements giving one or more of such holders priority over the other holders in the collateral held by them.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Spectrum Brands will not, and will not permit any of its Restricted Subsidiaries to, create, incur, assume or otherwise cause or suffer to exist or become effective any Lien of any kind (other than Permitted Liens) upon any of their property or assets, now owned or hereafter acquired, without effectively providing that the 2024 notes are secured equally and ratably with (or, if the obligation to be secured by the Lien is subordinated in right of payment to the 2024 notes or any Note Guarantee, prior to) the obligations so secured for so long as such obligations are so secured.</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purposes of determining compliance with this covenant, (A) a Lien securing an item of Indebtedness need not be permitted solely by reference to one category of permitted Liens described in clauses (1) through (27) of the definition of “Permitted Liens” or pursuant to the first paragraph of this covenant but may be permitted in part under any combination thereof and (B) in the event that a Lien securing an item of Indebtedness, Disqualified Stock or preferred stock (or any portion thereof) meets the criteria of one or more of the categories of permitted Liens described in clauses (1) through (27) of the definition of “Permitted Liens” or pursuant to the first paragraph of this covenant, Spectrum Brands shall, in its sole discretion, classify or reclassify, or later divide, classify or reclassify, such Lien securing such item of Indebtedness (or any portion thereof) in any manner that complies with this covenant and will only be required to include the amount and type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of such Lien or such item of Indebtedness secured by such Lien in one of the clauses of the definition of “Permitted Liens” and such Lien securing such item of Indebtedness will be treated as being incurred or existing pursuant to only one of such clauses or pursuant to the first paragraph hereof.</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the payment of dividends on preferred stock in the form of additional shares of preferred stock of the same class, accretion of original issue discount or liquidation preference and increases in the amount of Indebtedness outstanding solely as a result of fluctuations in the exchange rate of currencies or increases in the value of property securing Indebtedness described in subclause (x) of the second paragraph of the definition of “Indebtedness.”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Restricted Subsidiaries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Spectrum Brands will not, and will not permit any of its Restricted Subsidiaries to, directly or indirectly, create or permit to exist or become effective any consensual encumbrance or restriction on the ability of any Restricted Subsidiary to:</w:t>
      </w:r>
    </w:p>
    <w:p>
      <w:pPr>
        <w:spacing w:after="0" w:line="170" w:lineRule="exact"/>
        <w:rPr>
          <w:sz w:val="20"/>
          <w:szCs w:val="20"/>
          <w:color w:val="auto"/>
        </w:rPr>
      </w:pPr>
    </w:p>
    <w:p>
      <w:pPr>
        <w:ind w:right="500" w:firstLine="464"/>
        <w:spacing w:after="0" w:line="342" w:lineRule="auto"/>
        <w:tabs>
          <w:tab w:leader="none" w:pos="71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(or with respect to any other interest or participation in, or measured by, its profits) to Spectrum Brands or any of its Restricted Subsidiaries or pay any liabilities owed to Spectrum Brands or any of its Restricted Subsidiaries;</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make loans or advances to Spectrum Brands or any of its Restricted Subsidiaries;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transfer any of its properties or assets to Spectrum Brands or any of its Restricted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 or with respect to:</w:t>
      </w:r>
    </w:p>
    <w:p>
      <w:pPr>
        <w:spacing w:after="0" w:line="117" w:lineRule="exact"/>
        <w:rPr>
          <w:sz w:val="20"/>
          <w:szCs w:val="20"/>
          <w:color w:val="auto"/>
        </w:rPr>
      </w:pPr>
    </w:p>
    <w:p>
      <w:pPr>
        <w:ind w:left="720" w:hanging="256"/>
        <w:spacing w:after="0"/>
        <w:tabs>
          <w:tab w:leader="none" w:pos="7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Revolving Credit Agreement, the Term Loan Agreement, Existing Indebtedness or any other agreements as in effect on the Issue Date;</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225" w:lineRule="exact"/>
        <w:rPr>
          <w:rFonts w:ascii="Arial" w:cs="Arial" w:eastAsia="Arial" w:hAnsi="Arial"/>
          <w:sz w:val="18"/>
          <w:szCs w:val="18"/>
          <w:color w:val="auto"/>
        </w:rPr>
      </w:pPr>
    </w:p>
    <w:p>
      <w:pPr>
        <w:ind w:right="200" w:firstLine="464"/>
        <w:spacing w:after="0" w:line="286" w:lineRule="auto"/>
        <w:tabs>
          <w:tab w:leader="none" w:pos="71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Person or the property or assets of a Person acquired by Spectrum Brands or any of its Restricted Subsidiaries existing at the time of such acquisition and not incurred in connection with or in contemplation of such acquisition, which encumbrance or restriction is not applicable to any Person or the properties or assets of any Person, other than the Person, or the property or assets of the Person, so acquired;</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the case of clause (3) of the first paragraph of this covenant:</w:t>
      </w:r>
    </w:p>
    <w:p>
      <w:pPr>
        <w:spacing w:after="0" w:line="117" w:lineRule="exact"/>
        <w:rPr>
          <w:rFonts w:ascii="Arial" w:cs="Arial" w:eastAsia="Arial" w:hAnsi="Arial"/>
          <w:sz w:val="18"/>
          <w:szCs w:val="18"/>
          <w:color w:val="auto"/>
        </w:rPr>
      </w:pPr>
    </w:p>
    <w:p>
      <w:pPr>
        <w:ind w:left="460" w:right="880" w:firstLine="443"/>
        <w:spacing w:after="0" w:line="277" w:lineRule="auto"/>
        <w:tabs>
          <w:tab w:leader="none" w:pos="114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provisions that restrict in a customary manner the subletting, assignment or transfer of any property or asset that is a lease, license, conveyance or contract or similar property or asset;</w:t>
      </w:r>
    </w:p>
    <w:p>
      <w:pPr>
        <w:spacing w:after="0" w:line="62"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restrictions existing by virtue of any transfer of, agreement to transfer, option or right with respect to, or Lien on, any property or assets of Spectrum Brands or any Restricted Subsidiary not otherwise prohibited by the 2024 notes indenture; or</w:t>
      </w:r>
    </w:p>
    <w:p>
      <w:pPr>
        <w:spacing w:after="0" w:line="62" w:lineRule="exact"/>
        <w:rPr>
          <w:rFonts w:ascii="Arial" w:cs="Arial" w:eastAsia="Arial" w:hAnsi="Arial"/>
          <w:sz w:val="18"/>
          <w:szCs w:val="18"/>
          <w:color w:val="auto"/>
        </w:rPr>
      </w:pPr>
    </w:p>
    <w:p>
      <w:pPr>
        <w:ind w:left="460" w:right="120" w:firstLine="443"/>
        <w:spacing w:after="0" w:line="264" w:lineRule="auto"/>
        <w:tabs>
          <w:tab w:leader="none" w:pos="114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restrictions arising or agreed to in the ordinary course of business, not relating to any Indebtedness, and that do not, individually or in the aggregate, detract from the value of property or assets of Spectrum Brands or any Restricted Subsidiary in any manner material to Spectrum Brands or any Restricted Subsidiary;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customary provisions with respect to the disposition or distribution of assets or property in joint venture agreements and other agreements;</w:t>
      </w:r>
    </w:p>
    <w:p>
      <w:pPr>
        <w:spacing w:after="0" w:line="236" w:lineRule="exact"/>
        <w:rPr>
          <w:rFonts w:ascii="Arial" w:cs="Arial" w:eastAsia="Arial" w:hAnsi="Arial"/>
          <w:sz w:val="17"/>
          <w:szCs w:val="17"/>
          <w:color w:val="auto"/>
        </w:rPr>
      </w:pPr>
    </w:p>
    <w:p>
      <w:pPr>
        <w:ind w:right="20" w:firstLine="464"/>
        <w:spacing w:after="0" w:line="277" w:lineRule="auto"/>
        <w:tabs>
          <w:tab w:leader="none" w:pos="71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all or substantially all of the capital stock of, or property and assets of, a Restricted Subsidiary that restricts distributions by that Restricted Subsidiary pending such sale or other disposition;</w:t>
      </w:r>
    </w:p>
    <w:p>
      <w:pPr>
        <w:spacing w:after="0" w:line="170" w:lineRule="exact"/>
        <w:rPr>
          <w:rFonts w:ascii="Arial" w:cs="Arial" w:eastAsia="Arial" w:hAnsi="Arial"/>
          <w:sz w:val="18"/>
          <w:szCs w:val="18"/>
          <w:color w:val="auto"/>
        </w:rPr>
      </w:pPr>
    </w:p>
    <w:p>
      <w:pPr>
        <w:ind w:right="180" w:firstLine="464"/>
        <w:spacing w:after="0" w:line="312" w:lineRule="auto"/>
        <w:tabs>
          <w:tab w:leader="none" w:pos="71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Indebtedness of a Foreign Subsidiary permitted to be incurred under the 2024 notes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encumbrances or restrictions are ordinary and customary with respect to the type of Indebtedness being incurred and (b) such encumbrances or restrictions will not materially (in good faith by the Board of Directors of Spectrum Brands) impair Spectrum Brands’ ability to make principal and interest payments on the Notes, as determined;</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2024 notes indenture, the 2024 notes, any Additional Notes or the Guarantees;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 of business;</w:t>
      </w:r>
    </w:p>
    <w:p>
      <w:pPr>
        <w:spacing w:after="0" w:line="236" w:lineRule="exact"/>
        <w:rPr>
          <w:rFonts w:ascii="Arial" w:cs="Arial" w:eastAsia="Arial" w:hAnsi="Arial"/>
          <w:sz w:val="17"/>
          <w:szCs w:val="17"/>
          <w:color w:val="auto"/>
        </w:rPr>
      </w:pPr>
    </w:p>
    <w:p>
      <w:pPr>
        <w:ind w:right="20" w:firstLine="464"/>
        <w:spacing w:after="0" w:line="259" w:lineRule="auto"/>
        <w:tabs>
          <w:tab w:leader="none" w:pos="8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other Indebtedness, Disqualified Stock or preferred stock of Restricted Subsidiaries permitted to be incurred after the Issue Date pursuant to the provisions of the covenant described under “</w:t>
      </w:r>
      <w:r>
        <w:rPr>
          <w:rFonts w:ascii="Arial" w:cs="Arial" w:eastAsia="Arial" w:hAnsi="Arial"/>
          <w:sz w:val="18"/>
          <w:szCs w:val="18"/>
          <w:i w:val="1"/>
          <w:iCs w:val="1"/>
          <w:color w:val="auto"/>
        </w:rPr>
        <w:t>—</w:t>
      </w:r>
      <w:r>
        <w:rPr>
          <w:rFonts w:ascii="Arial" w:cs="Arial" w:eastAsia="Arial" w:hAnsi="Arial"/>
          <w:sz w:val="18"/>
          <w:szCs w:val="18"/>
          <w:color w:val="auto"/>
        </w:rPr>
        <w:t xml:space="preserve">Incurrence of Indebtedness and Issuance of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will not materially (in the good faith judgment of the Board of Directors of Spectrum Brands) impair Spectrum Brands’ ability to make principal and interest payments on the 2024 notes;</w:t>
      </w:r>
    </w:p>
    <w:p>
      <w:pPr>
        <w:spacing w:after="0" w:line="186" w:lineRule="exact"/>
        <w:rPr>
          <w:rFonts w:ascii="Arial" w:cs="Arial" w:eastAsia="Arial" w:hAnsi="Arial"/>
          <w:sz w:val="18"/>
          <w:szCs w:val="18"/>
          <w:color w:val="auto"/>
        </w:rPr>
      </w:pPr>
    </w:p>
    <w:p>
      <w:pPr>
        <w:ind w:firstLine="464"/>
        <w:spacing w:after="0" w:line="257" w:lineRule="auto"/>
        <w:tabs>
          <w:tab w:leader="none" w:pos="79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restrictions or conditions contained in any trading, netting, operating, construction, service, supply, purchase or other agreement to which Spectrum Brands or any of its Restricted Subsidiaries is a party and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prohibits the encumbrance of solely the property or assets of Spectrum Brands or such Restricted Subsidiary that are the subject of such agreement, the payment rights arising thereunder or the proceeds thereof and does not extend to any other asset or property of Spectrum Brands or such Restricted Subsidiary or the assets or property of any other Restricted Subsidiary;</w:t>
      </w:r>
    </w:p>
    <w:p>
      <w:pPr>
        <w:spacing w:after="0" w:line="188" w:lineRule="exact"/>
        <w:rPr>
          <w:rFonts w:ascii="Arial" w:cs="Arial" w:eastAsia="Arial" w:hAnsi="Arial"/>
          <w:sz w:val="18"/>
          <w:szCs w:val="18"/>
          <w:color w:val="auto"/>
        </w:rPr>
      </w:pPr>
    </w:p>
    <w:p>
      <w:pPr>
        <w:ind w:firstLine="464"/>
        <w:spacing w:after="0" w:line="276" w:lineRule="auto"/>
        <w:tabs>
          <w:tab w:leader="none" w:pos="80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any instrument governing any Indebtedness or Capital Stock of a Person that is an Unrestricted Subsidiary as in effect on the date that such Person becomes a Restricted Subsidiary, which encumbrance or restriction is not applicable to any Person, or the properties or assets of any Person, other than the Person who became a Restricted Subsidiary, or the property or assets of the Person who became a Restricted Subsidiary and was not entered into in contemplation of the designation of such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Indebtedness, the incurrence of such Indebtedness as a result of such Person becoming a Restricted Subsidiary was permitted by the terms of the 2024 notes indenture;</w:t>
      </w:r>
    </w:p>
    <w:p>
      <w:pPr>
        <w:spacing w:after="0" w:line="172" w:lineRule="exact"/>
        <w:rPr>
          <w:rFonts w:ascii="Arial" w:cs="Arial" w:eastAsia="Arial" w:hAnsi="Arial"/>
          <w:sz w:val="17"/>
          <w:szCs w:val="17"/>
          <w:color w:val="auto"/>
        </w:rPr>
      </w:pPr>
    </w:p>
    <w:p>
      <w:pPr>
        <w:ind w:right="140" w:firstLine="464"/>
        <w:spacing w:after="0" w:line="277" w:lineRule="auto"/>
        <w:tabs>
          <w:tab w:leader="none" w:pos="8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purchase money obligations for property acquired and Capital Lease Obligations in the ordinary course of business that impose restrictions of the nature discussed in clause (3) of the first paragraph of this covenant on the property so acquired; and</w:t>
      </w:r>
    </w:p>
    <w:p>
      <w:pPr>
        <w:spacing w:after="0" w:line="170" w:lineRule="exact"/>
        <w:rPr>
          <w:rFonts w:ascii="Arial" w:cs="Arial" w:eastAsia="Arial" w:hAnsi="Arial"/>
          <w:sz w:val="18"/>
          <w:szCs w:val="18"/>
          <w:color w:val="auto"/>
        </w:rPr>
      </w:pPr>
    </w:p>
    <w:p>
      <w:pPr>
        <w:ind w:right="80" w:firstLine="464"/>
        <w:spacing w:after="0" w:line="255" w:lineRule="auto"/>
        <w:tabs>
          <w:tab w:leader="none" w:pos="8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of the type referred to in clauses (1), (2) and (3) of the first paragraph of this covenant imposed by any amendments, modifications, restatements, renewals, increases, supplements, refundings, replacements or refinancings of the contracts, instruments or obligations referred to in clauses (1) through (13)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in the good faith judgment of Spectrum Brands’ Board of Directors, not materially more restrictive with respect to such encumbrance and other restrictions than those prior to such amendment, modification, restatement, renewal, increase, supplement, refunding, replacement or refinancing.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purposes of determining compliance with this covenant,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Spectrum Brands or a Restricted Subsidiary of Spectrum Brands to other Indebtedness incurred by Spectrum Brands or any such Restricted Subsidiary shall not be deemed a restriction on the ability to make loans or advances.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Spectrum Brands will not, directly or indirectly: (1) consolidate or merge with or into another Person (whether or not Spectrum Brands is the surviving corporation) or (2) sell, assign, transfer, convey or otherwise dispose of all or substantially all of the properties and assets of Spectrum Brands and its Restricted Subsidiaries taken as a whole, in one or more related transactions, to another Person or Persons, unless:</w:t>
      </w:r>
    </w:p>
    <w:p>
      <w:pPr>
        <w:spacing w:after="0" w:line="181" w:lineRule="exact"/>
        <w:rPr>
          <w:sz w:val="20"/>
          <w:szCs w:val="20"/>
          <w:color w:val="auto"/>
        </w:rPr>
      </w:pPr>
    </w:p>
    <w:p>
      <w:pPr>
        <w:ind w:firstLine="464"/>
        <w:spacing w:after="0" w:line="257" w:lineRule="auto"/>
        <w:tabs>
          <w:tab w:leader="none" w:pos="71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either: (a) Spectrum Brands is the surviving corporation; or (b) the Person formed by or surviving any such consolidation or merger (if other than Spectrum Brands) or to which such sale, assignment, transfer, conveyance or other disposition shall have been made (i) is a corporation or limited liability company organized or existing under the laws of the United States, any state thereof or the District of Columbia and (ii) assumes all the obligations of Spectrum Brands under the 2024 notes, the 2024 notes indenture, and the Registration Rights Agreement pursuant to agreements reasonably satisfactory to the Trustee;</w:t>
      </w:r>
    </w:p>
    <w:p>
      <w:pPr>
        <w:spacing w:after="0" w:line="188" w:lineRule="exact"/>
        <w:rPr>
          <w:rFonts w:ascii="Arial" w:cs="Arial" w:eastAsia="Arial" w:hAnsi="Arial"/>
          <w:sz w:val="18"/>
          <w:szCs w:val="18"/>
          <w:color w:val="auto"/>
        </w:rPr>
      </w:pPr>
    </w:p>
    <w:p>
      <w:pPr>
        <w:ind w:left="720" w:hanging="256"/>
        <w:spacing w:after="0"/>
        <w:tabs>
          <w:tab w:leader="none" w:pos="7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225" w:lineRule="exact"/>
        <w:rPr>
          <w:rFonts w:ascii="Arial" w:cs="Arial" w:eastAsia="Arial" w:hAnsi="Arial"/>
          <w:sz w:val="18"/>
          <w:szCs w:val="18"/>
          <w:color w:val="auto"/>
        </w:rPr>
      </w:pPr>
    </w:p>
    <w:p>
      <w:pPr>
        <w:ind w:firstLine="464"/>
        <w:spacing w:after="0" w:line="255" w:lineRule="auto"/>
        <w:tabs>
          <w:tab w:leader="none" w:pos="71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transaction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Spectrum Brands or the Person formed by or surviving any such consolidation or merger (if other than Spectrum Brands), or to which such sale, assignment, transfer, conveyance or other disposition shall have been made, will, on the date of such transaction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related financing transactions as if the same had occurred at the beginning of the applicable four-quarter period, be (i) permitted to incur at least $1.00 of additional Indebtedness pursuant to the Fixed Charge Coverage Ratio test set forth in the first paragraph of the covenant described above under the caption “—Incurrence of Indebtedness and Issuance of Preferred Stock” or (ii) have had a Fixed Charge Coverage Ratio equal to or greater than the actual Fixed Charge Coverage Ratio of Spectrum Brands for the four-quarter period immediately prior to such transaction.</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neither Spectrum Brands nor any Restricted Subsidiary may, directly or indirectly, lease all or substantially all of its properties or assets, in one or more related transactions, to any other Person. Clauses (2) and (3) above of this “</w:t>
      </w:r>
      <w:r>
        <w:rPr>
          <w:rFonts w:ascii="Arial" w:cs="Arial" w:eastAsia="Arial" w:hAnsi="Arial"/>
          <w:sz w:val="18"/>
          <w:szCs w:val="18"/>
          <w:b w:val="1"/>
          <w:bCs w:val="1"/>
          <w:color w:val="auto"/>
        </w:rPr>
        <w:t>Merger, Consolidation or Sale of Assets</w:t>
      </w:r>
      <w:r>
        <w:rPr>
          <w:rFonts w:ascii="Arial" w:cs="Arial" w:eastAsia="Arial" w:hAnsi="Arial"/>
          <w:sz w:val="18"/>
          <w:szCs w:val="18"/>
          <w:color w:val="auto"/>
        </w:rPr>
        <w:t>” covenant will not apply to any merger, consolidation or sale, assignment, transfer, lease, conveyance or other disposition of assets between or among Spectrum Brands and any of its Restricted Subsidiaries.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Spectrum Brands will not, and will not permit any of its Restricted Subsidiaries to, make any payment to, or sell, lease, transfer or otherwise dispose of any of its properties or assets to, or purchase any property or assets from, or enter into, make, amend, renew or extend any transaction, contract, agreement, understanding, loan, advance or Guarantee with, or for the benefit of, any Affiliate (each, an “Affiliate Transaction”) involving payments of consideration in excess of $5.0 million, unless:</w:t>
      </w:r>
    </w:p>
    <w:p>
      <w:pPr>
        <w:spacing w:after="0" w:line="187" w:lineRule="exact"/>
        <w:rPr>
          <w:sz w:val="20"/>
          <w:szCs w:val="20"/>
          <w:color w:val="auto"/>
        </w:rPr>
      </w:pPr>
    </w:p>
    <w:p>
      <w:pPr>
        <w:ind w:right="20" w:firstLine="464"/>
        <w:spacing w:after="0" w:line="264" w:lineRule="auto"/>
        <w:tabs>
          <w:tab w:leader="none" w:pos="71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 less favorable to Spectrum Brands or the relevant Restricted Subsidiary than those that would have been obtained in a comparable arm’s-length transaction by Spectrum Brands or such Restricted Subsidiary with a Person that is not an Affiliate of Spectrum Brands as determined in good faith by a majority of the disinterested members of the Board of Directors; and</w:t>
      </w:r>
    </w:p>
    <w:p>
      <w:pPr>
        <w:spacing w:after="0" w:line="181" w:lineRule="exact"/>
        <w:rPr>
          <w:rFonts w:ascii="Arial" w:cs="Arial" w:eastAsia="Arial" w:hAnsi="Arial"/>
          <w:sz w:val="18"/>
          <w:szCs w:val="18"/>
          <w:color w:val="auto"/>
        </w:rPr>
      </w:pPr>
    </w:p>
    <w:p>
      <w:pPr>
        <w:ind w:right="400" w:firstLine="464"/>
        <w:spacing w:after="0" w:line="277" w:lineRule="auto"/>
        <w:tabs>
          <w:tab w:leader="none" w:pos="71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Spectrum Brands delivers to the Trustee with respect to any Affiliate Transaction or series of related Affiliate Transactions involving aggregate consideration in excess of $25.0 million, a resolution of the Board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Directors set forth in an officer’s certificate certifying that such Affiliate Transaction or series of related Affiliate Transactions complies with clause (1) of this covenant and that such Affiliate Transaction or series of related Affiliate Transactions has been approved by a majority of the disinterested members of the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items shall not be deemed to be Affiliate Transactions and, therefore, will not be subject to the provisions of the prior paragraph:</w:t>
      </w:r>
    </w:p>
    <w:p>
      <w:pPr>
        <w:spacing w:after="0" w:line="237" w:lineRule="exact"/>
        <w:rPr>
          <w:sz w:val="20"/>
          <w:szCs w:val="20"/>
          <w:color w:val="auto"/>
        </w:rPr>
      </w:pPr>
    </w:p>
    <w:p>
      <w:pPr>
        <w:ind w:left="720" w:hanging="256"/>
        <w:spacing w:after="0"/>
        <w:tabs>
          <w:tab w:leader="none" w:pos="7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transactions between or among Spectrum Brands and/or its Restricted Subsidiaries;</w:t>
      </w:r>
    </w:p>
    <w:p>
      <w:pPr>
        <w:spacing w:after="0" w:line="225"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payment of reasonable and customary fees and compensation to, and reasonable and customary indemnification arrangements and similar payments on behalf of, directors of Spectrum Brands;</w:t>
      </w:r>
    </w:p>
    <w:p>
      <w:pPr>
        <w:spacing w:after="0" w:line="170" w:lineRule="exact"/>
        <w:rPr>
          <w:rFonts w:ascii="Arial" w:cs="Arial" w:eastAsia="Arial" w:hAnsi="Arial"/>
          <w:sz w:val="18"/>
          <w:szCs w:val="18"/>
          <w:color w:val="auto"/>
        </w:rPr>
      </w:pPr>
    </w:p>
    <w:p>
      <w:pPr>
        <w:ind w:firstLine="464"/>
        <w:spacing w:after="0" w:line="277" w:lineRule="auto"/>
        <w:tabs>
          <w:tab w:leader="none" w:pos="7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Restricted Payments that are permitted by the provisions of the 2024 notes indenture described above under the caption “—Restricted Payments,” or any Permitted Investments;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sale of Capital Stock (other than Disqualified Stock) of Spectrum Brands;</w:t>
      </w:r>
    </w:p>
    <w:p>
      <w:pPr>
        <w:spacing w:after="0" w:line="225"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loans and advances to officers and employees of Spectrum Brands or any of its Restricted Subsidiaries or Holdings (or any direct or indirect parent of Holdings) for bona fide business purposes in the ordinary course of business consistent with past practice;</w:t>
      </w:r>
    </w:p>
    <w:p>
      <w:pPr>
        <w:spacing w:after="0" w:line="170" w:lineRule="exact"/>
        <w:rPr>
          <w:rFonts w:ascii="Arial" w:cs="Arial" w:eastAsia="Arial" w:hAnsi="Arial"/>
          <w:sz w:val="18"/>
          <w:szCs w:val="18"/>
          <w:color w:val="auto"/>
        </w:rPr>
      </w:pPr>
    </w:p>
    <w:p>
      <w:pPr>
        <w:ind w:right="240" w:firstLine="464"/>
        <w:spacing w:after="0" w:line="257" w:lineRule="auto"/>
        <w:tabs>
          <w:tab w:leader="none" w:pos="7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employment, consulting, service or termination agreement, or reasonable and customary indemnification arrangements, entered into by Spectrum Brands or any of its Restricted Subsidiaries with officers and employees of Spectrum Brands or any of its Restricted Subsidiaries or Holdings (or any direct or indirect parent of Holdings) and the payment of compensation to officers and employees of Spectrum Brands or any of its Restricted Subsidiaries (including amounts paid pursuant to employee benefit plans, employee stock option or similar plans), in each case in the ordinary course of business;</w:t>
      </w:r>
    </w:p>
    <w:p>
      <w:pPr>
        <w:spacing w:after="0" w:line="188" w:lineRule="exact"/>
        <w:rPr>
          <w:rFonts w:ascii="Arial" w:cs="Arial" w:eastAsia="Arial" w:hAnsi="Arial"/>
          <w:sz w:val="18"/>
          <w:szCs w:val="18"/>
          <w:color w:val="auto"/>
        </w:rPr>
      </w:pPr>
    </w:p>
    <w:p>
      <w:pPr>
        <w:ind w:right="120" w:firstLine="464"/>
        <w:spacing w:after="0" w:line="279" w:lineRule="auto"/>
        <w:tabs>
          <w:tab w:leader="none" w:pos="711"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agreements or arrangements in effect on the Issue Date, or any amendment, modification, or supplement thereto or any replacement thereof, as long as such agreement or arrangement, as so amended, modified, supplemented or replaced, taken as a whole, is not more disadvantageous to Spectrum Brands and its Restricted Subsidiaries than the original agreement as in effect on the Issue Date, as determined in good faith by Spectrum Brands’ Board of Directors, and any transactions contemplated by any of the foregoing agreements or arrangements;</w:t>
      </w:r>
    </w:p>
    <w:p>
      <w:pPr>
        <w:spacing w:after="0" w:line="171" w:lineRule="exact"/>
        <w:rPr>
          <w:rFonts w:ascii="Arial" w:cs="Arial" w:eastAsia="Arial" w:hAnsi="Arial"/>
          <w:sz w:val="17"/>
          <w:szCs w:val="17"/>
          <w:color w:val="auto"/>
        </w:rPr>
      </w:pPr>
    </w:p>
    <w:p>
      <w:pPr>
        <w:ind w:right="100" w:firstLine="464"/>
        <w:spacing w:after="0" w:line="264" w:lineRule="auto"/>
        <w:tabs>
          <w:tab w:leader="none" w:pos="7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ventures, joint venture partners, Unrestricted Subsidiaries or purchasers or sellers of goods and services, in each case in the ordinary course of business and on terms no less favorable than that available from non-affiliates (as determined by Spectrum Brands) and otherwise not prohibited by the 2024 notes indenture;</w:t>
      </w:r>
    </w:p>
    <w:p>
      <w:pPr>
        <w:spacing w:after="0" w:line="181" w:lineRule="exact"/>
        <w:rPr>
          <w:rFonts w:ascii="Arial" w:cs="Arial" w:eastAsia="Arial" w:hAnsi="Arial"/>
          <w:sz w:val="18"/>
          <w:szCs w:val="18"/>
          <w:color w:val="auto"/>
        </w:rPr>
      </w:pPr>
    </w:p>
    <w:p>
      <w:pPr>
        <w:ind w:firstLine="464"/>
        <w:spacing w:after="0" w:line="277" w:lineRule="auto"/>
        <w:tabs>
          <w:tab w:leader="none" w:pos="7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transaction with an Affiliate (i) where the only consideration paid by Spectrum Brands or any Restricted Subsidiary is Qualified Equity Interests or (ii) consisting of the provision of customary registration rights;</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payment of all Transaction Expenses by Spectrum Brands and its Restricted Subsidiaries;</w:t>
      </w:r>
    </w:p>
    <w:p>
      <w:pPr>
        <w:spacing w:after="0" w:line="225" w:lineRule="exact"/>
        <w:rPr>
          <w:rFonts w:ascii="Arial" w:cs="Arial" w:eastAsia="Arial" w:hAnsi="Arial"/>
          <w:sz w:val="18"/>
          <w:szCs w:val="18"/>
          <w:color w:val="auto"/>
        </w:rPr>
      </w:pPr>
    </w:p>
    <w:p>
      <w:pPr>
        <w:ind w:right="180" w:firstLine="464"/>
        <w:spacing w:after="0" w:line="286" w:lineRule="auto"/>
        <w:tabs>
          <w:tab w:leader="none" w:pos="79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merger, consolidation or reorganization of Spectrum Brands (otherwise permitted by the 2024 notes indenture) with an Affiliate of Spectrum Brands solely for the purpose of (a) reorganizing to facilitate an initial public offering of securities of Spectrum Brands or a direct or indirect parent of Spectrum Brands, (b) forming or collapsing a holding company structure or (c) reincorporating Spectrum Brands in a new jurisdiction;</w:t>
      </w:r>
    </w:p>
    <w:p>
      <w:pPr>
        <w:spacing w:after="0" w:line="165" w:lineRule="exact"/>
        <w:rPr>
          <w:rFonts w:ascii="Arial" w:cs="Arial" w:eastAsia="Arial" w:hAnsi="Arial"/>
          <w:sz w:val="17"/>
          <w:szCs w:val="17"/>
          <w:color w:val="auto"/>
        </w:rPr>
      </w:pPr>
    </w:p>
    <w:p>
      <w:pPr>
        <w:ind w:right="300" w:firstLine="464"/>
        <w:spacing w:after="0" w:line="277" w:lineRule="auto"/>
        <w:tabs>
          <w:tab w:leader="none" w:pos="80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transactions between Spectrum Brands or any of its Restricted Subsidiaries and any Person that is an Affiliate solely because one or more of its directors is also a director of Spectrum Brands or any direct or indirect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parent of Spectrum Brands;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director abstains from voting as a director of Spectrum Brands or such direct or indirect parent, as the case may be, on any matter involving such other Person;</w:t>
      </w:r>
    </w:p>
    <w:p>
      <w:pPr>
        <w:spacing w:after="0" w:line="170" w:lineRule="exact"/>
        <w:rPr>
          <w:sz w:val="20"/>
          <w:szCs w:val="20"/>
          <w:color w:val="auto"/>
        </w:rPr>
      </w:pPr>
    </w:p>
    <w:p>
      <w:pPr>
        <w:ind w:right="820" w:firstLine="464"/>
        <w:spacing w:after="0" w:line="277" w:lineRule="auto"/>
        <w:tabs>
          <w:tab w:leader="none" w:pos="80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entering into of any tax sharing agreement or arrangement or any other transactions undertaken in good faith that is consistent with paragraph (b)(9)(iv) of the “—Restricted Payments” covenant; and</w:t>
      </w:r>
    </w:p>
    <w:p>
      <w:pPr>
        <w:spacing w:after="0" w:line="170" w:lineRule="exact"/>
        <w:rPr>
          <w:rFonts w:ascii="Arial" w:cs="Arial" w:eastAsia="Arial" w:hAnsi="Arial"/>
          <w:sz w:val="18"/>
          <w:szCs w:val="18"/>
          <w:color w:val="auto"/>
        </w:rPr>
      </w:pPr>
    </w:p>
    <w:p>
      <w:pPr>
        <w:ind w:right="160" w:firstLine="464"/>
        <w:spacing w:after="0" w:line="264" w:lineRule="auto"/>
        <w:tabs>
          <w:tab w:leader="none" w:pos="80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transactions in which Spectrum Brands or any Restricted Subsidiary, as the case may be, delivers to the Trustee a letter from an independent accounting, appraisal or investment banking firm of national standing stating that such transaction is fair to Spectrum Brands or such Restricted Subsidiary from a financial point of view or meets the requirements of clause (1) of the preceding paragraph.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Spectrum Brands will not, and will not permit any of its Restricted Subsidiaries to, consummate an Asset Sale unless:</w:t>
      </w:r>
    </w:p>
    <w:p>
      <w:pPr>
        <w:spacing w:after="0" w:line="225" w:lineRule="exact"/>
        <w:rPr>
          <w:sz w:val="20"/>
          <w:szCs w:val="20"/>
          <w:color w:val="auto"/>
        </w:rPr>
      </w:pPr>
    </w:p>
    <w:p>
      <w:pPr>
        <w:ind w:right="220" w:firstLine="464"/>
        <w:spacing w:after="0" w:line="277" w:lineRule="auto"/>
        <w:tabs>
          <w:tab w:leader="none" w:pos="71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Spectrum Brands (or the Restricted Subsidiary, as the case may be) receives consideration at the time of such Asset Sale at least equal to the fair market value of the assets or Equity Interests issued or sold or otherwise disposed of; and</w:t>
      </w:r>
    </w:p>
    <w:p>
      <w:pPr>
        <w:spacing w:after="0" w:line="170" w:lineRule="exact"/>
        <w:rPr>
          <w:rFonts w:ascii="Arial" w:cs="Arial" w:eastAsia="Arial" w:hAnsi="Arial"/>
          <w:sz w:val="18"/>
          <w:szCs w:val="18"/>
          <w:color w:val="auto"/>
        </w:rPr>
      </w:pPr>
    </w:p>
    <w:p>
      <w:pPr>
        <w:ind w:right="520" w:firstLine="464"/>
        <w:spacing w:after="0" w:line="277" w:lineRule="auto"/>
        <w:tabs>
          <w:tab w:leader="none" w:pos="71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at least 75% of the consideration therefore received by Spectrum Brands or such Restricted Subsidiary is in the form of Cash Equivalents or Replacement Assets. For purposes of this clause, each of the following shall be deemed to be Cash Equivalents:</w:t>
      </w:r>
    </w:p>
    <w:p>
      <w:pPr>
        <w:spacing w:after="0" w:line="62" w:lineRule="exact"/>
        <w:rPr>
          <w:rFonts w:ascii="Arial" w:cs="Arial" w:eastAsia="Arial" w:hAnsi="Arial"/>
          <w:sz w:val="18"/>
          <w:szCs w:val="18"/>
          <w:color w:val="auto"/>
        </w:rPr>
      </w:pPr>
    </w:p>
    <w:p>
      <w:pPr>
        <w:ind w:left="460" w:right="140" w:firstLine="443"/>
        <w:spacing w:after="0" w:line="257" w:lineRule="auto"/>
        <w:tabs>
          <w:tab w:leader="none" w:pos="1143"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liabilities (as shown on Spectrum Brands’ or such Restricted Subsidiary’s most recent balance sheet) of Spectrum Brands or any Restricted Subsidiary (other than contingent liabilities, Indebtedness that is by its terms subordinated to the 2024 notes or any Note Guarantee and liabilities to the extent owed to Spectrum Brands or any Affiliate of Spectrum Brands) that are assumed by the transferee of any such assets and with respect to which Spectrum Brands and its Restricted Subsidiaries are unconditionally released from further liability in writing or that are otherwise cancelled or terminated in connection with the transaction with such transferee;</w:t>
      </w:r>
    </w:p>
    <w:p>
      <w:pPr>
        <w:spacing w:after="0" w:line="80" w:lineRule="exact"/>
        <w:rPr>
          <w:rFonts w:ascii="Arial" w:cs="Arial" w:eastAsia="Arial" w:hAnsi="Arial"/>
          <w:sz w:val="18"/>
          <w:szCs w:val="18"/>
          <w:color w:val="auto"/>
        </w:rPr>
      </w:pPr>
    </w:p>
    <w:p>
      <w:pPr>
        <w:ind w:left="460" w:firstLine="443"/>
        <w:spacing w:after="0" w:line="264" w:lineRule="auto"/>
        <w:tabs>
          <w:tab w:leader="none" w:pos="1153"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Spectrum Brands or any such Restricted Subsidiary from such transferee that are converted by Spectrum Brands or such Restricted Subsidiary into cash (to the extent of the cash received in that conversion) within 180 days of the applicable Asset Sale; and</w:t>
      </w:r>
    </w:p>
    <w:p>
      <w:pPr>
        <w:spacing w:after="0" w:line="73" w:lineRule="exact"/>
        <w:rPr>
          <w:rFonts w:ascii="Arial" w:cs="Arial" w:eastAsia="Arial" w:hAnsi="Arial"/>
          <w:sz w:val="18"/>
          <w:szCs w:val="18"/>
          <w:color w:val="auto"/>
        </w:rPr>
      </w:pPr>
    </w:p>
    <w:p>
      <w:pPr>
        <w:ind w:left="460" w:right="60" w:firstLine="443"/>
        <w:spacing w:after="0" w:line="257" w:lineRule="auto"/>
        <w:tabs>
          <w:tab w:leader="none" w:pos="1143"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Designated Non-cash Consideration received by Spectrum Brands or any of its Restricted Subsidiaries in such Asset Sale having an aggregate fair market value, taken together with all other Designated Non-cash Consideration received pursuant to this clause (c) that is at that time outstanding, not to exceed the greater of $10.0 million or 1.5% of Consolidated Cash Flow at the time of the receipt of such Designated Non-cash Consideration (with the fair market value of each item of Designated Non-cash Consideration being measured at the time received and without giving effect to subsequent changes in value).</w:t>
      </w:r>
    </w:p>
    <w:p>
      <w:pPr>
        <w:spacing w:after="0" w:line="1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at any time any non-cash consideration received by Spectrum Brands or any Restricted Subsidiary, as the case may be, in connection with any Asset Sale is repaid or converted into or sold or otherwise disposed of for cash (other than interest received with respect to any such non-cash consideration), then the date of such repayment, conversion or disposition shall be deemed to constitute the date of an Asset Sale hereunder and the Net Proceeds thereof shall be applied in accordance with this covenant.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320"/>
          </w:cols>
          <w:pgMar w:left="240" w:top="460"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Within 365 days after the receipt of any Net Proceeds from an Asset Sale, Spectrum Brands may apply such Net Proceeds at its option:</w:t>
      </w:r>
    </w:p>
    <w:p>
      <w:pPr>
        <w:spacing w:after="0" w:line="225" w:lineRule="exact"/>
        <w:rPr>
          <w:sz w:val="20"/>
          <w:szCs w:val="20"/>
          <w:color w:val="auto"/>
        </w:rPr>
      </w:pPr>
    </w:p>
    <w:p>
      <w:pPr>
        <w:ind w:right="460" w:firstLine="464"/>
        <w:spacing w:after="0" w:line="264" w:lineRule="auto"/>
        <w:tabs>
          <w:tab w:leader="none" w:pos="71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repay secured Indebtedness or Indebtedness of a non-Guarantor Restricted Subsidiary owed to a Person that is not an Affiliate of Spectrum Brands and, except in the case of Indebtedness under the Revolving Credit Agreement, if the Indebtedness repaid is revolving credit Indebtedness, to correspondingly reduce commitments with respect thereto;</w:t>
      </w:r>
    </w:p>
    <w:p>
      <w:pPr>
        <w:spacing w:after="0" w:line="181" w:lineRule="exact"/>
        <w:rPr>
          <w:rFonts w:ascii="Arial" w:cs="Arial" w:eastAsia="Arial" w:hAnsi="Arial"/>
          <w:sz w:val="18"/>
          <w:szCs w:val="18"/>
          <w:color w:val="auto"/>
        </w:rPr>
      </w:pPr>
    </w:p>
    <w:p>
      <w:pPr>
        <w:ind w:firstLine="464"/>
        <w:spacing w:after="0" w:line="264" w:lineRule="auto"/>
        <w:tabs>
          <w:tab w:leader="none" w:pos="71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prepay, repay or repurchase any Indebtedness of Spectrum Brands or any of its Restricted Subsidiaries which is not expressly subordinated to the prior payment in full in cash of all Obligations with respect to the 2024 notes, in the case of Spectrum Brands, or the Note Guarantee, in the case of a Guarantor; or</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to purchase Replacement Assets or make a capital expenditure in or that is used or useful in a Permitted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during the</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365 day period following the consummation of an Asset Sale, Spectrum Brands or a Restricted Subsidiary enters into a definitive binding agreement committing it to apply the Net Proceeds in accordance with the requirements of this clause (3) after such 365 day period, such 365 day period will be extended with respect to the amount of Net Proceeds so committed until such Net Proceeds are required to be applied in accordance with such agreement (but such extension will in no event be for a period longer than 180 days) or, if earlier, the date of termination of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event such binding commitment is later canceled or terminated for any reason before such Net Proceeds are so applied, then such Net Proceeds shall constitute Excess Proceeds unless Spectrum Brands or such Restricted Subsidiary enters into another binding commitment (a “Second Commitment”) within six months of such cancellation or termination of the prior binding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Spectrum Brands or such Restricted Subsidiary may only enter into a Second Commitment under the foregoing provision one time with respect to each Asset Sale and to the extent such Second Commitment is later cancelled or terminated for any reason before such Net Proceeds are applied or are not applied within 180 days of such Second Commitment, then such Net Proceeds shall constitute Excess Proceeds.</w:t>
      </w:r>
    </w:p>
    <w:p>
      <w:pPr>
        <w:spacing w:after="0" w:line="18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Following the entering into of a binding agreement with respect to an Asset Sale and prior to the consummation thereof, Cash Equivalents (whether or not actual Net Proceeds of such Asset Sale) used for the purposes described in clause (3) that are designated as used in accordance with clause (3), and not previously or subsequently so designated in respect of any other Asset Sale, shall be deemed to be Net Proceeds applied in accordance with clause (3).</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Pending the final application of any such Net Proceeds, Spectrum Brands may temporarily reduce revolving credit borrowings or otherwise invest such Net Proceeds in any manner that is not prohibited by the 2024 notes indenture.</w:t>
      </w:r>
    </w:p>
    <w:p>
      <w:pPr>
        <w:spacing w:after="0" w:line="17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Any Net Proceeds from Asset Sales that are not applied or invested as provided in clause (1), (2) or (3) of the second preceding paragraph will constitute “Excess Proceeds.” Within 30 days after the aggregate amount of Excess Proceeds exceeds $50.0 million, Spectrum Brands will make an Asset Sale Offer to all Noteholders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2024 notes or any Note Guarantee containing provisions similar to those set forth in the 2024 notes indenture with respect to offers to purchase with the proceeds of sales of assets, to purchase the maximum principal amount of the 2024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Spectrum Brands and its Restricted Subsidiaries may make an Asset Sale Offer under this section using Net Proceeds prior to the time any such Net Proceeds become Excess Proceeds, in which case such Net Proceeds shall be deemed to have been applied within the time frame required by this covenant. The offer price in any Asset Sale Offer will be equal to 100% of the principal amount of the 2024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plus accrued and unpaid interest to the date of purchase, and will be payable in cash. If any Excess Proceeds remain after consummation of an Asset Sale Offer, Spectrum Brands may use such Excess Proceeds for any purpose not otherwise prohibited by the 2024 notes indenture. If the aggregate principal amount of the 2024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2024 notes and such other </w:t>
      </w:r>
      <w:r>
        <w:rPr>
          <w:rFonts w:ascii="Arial" w:cs="Arial" w:eastAsia="Arial" w:hAnsi="Arial"/>
          <w:sz w:val="16"/>
          <w:szCs w:val="16"/>
          <w:i w:val="1"/>
          <w:iCs w:val="1"/>
          <w:color w:val="auto"/>
        </w:rPr>
        <w:t>pari</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passu </w:t>
      </w:r>
      <w:r>
        <w:rPr>
          <w:rFonts w:ascii="Arial" w:cs="Arial" w:eastAsia="Arial" w:hAnsi="Arial"/>
          <w:sz w:val="16"/>
          <w:szCs w:val="16"/>
          <w:color w:val="auto"/>
        </w:rPr>
        <w:t>Indebtedness shall be purchased on a pro rata basis based on the principal amount of the 2024 notes and such other</w:t>
      </w:r>
      <w:r>
        <w:rPr>
          <w:rFonts w:ascii="Arial" w:cs="Arial" w:eastAsia="Arial" w:hAnsi="Arial"/>
          <w:sz w:val="16"/>
          <w:szCs w:val="16"/>
          <w:i w:val="1"/>
          <w:iCs w:val="1"/>
          <w:color w:val="auto"/>
        </w:rPr>
        <w:t xml:space="preserve"> pari passu </w:t>
      </w:r>
      <w:r>
        <w:rPr>
          <w:rFonts w:ascii="Arial" w:cs="Arial" w:eastAsia="Arial" w:hAnsi="Arial"/>
          <w:sz w:val="16"/>
          <w:szCs w:val="16"/>
          <w:color w:val="auto"/>
        </w:rPr>
        <w:t>Indebtedness tendered.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completion of each Asset Sale Offer, the amount of Excess Proceeds shall be reset at zero.</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Spectrum Brands will comply with the requirements of Rule 14e-1 under the Exchange Act and any other securities laws and regulations thereunder to the extent such laws and regulations are applicable in connection with each repurchase of the 2024 notes pursuant to an Asset Sale Offer. To the extent that the provisions of any securities laws or regulations conflict with the Asset Sales provisions of the 2024 notes indenture, Spectrum Brands will comply with the applicable securities laws and regulations and will not be deemed to have breached its obligations under the Asset Sale provisions of the 2024 notes indenture by virtue of such compliance.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Board of Directors may designate any Restricted Subsidiary to be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5" w:lineRule="exact"/>
        <w:rPr>
          <w:sz w:val="20"/>
          <w:szCs w:val="20"/>
          <w:color w:val="auto"/>
        </w:rPr>
      </w:pPr>
    </w:p>
    <w:p>
      <w:pPr>
        <w:ind w:right="20" w:firstLine="464"/>
        <w:spacing w:after="0" w:line="259" w:lineRule="auto"/>
        <w:tabs>
          <w:tab w:leader="none" w:pos="71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Guarantee by Spectrum Brands or any Restricted Subsidiary of any Indebtedness of the Subsidiary being so designated will be deemed to be an incurrence of Indebtedness by Spectrum Brands or such Restricted Subsidiary (or both, if applicable) at the time of such designation, and such incurrence of Indebtedness would be permitted under the covenant described above under the caption “—Certain Covenants—Incurrence of Indebtedness and Issuance of Preferred Stock”;</w:t>
      </w:r>
    </w:p>
    <w:p>
      <w:pPr>
        <w:spacing w:after="0" w:line="186"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aggregate fair market value of all outstanding Investments owned by Spectrum Brands and its Restricted Subsidiaries in the Subsidiary being so designated (including any Guarantee by Spectrum Brands or any Restricted Subsidiary of any Indebtedness of such Subsidiary) will be deemed to be a Restricted Investment made as of the time of such designation and that such Investment would be permitted under the covenant described above under the caption “—Certain Covenants—Restricted Payments”;</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such Subsidiary does not own any Equity Interests of, or hold any Liens on any Property of, Spectrum Brands or any Restricted Subsidiary;</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Subsidiary being so designated:</w:t>
      </w:r>
    </w:p>
    <w:p>
      <w:pPr>
        <w:spacing w:after="0" w:line="117" w:lineRule="exact"/>
        <w:rPr>
          <w:rFonts w:ascii="Arial" w:cs="Arial" w:eastAsia="Arial" w:hAnsi="Arial"/>
          <w:sz w:val="18"/>
          <w:szCs w:val="18"/>
          <w:color w:val="auto"/>
        </w:rPr>
      </w:pPr>
    </w:p>
    <w:p>
      <w:pPr>
        <w:ind w:left="460" w:firstLine="443"/>
        <w:spacing w:after="0" w:line="277" w:lineRule="auto"/>
        <w:tabs>
          <w:tab w:leader="none" w:pos="114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is not party to any agreement, contract, arrangement or understanding with Spectrum Brands or any Restricted Subsidiary of Spectrum Brands that would not be permitted under “Transactions with Affiliates” and;</w:t>
      </w:r>
    </w:p>
    <w:p>
      <w:pPr>
        <w:spacing w:after="0" w:line="62" w:lineRule="exact"/>
        <w:rPr>
          <w:rFonts w:ascii="Arial" w:cs="Arial" w:eastAsia="Arial" w:hAnsi="Arial"/>
          <w:sz w:val="18"/>
          <w:szCs w:val="18"/>
          <w:color w:val="auto"/>
        </w:rPr>
      </w:pPr>
    </w:p>
    <w:p>
      <w:pPr>
        <w:ind w:left="460" w:right="200" w:firstLine="443"/>
        <w:spacing w:after="0" w:line="264" w:lineRule="auto"/>
        <w:tabs>
          <w:tab w:leader="none" w:pos="115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except as permitted under clauses (1) and (2) above is a Person with respect to which neither Spectrum Brands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Default or Event of Default would be in existence following such designation.</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If, at any time, any Unrestricted Subsidiary would fail to meet any of the preceding requirements described in clause (4) above, it shall thereafter cease to be an Unrestricted Subsidiary for purposes of the 2024 notes indenture and any Indebtedness, Investments, or Liens on the property, of such Subsidiary shall be deemed to be incurred by a Restricted Subsidiary of Spectrum Brands as of such date and, if such Indebtedness, Investments or Liens are not permitted to be incurred as of such date under the 2024 notes indenture, Spectrum Brands shall be in default under the 2024 notes indenture.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Board of Directors of Spectrum Brands may at any time designate any Unrestricted Subsidiary to be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37" w:lineRule="exact"/>
        <w:rPr>
          <w:sz w:val="20"/>
          <w:szCs w:val="20"/>
          <w:color w:val="auto"/>
        </w:rPr>
      </w:pPr>
    </w:p>
    <w:p>
      <w:pPr>
        <w:ind w:right="840" w:firstLine="464"/>
        <w:spacing w:after="0" w:line="277" w:lineRule="auto"/>
        <w:tabs>
          <w:tab w:leader="none" w:pos="71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such designation shall be deemed to be an incurrence of Indebtedness by a Restricted Subsidiary of Spectrum Brands of any outstanding Indebtedness of such Unrestricted Subsidiary and such designation shall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only be permitted if such Indebtedness is permitted under the covenant described under the caption “</w:t>
      </w:r>
      <w:r>
        <w:rPr>
          <w:rFonts w:ascii="Arial" w:cs="Arial" w:eastAsia="Arial" w:hAnsi="Arial"/>
          <w:sz w:val="16"/>
          <w:szCs w:val="16"/>
          <w:i w:val="1"/>
          <w:iCs w:val="1"/>
          <w:color w:val="auto"/>
        </w:rPr>
        <w:t>—</w:t>
      </w:r>
      <w:r>
        <w:rPr>
          <w:rFonts w:ascii="Arial" w:cs="Arial" w:eastAsia="Arial" w:hAnsi="Arial"/>
          <w:sz w:val="16"/>
          <w:szCs w:val="16"/>
          <w:color w:val="auto"/>
        </w:rPr>
        <w:t>Certain Covenants—Incurrence of Indebtedness and Issuance of Preferred Stock,” calculated on a pro forma basis as if such designation had occurred at the beginning of the four-quarter reference period;</w:t>
      </w:r>
    </w:p>
    <w:p>
      <w:pPr>
        <w:spacing w:after="0" w:line="124" w:lineRule="exact"/>
        <w:rPr>
          <w:sz w:val="20"/>
          <w:szCs w:val="20"/>
          <w:color w:val="auto"/>
        </w:rPr>
      </w:pPr>
    </w:p>
    <w:p>
      <w:pPr>
        <w:ind w:right="180" w:firstLine="464"/>
        <w:spacing w:after="0" w:line="264" w:lineRule="auto"/>
        <w:tabs>
          <w:tab w:leader="none" w:pos="71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outstanding Investments owned by such Unrestricted Subsidiary will be deemed to be made as of the time of such designation and such Investments shall only be permitted if such Investments would be permitted under the covenant described above under the caption “—Certain Covenants— Restricted Payments”;</w:t>
      </w:r>
    </w:p>
    <w:p>
      <w:pPr>
        <w:spacing w:after="0" w:line="181"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Liens upon property or assets of such Unrestricted Subsidiary existing at the time of such designation would be permitted under the caption “— Certain Covenants—Liens”;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 Default or Event of Default would be in existence following such designation.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Spectrum Brands or any of its Restricted Subsidiaries acquires or creates another Domestic Subsidiary on or after the Issue Date, then that newly acquired or created Domestic Subsidiary must promptly become a Guarantor and execute a supplemental indenture and deliver an opinion of counsel to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Spectrum Brands or another Guarantor unless:</w:t>
      </w:r>
    </w:p>
    <w:p>
      <w:pPr>
        <w:spacing w:after="0" w:line="103" w:lineRule="exact"/>
        <w:rPr>
          <w:sz w:val="20"/>
          <w:szCs w:val="20"/>
          <w:color w:val="auto"/>
        </w:rPr>
      </w:pPr>
    </w:p>
    <w:p>
      <w:pPr>
        <w:ind w:left="1160" w:hanging="257"/>
        <w:spacing w:after="0"/>
        <w:tabs>
          <w:tab w:leader="none" w:pos="11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right="20" w:firstLine="421"/>
        <w:spacing w:after="0" w:line="259" w:lineRule="auto"/>
        <w:tabs>
          <w:tab w:leader="none" w:pos="1585"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(if other than the Guarantor) is a Person organized or existing under the laws of the United States, any state thereof or the District of Columbia and assumes all the obligations of that Guarantor under the 2024 notes indenture, Note Guarantee and the Registration Rights Agreement pursuant to a supplemental indenture satisfactory to the Trustee; or</w:t>
      </w:r>
    </w:p>
    <w:p>
      <w:pPr>
        <w:spacing w:after="0" w:line="78" w:lineRule="exact"/>
        <w:rPr>
          <w:rFonts w:ascii="Arial" w:cs="Arial" w:eastAsia="Arial" w:hAnsi="Arial"/>
          <w:sz w:val="18"/>
          <w:szCs w:val="18"/>
          <w:color w:val="auto"/>
        </w:rPr>
      </w:pPr>
    </w:p>
    <w:p>
      <w:pPr>
        <w:ind w:left="920" w:right="240" w:firstLine="421"/>
        <w:spacing w:after="0" w:line="277" w:lineRule="auto"/>
        <w:tabs>
          <w:tab w:leader="none" w:pos="1595"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except in the case of Holdings, such sale or other disposition or consolidation or merger complies with the covenant described above under the caption “—Repurchase at the Option of Holders—Asset Sales.”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 Guarantee of a Guarantor (other than Holdings) will be released:</w:t>
      </w:r>
    </w:p>
    <w:p>
      <w:pPr>
        <w:spacing w:after="0" w:line="225" w:lineRule="exact"/>
        <w:rPr>
          <w:sz w:val="20"/>
          <w:szCs w:val="20"/>
          <w:color w:val="auto"/>
        </w:rPr>
      </w:pPr>
    </w:p>
    <w:p>
      <w:pPr>
        <w:ind w:firstLine="464"/>
        <w:spacing w:after="0" w:line="264" w:lineRule="auto"/>
        <w:tabs>
          <w:tab w:leader="none" w:pos="7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a Guarantor to a Person that is not (either before or after giving effect to such transaction) Spectrum Brands or a Restricted Subsidiary, if the sale of all such Capital Stock of that Guarantor does not violate the covenant described above under the caption “—Repurchase at the Option of Holders—Asset Sales”;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if Spectrum Brands designates such Guarantor as an Unrestricted Subsidiary in accordance with the provisions of the 2024 notes indenture;</w:t>
      </w:r>
    </w:p>
    <w:p>
      <w:pPr>
        <w:spacing w:after="0" w:line="236" w:lineRule="exact"/>
        <w:rPr>
          <w:rFonts w:ascii="Arial" w:cs="Arial" w:eastAsia="Arial" w:hAnsi="Arial"/>
          <w:sz w:val="17"/>
          <w:szCs w:val="17"/>
          <w:color w:val="auto"/>
        </w:rPr>
      </w:pPr>
    </w:p>
    <w:p>
      <w:pPr>
        <w:ind w:right="60" w:firstLine="464"/>
        <w:spacing w:after="0" w:line="277" w:lineRule="auto"/>
        <w:tabs>
          <w:tab w:leader="none" w:pos="7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legal or covenant defeasance of the 2024 notes or satisfaction and discharge of the 2024 notes indenture as provided below under the captions “—Legal Defeasance and Covenant Defeasance” and “—Satisfaction and Discharge” or;</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upon a sale of Capital Stock which causes such Guarantor to cease to be a Subsidiary if such sale does not violate any of the provisions of the 2024 notes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Guarantor is concurrently released from any other Guarantees of Indebtedness of Spectrum Brands or any of its Restricted Subsidiaries at such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So long as any 2024 notes are outstanding, Spectrum Brands will file with the U.S. Securities and Exchange Commission (“Commission”) and furnish to the Trustee and, upon request, to the Holders:</w:t>
      </w:r>
    </w:p>
    <w:p>
      <w:pPr>
        <w:spacing w:after="0" w:line="170" w:lineRule="exact"/>
        <w:rPr>
          <w:sz w:val="20"/>
          <w:szCs w:val="20"/>
          <w:color w:val="auto"/>
        </w:rPr>
      </w:pPr>
    </w:p>
    <w:p>
      <w:pPr>
        <w:ind w:left="720" w:hanging="256"/>
        <w:spacing w:after="0"/>
        <w:tabs>
          <w:tab w:leader="none" w:pos="7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within 90 days after the end of each fiscal year, an annual report on Form 10-K;</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fiscal quarters of each fiscal year, a quarterly report on Form 10-Q;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promptly from time to time after the occurrence of an event required to be therein reported pursuant to Form 8-K, a current report on Form 8-K.</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Spectrum Brands is no longer subject to the periodic reporting requirements of the Exchange Act for any reason, Spectrum Brands will nevertheless continue filing the reports specified in the preceding paragraphs of this covenant with the Commission within the time periods specified above unless the Commission will not accept such a filing. If the Commission will not accept Spectrum Brands’ filings for any reason, Spectrum Brands will furnish the reports referred to in the preceding paragraphs to the Trustee within the time periods that would apply if Spectrum Brands were required to file those reports with the Commission. Spectrum Brands will not take any action for the purpose of causing the Commission not to accept any such filings. Any information filed with, or furnished to, the Commission via EDGAR shall be deemed to have been made available to the Trustee and the registered holders of the 2024 notes.</w:t>
      </w:r>
    </w:p>
    <w:p>
      <w:pPr>
        <w:spacing w:after="0" w:line="18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Notwithstanding the foregoing, (A) if Holdings or any other direct or indirect parent of Spectrum Brands fully and unconditionally guarantees the 2024 notes, the filing of such reports by such parent within the time periods specified above will satisfy such obligations of Spectrum Brands;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reports shall include the information required by Rule 3-10 of Regulation S-X with respect to Spectrum Brands and the Guarantors and (B) if neither Spectrum Brands nor Holdings is subject to Section 13 or 15(d) of the Exchange Act, the financial statements, information and other documents required to be provided as described above, may be those of (i) Spectrum Brands or (ii) any direct or indirect parent of Spectrum Brands, so long as in the case of</w:t>
      </w:r>
    </w:p>
    <w:p>
      <w:pPr>
        <w:spacing w:after="0" w:line="2" w:lineRule="exact"/>
        <w:rPr>
          <w:sz w:val="20"/>
          <w:szCs w:val="20"/>
          <w:color w:val="auto"/>
        </w:rPr>
      </w:pPr>
    </w:p>
    <w:p>
      <w:pPr>
        <w:ind w:right="60" w:firstLine="8"/>
        <w:spacing w:after="0" w:line="253" w:lineRule="auto"/>
        <w:tabs>
          <w:tab w:leader="none" w:pos="26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such direct or indirect parent of Spectrum Brands shall not conduct, transact or otherwise engage, or commit to conduct, transact or otherwise engage, in any business or operations other than its direct or indirect ownership of all of the Equity Interests in, and its management of Spectrum Brands;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financial information so furnished relates to such direct or indirect parent of Spectrum Brands, the same is accompanied by a reasonably detailed description of the quantitative differences between the information relating to such parent, on the one hand, and the information relating to the Spectrum Brands and its Restricted Subsidiaries on a standalone basis, on the other hand.</w:t>
      </w:r>
    </w:p>
    <w:p>
      <w:pPr>
        <w:spacing w:after="0" w:line="19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Spectrum Brands shall distribute such information and such reports to the Trustee, and make them available, upon request, to any Holder and to any such prospective investor or securities analyst. To the extent not satisfied by the foregoing, Spectrum Brands shall also make publicly available the information required to be available pursuant to Rule 144A(d)(4) under the Securities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Activities of Holdings</w:t>
      </w:r>
    </w:p>
    <w:p>
      <w:pPr>
        <w:spacing w:after="0" w:line="117"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Holdings shall not engage in any material activities or hold any material assets other than holding the Capital Stock of Spectrum Brands and those activities incidental thereto and will not incur any material liabilities other than liabilities relating to its Guarantee of the 2024 notes, its Guarantee of any other Indebtedness of Spectrum Brands or any of its Subsidiaries and any other obligations or liabilities incidental to its activities as a holding company.</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225" w:lineRule="exact"/>
        <w:rPr>
          <w:sz w:val="20"/>
          <w:szCs w:val="20"/>
          <w:color w:val="auto"/>
        </w:rPr>
      </w:pPr>
    </w:p>
    <w:p>
      <w:pPr>
        <w:ind w:left="720" w:hanging="256"/>
        <w:spacing w:after="0"/>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2024 notes;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default in payment when due (whether at maturity, upon acceleration, redemption or otherwise) of the principal of, or premium, if any, on the 2024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right="40" w:firstLine="464"/>
        <w:spacing w:after="0" w:line="286" w:lineRule="auto"/>
        <w:tabs>
          <w:tab w:leader="none" w:pos="71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failure by Spectrum Brands or any of its Restricted Subsidiaries to comply with the provisions described under the captions “—Repurchase at the Option of Holders—Change of Control,” “—Repurchase at the Option of Holders—Asset Sales” or “—Certain Covenants—Merger, Consolidation or Sale of Assets” or the provisions described in the second paragraph under the caption “—Certain Covenants—Guarantees”;</w:t>
      </w:r>
    </w:p>
    <w:p>
      <w:pPr>
        <w:spacing w:after="0" w:line="165" w:lineRule="exact"/>
        <w:rPr>
          <w:rFonts w:ascii="Arial" w:cs="Arial" w:eastAsia="Arial" w:hAnsi="Arial"/>
          <w:sz w:val="17"/>
          <w:szCs w:val="17"/>
          <w:color w:val="auto"/>
        </w:rPr>
      </w:pPr>
    </w:p>
    <w:p>
      <w:pPr>
        <w:ind w:right="20" w:firstLine="464"/>
        <w:spacing w:after="0" w:line="308" w:lineRule="auto"/>
        <w:tabs>
          <w:tab w:leader="none" w:pos="71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failure by Spectrum Brands or any of its Restricted Subsidiaries for 60 days after written notice by the Trustee or Holders representing 25% or more of the aggregate principal amount of 2024 notes outstanding to comply with any of the other agreements in the 2024 notes indenture;</w:t>
      </w:r>
    </w:p>
    <w:p>
      <w:pPr>
        <w:spacing w:after="0" w:line="146" w:lineRule="exact"/>
        <w:rPr>
          <w:rFonts w:ascii="Arial" w:cs="Arial" w:eastAsia="Arial" w:hAnsi="Arial"/>
          <w:sz w:val="17"/>
          <w:szCs w:val="17"/>
          <w:color w:val="auto"/>
        </w:rPr>
      </w:pPr>
    </w:p>
    <w:p>
      <w:pPr>
        <w:ind w:right="180" w:firstLine="464"/>
        <w:spacing w:after="0" w:line="286" w:lineRule="auto"/>
        <w:tabs>
          <w:tab w:leader="none" w:pos="71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Spectrum Brands or any of its Restricted Subsidiaries (or the payment of which is Guaranteed by Spectrum Brands or any of its Restricted Subsidiaries) whether such Indebtedness or Guarantee now exists, or is created after the Issue Date, if that default:</w:t>
      </w:r>
    </w:p>
    <w:p>
      <w:pPr>
        <w:spacing w:after="0" w:line="165" w:lineRule="exact"/>
        <w:rPr>
          <w:rFonts w:ascii="Arial" w:cs="Arial" w:eastAsia="Arial" w:hAnsi="Arial"/>
          <w:sz w:val="17"/>
          <w:szCs w:val="17"/>
          <w:color w:val="auto"/>
        </w:rPr>
      </w:pPr>
    </w:p>
    <w:p>
      <w:pPr>
        <w:ind w:left="1140" w:hanging="237"/>
        <w:spacing w:after="0"/>
        <w:tabs>
          <w:tab w:leader="none" w:pos="11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is caused by a failure to make any payment of principal at the final maturity of such Indebtedness (a “Payment Default”);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$75.0 million or more;</w:t>
      </w:r>
    </w:p>
    <w:p>
      <w:pPr>
        <w:spacing w:after="0" w:line="170" w:lineRule="exact"/>
        <w:rPr>
          <w:sz w:val="20"/>
          <w:szCs w:val="20"/>
          <w:color w:val="auto"/>
        </w:rPr>
      </w:pPr>
    </w:p>
    <w:p>
      <w:pPr>
        <w:ind w:right="340" w:firstLine="464"/>
        <w:spacing w:after="0" w:line="264" w:lineRule="auto"/>
        <w:tabs>
          <w:tab w:leader="none" w:pos="71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failure by Spectrum Brands or any of its Restricted Subsidiaries to pay final judgments (to the extent such judgments are not paid or covered by insurance provided by a carrier that has acknowledged coverage in writing and has the ability to perform) aggregating in excess of $75.0 million, which judgments are not paid, discharged or stayed for a period of 60 days;</w:t>
      </w:r>
    </w:p>
    <w:p>
      <w:pPr>
        <w:spacing w:after="0" w:line="181"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permitted by the 2024 notes indenture, any Note Guarantee shall be held in any judicial proceeding to be unenforceable or invalid or shall cease for any reason to be in full force and effect or any Guarantor, or any authorized Person acting on behalf of any Guarantor, shall deny or disaffirm its obligations under its Note Guarantee; and</w:t>
      </w:r>
    </w:p>
    <w:p>
      <w:pPr>
        <w:spacing w:after="0" w:line="181" w:lineRule="exact"/>
        <w:rPr>
          <w:rFonts w:ascii="Arial" w:cs="Arial" w:eastAsia="Arial" w:hAnsi="Arial"/>
          <w:sz w:val="18"/>
          <w:szCs w:val="18"/>
          <w:color w:val="auto"/>
        </w:rPr>
      </w:pPr>
    </w:p>
    <w:p>
      <w:pPr>
        <w:ind w:right="400" w:firstLine="464"/>
        <w:spacing w:after="0" w:line="277" w:lineRule="auto"/>
        <w:tabs>
          <w:tab w:leader="none" w:pos="71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Spectrum Brands, any Significant Subsidiary of Spectrum Brands (or any Restricted Subsidiaries that together would constitute a Significant Subsidiary).</w:t>
      </w:r>
    </w:p>
    <w:p>
      <w:pPr>
        <w:spacing w:after="0" w:line="17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the case of an Event of Default arising from certain events of bankruptcy or insolvency, with respect to Spectrum Brands, all outstanding 2024 notes will become due and payable immediately without further action or notice. If any other Event of Default occurs and is continuing, the Trustee or the Holders of at least 25% in principal amount of the then outstanding 2024 notes may declare all the 2024 notes to be due and payable immediately by notice in writing to Spectrum Brands specifying the Event of Default.</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Holders of the 2024 notes may not enforce the 2024 notes indenture or the 2024 notes except as provided in the 2024 notes indenture. Subject to certain limitations, Holders of a majority in principal amount of the then outstanding 2024 notes may direct the Trustee in its exercise of any trust or power. The Trustee may withhold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Holders of the 2024 notes notice of any Default or Event of Default (except a Default or Event of Default relating to the payment of principal or interest) if it determines that withholding notice is in their interest.</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Holders of a majority in aggregate principal amount of the 2024 notes then outstanding by notice to the Trustee may on behalf of the Holders of all of the 2024 notes waive any existing Default or Event of Default and its consequences under the 2024 notes indenture except a continuing Default or Event of Default in the payment of interest on, or the principal of, the 2024 notes. The Holders of a majority in principal amount of the 2024 notes then outstanding will have the right to direct the time, method and place of conducting any proceeding for exercising any remedy available to the Trustee. However, the Trustee may refuse to follow any direction that conflicts with law or the 2024 notes indenture, that may involve the Trustee in personal liability, or that the Trustee determines in good faith may be unduly prejudicial to the rights of Holders not joining in the giving of such direction and may take any other action it deems proper that is not inconsistent with any such direction received from Holders.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Holder may not institute any proceeding, judicial or otherwise, with respect to the 2024 notes indenture or the 2024 notes, or form the appointment of a recipient or a trustee, or pursue any remedy with respect to the 2024 notes indenture or the 2024 notes unless:</w:t>
      </w:r>
    </w:p>
    <w:p>
      <w:pPr>
        <w:spacing w:after="0" w:line="170" w:lineRule="exact"/>
        <w:rPr>
          <w:sz w:val="20"/>
          <w:szCs w:val="20"/>
          <w:color w:val="auto"/>
        </w:rPr>
      </w:pPr>
    </w:p>
    <w:p>
      <w:pPr>
        <w:ind w:left="720" w:hanging="256"/>
        <w:spacing w:after="0"/>
        <w:tabs>
          <w:tab w:leader="none" w:pos="7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outstanding 2024 notes make a written request to the Trustee to pursue the remedy;</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25"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2024 notes do not give the Trustee a direction that is inconsistent with the request.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However, such limitations do not apply to the right of any Holder of a 2024 note to receive payment of the principal of, premium, if any, or interest on, such 2024 note or to bring suit for the enforcement of any such payment, on or after the due date expressed in the 2024 note, which right shall not be impaired or affected without the consent of the Holder.</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Spectrum Brands is required to deliver to the Trustee annually within 120 days after the end of each fiscal year a statement regarding compliance with the 2024 notes indenture. Upon becoming aware of any Default or Event of Default, Spectrum Brands is required to deliver to the Trustee a statement specifying such Default or Event of Default.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No director, officer, employee, incorporator, stockholder or controlling person of Spectrum Brands or any Guarantor, as such, shall have any liability for any obligations of Spectrum Brands or the Guarantors under the 2024 note, the 2024 notes indenture, the Note Guarantees, or for any claim based on, in respect of, or by reason of, such obligations or their creation. Each Holder of 2024 notes by accepting a 2024 note waives and releases all such liability. The waiver and release are part of the consideration for issuance of the 2024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2024 notes indenture will be discharged and will cease to be of further effect as to all 2024 notes issued thereunder, when:</w:t>
      </w:r>
    </w:p>
    <w:p>
      <w:pPr>
        <w:spacing w:after="0" w:line="225" w:lineRule="exact"/>
        <w:rPr>
          <w:sz w:val="20"/>
          <w:szCs w:val="20"/>
          <w:color w:val="auto"/>
        </w:rPr>
      </w:pPr>
    </w:p>
    <w:p>
      <w:pPr>
        <w:ind w:left="720" w:hanging="256"/>
        <w:spacing w:after="0"/>
        <w:tabs>
          <w:tab w:leader="none" w:pos="7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right="300" w:firstLine="443"/>
        <w:spacing w:after="0" w:line="264" w:lineRule="auto"/>
        <w:tabs>
          <w:tab w:leader="none" w:pos="1143"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all 2024 notes that have been authenticated (except lost, stolen or destroyed 2024 notes that have been replaced or paid and 2024 notes for whose payment money has theretofore been deposited in trust and thereafter repaid to Spectrum Brands) have been delivered to the Trustee for cancellation; or</w:t>
      </w:r>
    </w:p>
    <w:p>
      <w:pPr>
        <w:spacing w:after="0" w:line="73" w:lineRule="exact"/>
        <w:rPr>
          <w:rFonts w:ascii="Arial" w:cs="Arial" w:eastAsia="Arial" w:hAnsi="Arial"/>
          <w:sz w:val="18"/>
          <w:szCs w:val="18"/>
          <w:color w:val="auto"/>
        </w:rPr>
      </w:pPr>
    </w:p>
    <w:p>
      <w:pPr>
        <w:ind w:left="460" w:firstLine="443"/>
        <w:spacing w:after="0" w:line="255" w:lineRule="auto"/>
        <w:tabs>
          <w:tab w:leader="none" w:pos="1153"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all 2024 notes that have not been delivered to the Trustee for cancellation have become due and payable by reason of the making of a notice of redemption or otherwise or will become due and payable within one year and Spectrum Brands or any Guarantor has irrevocably deposited or caused to be deposited with the Trustee as trust funds in trust solely for the benefit of the Holders, cash in U.S. dollars, non-callable Government Securities, or a combination thereof, in such amounts, as determined by Spectrum Brands, as will be sufficient without consideration of any reinvestment of interest, to pay and discharge the entire Indebtedness on the 2024 notes not delivered to the Trustee for cancellation for principal, premium, if any, and accrued interest to the date of maturity or redemption;</w:t>
      </w:r>
    </w:p>
    <w:p>
      <w:pPr>
        <w:spacing w:after="0" w:line="193" w:lineRule="exact"/>
        <w:rPr>
          <w:rFonts w:ascii="Arial" w:cs="Arial" w:eastAsia="Arial" w:hAnsi="Arial"/>
          <w:sz w:val="18"/>
          <w:szCs w:val="18"/>
          <w:color w:val="auto"/>
        </w:rPr>
      </w:pPr>
    </w:p>
    <w:p>
      <w:pPr>
        <w:ind w:right="80" w:firstLine="464"/>
        <w:spacing w:after="0" w:line="259" w:lineRule="auto"/>
        <w:tabs>
          <w:tab w:leader="none" w:pos="71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(other than from the borrowing of funds to be applied to such deposit) and such deposit will not result in a breach or violation of, or constitute a default under, any other instrument (other than the 2024 notes indenture) to which Spectrum Brands or any Guarantor is a party or by which Spectrum Brands or any Guarantor is bound;</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Spectrum Brands or any Guarantor has paid or caused to be paid all sums payable by it under the 2024 notes indenture; and</w:t>
      </w:r>
    </w:p>
    <w:p>
      <w:pPr>
        <w:spacing w:after="0" w:line="225" w:lineRule="exact"/>
        <w:rPr>
          <w:rFonts w:ascii="Arial" w:cs="Arial" w:eastAsia="Arial" w:hAnsi="Arial"/>
          <w:sz w:val="18"/>
          <w:szCs w:val="18"/>
          <w:color w:val="auto"/>
        </w:rPr>
      </w:pPr>
    </w:p>
    <w:p>
      <w:pPr>
        <w:ind w:right="420" w:firstLine="464"/>
        <w:spacing w:after="0" w:line="277" w:lineRule="auto"/>
        <w:tabs>
          <w:tab w:leader="none" w:pos="71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Spectrum Brands has delivered irrevocable instructions to the Trustee under the 2024 notes indenture to apply the deposited money toward the payment of the 2024 notes at maturity or the redemption date, as the case may be.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case of satisfaction and discharge, upon any redemption that requires the payment of the Applicable Premium, the amount deposited with the trustee shall be sufficient for purposes of clause (1) above and the 2024 notes indenture to the extent that an amount is deposited with the trustee equal to the Applicable Premium calculated as of the date of such deposit, with any deficit as of the date of redemption (any such amount, the “Applicable Premium Deficit”)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addition, Spectrum Brands must deliver an officer’s certificate and an opinion of counsel to the Trustee stating that all conditions precedent to satisfaction and discharge have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Spectrum Brands may, at its option and at any time, elect to have all of its obligations discharged with respect to the outstanding 2024 notes (“Legal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Defeasance”) except for:</w:t>
      </w:r>
    </w:p>
    <w:p>
      <w:pPr>
        <w:spacing w:after="0" w:line="211" w:lineRule="exact"/>
        <w:rPr>
          <w:sz w:val="20"/>
          <w:szCs w:val="20"/>
          <w:color w:val="auto"/>
        </w:rPr>
      </w:pPr>
    </w:p>
    <w:p>
      <w:pPr>
        <w:ind w:right="40" w:firstLine="464"/>
        <w:spacing w:after="0" w:line="277" w:lineRule="auto"/>
        <w:tabs>
          <w:tab w:leader="none" w:pos="71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rights of Holders of outstanding 2024 notes to receive payments in respect of the principal of, or interest or premium, if any, on such 2024 notes when such payments are due from the trust referred to below;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64"/>
        <w:spacing w:after="0" w:line="342" w:lineRule="auto"/>
        <w:tabs>
          <w:tab w:leader="none" w:pos="71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Spectrum Brands’ obligations with respect to the 2024 notes concerning issuing temporary 2024 notes, registration of 2024 notes, mutilated, destroyed, lost or stolen 2024 notes and the maintenance of an office or agency for payment and money for security payments held in trust;</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Spectrum Brands’ and the Guarantor’s obligations in connection therewith; and</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Legal Defeasance provisions of the 2024 notes indenture.</w:t>
      </w:r>
    </w:p>
    <w:p>
      <w:pPr>
        <w:spacing w:after="0" w:line="225"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In addition, Spectrum Brands may, at its option and at any time, elect to have the obligations of Spectrum Brands and the Guarantors released with respect to most covenants that are described in the 2024 notes indenture (“Covenant Defeasance”) and thereafter any omission to comply with those covenants shall not constitute a Default or Event of Default with respect to the 2024 notes. In the event Covenant Defeasance occurs, certain events (not including non-payment, bankruptcy, receivership, rehabilitation and insolvency events) described under “Events of Default and Remedies” will no longer constitute Events of Default with respect to the 2024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right="40" w:firstLine="464"/>
        <w:spacing w:after="0" w:line="255"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Spectrum Brands must irrevocably deposit with the Trustee, in trust, for the benefit of the Holders of the 2024 notes, cash in U.S. dollars, non-callable Government Securities, or a combination thereof, in such amounts as will be sufficient, in the opinion of a nationally recognized firm of independent public accountants (or, if two or more nationally recognized firms of independent public accountants decline to issue such opinion as a matter of policy, in the opinion of Spectrum Brands’ chief financial officer) to pay the principal of, or interest and premium, if any, on the outstanding 2024 notes on the stated maturity or on the applicable redemption date, as the case may be, and Spectrum Brands must specify whether the 2024 notes are being defeased to maturity or to a particular redemption date;</w:t>
      </w:r>
    </w:p>
    <w:p>
      <w:pPr>
        <w:spacing w:after="0" w:line="193" w:lineRule="exact"/>
        <w:rPr>
          <w:rFonts w:ascii="Arial" w:cs="Arial" w:eastAsia="Arial" w:hAnsi="Arial"/>
          <w:sz w:val="18"/>
          <w:szCs w:val="18"/>
          <w:color w:val="auto"/>
        </w:rPr>
      </w:pPr>
    </w:p>
    <w:p>
      <w:pPr>
        <w:ind w:firstLine="464"/>
        <w:spacing w:after="0" w:line="255"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case of Legal Defeasance, Spectrum Brands shall have delivered to the Trustee an opinion of counsel reasonably acceptable to the Trustee confirming that (a) Spectrum Brands has received from, or there has been published by, the Internal Revenue Service a ruling or (b) since the Issue Date, there has been a change in the applicable federal income tax law, in either case to the effect that, and based thereon such opinion of counsel shall confirm that, the Holders of the outstanding 2024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93" w:lineRule="exact"/>
        <w:rPr>
          <w:rFonts w:ascii="Arial" w:cs="Arial" w:eastAsia="Arial" w:hAnsi="Arial"/>
          <w:sz w:val="18"/>
          <w:szCs w:val="18"/>
          <w:color w:val="auto"/>
        </w:rPr>
      </w:pPr>
    </w:p>
    <w:p>
      <w:pPr>
        <w:jc w:val="both"/>
        <w:ind w:firstLine="464"/>
        <w:spacing w:after="0" w:line="259"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case of Covenant Defeasance, Spectrum Brands shall have delivered to the Trustee an opinion of counsel reasonably acceptable to the Trustee confirming that the Holders of the outstanding 2024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resulting from the borrowing of funds to be applied to such deposit;</w:t>
      </w:r>
    </w:p>
    <w:p>
      <w:pPr>
        <w:spacing w:after="0" w:line="170" w:lineRule="exact"/>
        <w:rPr>
          <w:rFonts w:ascii="Arial" w:cs="Arial" w:eastAsia="Arial" w:hAnsi="Arial"/>
          <w:sz w:val="18"/>
          <w:szCs w:val="18"/>
          <w:color w:val="auto"/>
        </w:rPr>
      </w:pPr>
    </w:p>
    <w:p>
      <w:pPr>
        <w:ind w:right="240" w:firstLine="464"/>
        <w:spacing w:after="0" w:line="342" w:lineRule="auto"/>
        <w:tabs>
          <w:tab w:leader="none" w:pos="71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to which Spectrum Brands or any of its Subsidiaries is a party or by which Spectrum Brands or any of its Subsidiaries is bound;</w:t>
      </w:r>
    </w:p>
    <w:p>
      <w:pPr>
        <w:spacing w:after="0" w:line="123" w:lineRule="exact"/>
        <w:rPr>
          <w:rFonts w:ascii="Arial" w:cs="Arial" w:eastAsia="Arial" w:hAnsi="Arial"/>
          <w:sz w:val="16"/>
          <w:szCs w:val="16"/>
          <w:color w:val="auto"/>
        </w:rPr>
      </w:pPr>
    </w:p>
    <w:p>
      <w:pPr>
        <w:ind w:right="220" w:firstLine="464"/>
        <w:spacing w:after="0" w:line="264"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Spectrum Brands must deliver to the Trustee an officer’s certificate stating that the deposit was not made by Spectrum Brands with the intent of preferring the Holders of 2024 notes over the other creditors of Spectrum Brands with the intent of defeating, hindering, delaying or defrauding creditors of Spectrum Brands or others;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64"/>
        <w:spacing w:after="0" w:line="277" w:lineRule="auto"/>
        <w:tabs>
          <w:tab w:leader="none" w:pos="71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the 2024 notes are to be redeemed prior to their stated maturity, Spectrum Brands must deliver to the Trustee irrevocable instructions to redeem all of the 2024 notes on the specified redemption date; and</w:t>
      </w:r>
    </w:p>
    <w:p>
      <w:pPr>
        <w:spacing w:after="0" w:line="170"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Spectrum Brands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the case of defeasance, upon any redemption that requires the payment of the Applicable Premium, the amount deposited with the trustee shall be sufficient for purposes of clause (1) above and the 2024 notes indenture to the extent that an amount is deposited with the trustee equal to the Applicable Premium calculated as of the date of such deposit, with the Applicable Premium Deficit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legal or covenant defeasance, all Guarantees and Liens will be released.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provided in the next succeeding paragraphs, the 2024 notes indenture, the 2024 notes or the Guarantees may be amended or supplemented with the consent of the Holders of at least a majority in aggregate principal amount of the 2024 notes then outstanding (including, without limitation, consents obtained in connection with a purchase of, or tender offer or exchange offer for, 2024 notes), and any existing Default or Event of Default or compliance with any provision of the 2024 notes indenture, the 2024 notes or the Guarantees may be waived with the consent of the Holders of a majority in aggregate principal amount of the then outstanding 2024 notes (including, without limitation, consents obtained in connection with a purchase of, or tender offer or exchange offer for, 2024 notes).</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Without the consent of each Holder of 2024 notes affected, an amendment, supplement or waiver may not (with respect to any 2024 notes held by a non-consenting Holder):</w:t>
      </w:r>
    </w:p>
    <w:p>
      <w:pPr>
        <w:spacing w:after="0" w:line="170" w:lineRule="exact"/>
        <w:rPr>
          <w:sz w:val="20"/>
          <w:szCs w:val="20"/>
          <w:color w:val="auto"/>
        </w:rPr>
      </w:pPr>
    </w:p>
    <w:p>
      <w:pPr>
        <w:ind w:left="720" w:hanging="256"/>
        <w:spacing w:after="0"/>
        <w:tabs>
          <w:tab w:leader="none" w:pos="7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reduce the principal amount of the 2024 notes whose Holders must consent to an amendment, supplement or waiver;</w:t>
      </w:r>
    </w:p>
    <w:p>
      <w:pPr>
        <w:spacing w:after="0" w:line="225"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2024 note or alter the provisions, or waive any payment, with respect to the redemption of the 2024 notes (other than the notice period with respect to the redemption of the Notes);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2024 note;</w:t>
      </w:r>
    </w:p>
    <w:p>
      <w:pPr>
        <w:spacing w:after="0" w:line="225" w:lineRule="exact"/>
        <w:rPr>
          <w:rFonts w:ascii="Arial" w:cs="Arial" w:eastAsia="Arial" w:hAnsi="Arial"/>
          <w:sz w:val="18"/>
          <w:szCs w:val="18"/>
          <w:color w:val="auto"/>
        </w:rPr>
      </w:pPr>
    </w:p>
    <w:p>
      <w:pPr>
        <w:ind w:right="460" w:firstLine="464"/>
        <w:spacing w:after="0" w:line="264" w:lineRule="auto"/>
        <w:tabs>
          <w:tab w:leader="none" w:pos="71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2024 notes (except a rescission of acceleration of the 2024 notes by the Holders of at least a majority in aggregate principal amount of the then outstanding 2024 notes and a waiver of the payment default that resulted from such acceleration);</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make any 2024 notes payable in money other than U.S. dollars;</w:t>
      </w:r>
    </w:p>
    <w:p>
      <w:pPr>
        <w:spacing w:after="0" w:line="225"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make any change in the provisions of the 2024 notes indenture relating to waivers of past Defaults or the rights of Holders of 2024 notes to receive payments of principal of, or interest or premium, if any, on the 2024 notes;</w:t>
      </w:r>
    </w:p>
    <w:p>
      <w:pPr>
        <w:spacing w:after="0" w:line="170"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Note Guarantee or the 2024 notes indenture, except in accordance with the terms of the 2024 notes indenture;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the 2024 notes or the Note Guarantees;</w:t>
      </w:r>
    </w:p>
    <w:p>
      <w:pPr>
        <w:spacing w:after="0" w:line="225" w:lineRule="exact"/>
        <w:rPr>
          <w:rFonts w:ascii="Arial" w:cs="Arial" w:eastAsia="Arial" w:hAnsi="Arial"/>
          <w:sz w:val="18"/>
          <w:szCs w:val="18"/>
          <w:color w:val="auto"/>
        </w:rPr>
      </w:pPr>
    </w:p>
    <w:p>
      <w:pPr>
        <w:ind w:firstLine="464"/>
        <w:spacing w:after="0" w:line="257" w:lineRule="auto"/>
        <w:tabs>
          <w:tab w:leader="none" w:pos="71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amend, change or modify the obligation of Spectrum Brands to make and consummate an Asset Sale Offer with respect to any Asset Sale in accordance with the “Repurchase at the Option of Holders—Asset Sales” covenant after the obligation to make such Asset Sale Offer has arisen, or the obligation of Spectrum Brands to make and consummate a Change of Control Offer in the event of a Change of Control in accordance with the “Repurchase at the Option of Holders—Change of Control” covenant after such Change of Control has occurred, including, in each case, amending, changing or modifying any definition relating thereto;</w:t>
      </w:r>
    </w:p>
    <w:p>
      <w:pPr>
        <w:spacing w:after="0" w:line="188" w:lineRule="exact"/>
        <w:rPr>
          <w:rFonts w:ascii="Arial" w:cs="Arial" w:eastAsia="Arial" w:hAnsi="Arial"/>
          <w:sz w:val="18"/>
          <w:szCs w:val="18"/>
          <w:color w:val="auto"/>
        </w:rPr>
      </w:pPr>
    </w:p>
    <w:p>
      <w:pPr>
        <w:ind w:right="160" w:firstLine="464"/>
        <w:spacing w:after="0" w:line="277" w:lineRule="auto"/>
        <w:tabs>
          <w:tab w:leader="none" w:pos="8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except as otherwise permitted under the “Merger, Consolidation and Sale of Assets” covenant, consent to the assignment or transfer by Spectrum Brands of any of its rights or obligations under the 2024 notes indenture; or</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Notwithstanding the preceding, without the consent of any Holder of the 2024 notes, Spectrum Brands, the Guarantors and the Trustee may amend or supplement the 2024 notes indenture, the 2024 notes or the Guarantees:</w:t>
      </w:r>
    </w:p>
    <w:p>
      <w:pPr>
        <w:spacing w:after="0" w:line="170" w:lineRule="exact"/>
        <w:rPr>
          <w:sz w:val="20"/>
          <w:szCs w:val="20"/>
          <w:color w:val="auto"/>
        </w:rPr>
      </w:pP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provide for uncertificated 2024 notes in addition or in place of certificated 2024 notes;</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provide for the assumption of Spectrum Brands’ or any Guarantor’s obligations to Holders of 2024 notes in the case of a merger or consolidation or sale of all or substantially all of Spectrum Brands’ or such Guarantor’s assets;</w:t>
      </w:r>
    </w:p>
    <w:p>
      <w:pPr>
        <w:spacing w:after="0" w:line="170" w:lineRule="exact"/>
        <w:rPr>
          <w:rFonts w:ascii="Arial" w:cs="Arial" w:eastAsia="Arial" w:hAnsi="Arial"/>
          <w:sz w:val="18"/>
          <w:szCs w:val="18"/>
          <w:color w:val="auto"/>
        </w:rPr>
      </w:pPr>
    </w:p>
    <w:p>
      <w:pPr>
        <w:ind w:right="440" w:firstLine="464"/>
        <w:spacing w:after="0" w:line="277"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2024 notes or that does not adversely affect the legal rights under the 2024 notes indenture of any such Holder;</w:t>
      </w:r>
    </w:p>
    <w:p>
      <w:pPr>
        <w:spacing w:after="0" w:line="170" w:lineRule="exact"/>
        <w:rPr>
          <w:rFonts w:ascii="Arial" w:cs="Arial" w:eastAsia="Arial" w:hAnsi="Arial"/>
          <w:sz w:val="18"/>
          <w:szCs w:val="18"/>
          <w:color w:val="auto"/>
        </w:rPr>
      </w:pPr>
    </w:p>
    <w:p>
      <w:pPr>
        <w:ind w:right="720" w:firstLine="464"/>
        <w:spacing w:after="0" w:line="277"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comply with requirements of the Commission in order to effect or maintain the qualification of the 2024 notes indenture under the Trust Indenture Act;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comply with the provision described under “Certain Covenants—Guarantees”;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2024 notes indenture;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conform any provision to this “Description of 2024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Trustee becomes a creditor of Spectrum Brands or any Guarantor, the 2024 notes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2024 notes indenture provides that in case an Event of Default shall occur and be continuing, the Trustee will be required, in the exercise of its power, to use the degree of care of a prudent person in the conduct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such person’s own affairs. Subject to such provisions, the Trustee will be under no obligation to exercise any of its rights or powers under the 2024 notes indenture at the request of any Holder of the 2024 notes, unless such Holder shall have offered to the Trustee security and indemnity satisfactory to it against any loss, liability or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Set forth below are certain defined terms used in the 2024 notes indenture. Reference is made to the 2024 notes indenture for a full disclosure of all such terms, as well as any other capitalized terms used herein for which no definition is provided.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Debt” means, with respect to any specified Person:</w:t>
      </w:r>
    </w:p>
    <w:p>
      <w:pPr>
        <w:spacing w:after="0" w:line="225" w:lineRule="exact"/>
        <w:rPr>
          <w:sz w:val="20"/>
          <w:szCs w:val="20"/>
          <w:color w:val="auto"/>
        </w:rPr>
      </w:pPr>
    </w:p>
    <w:p>
      <w:pPr>
        <w:ind w:right="40" w:firstLine="464"/>
        <w:spacing w:after="0" w:line="264" w:lineRule="auto"/>
        <w:tabs>
          <w:tab w:leader="none" w:pos="71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becomes a Subsidiary of, such specified Person, whether or not such Indebtedness is incurred in connection with, or in contemplation of, such other Person merging with or into, or becoming a Subsidiary of, such specified Person; and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Acquired Debt will be deemed to have been incurred, with respect to clause (1) of the preceding sentence, on the date such Person becomes a Restricted Subsidiary and, with respect to clause (2) of the preceding sentence, on the date of consummation of such acquisition of such assets.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Paula Grundstücksverwaltungsgesellschaft mbH &amp; Co. Vermietungs-KG, Mannheim shall not be deemed an Affiliate of Spectrum Brands or any of its Restricted Subsidiaries solely by virtue of the beneficial ownership by Spectrum Brands or its Restricted Subsidiaries of up to 20% of the Voting Stock of such entity.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Premium” means, with respect to any 2024 note on any redemption date, the greater of</w:t>
      </w:r>
    </w:p>
    <w:p>
      <w:pPr>
        <w:spacing w:after="0" w:line="117" w:lineRule="exact"/>
        <w:rPr>
          <w:sz w:val="20"/>
          <w:szCs w:val="20"/>
          <w:color w:val="auto"/>
        </w:rPr>
      </w:pPr>
    </w:p>
    <w:p>
      <w:pPr>
        <w:ind w:left="1120" w:hanging="217"/>
        <w:spacing w:after="0"/>
        <w:tabs>
          <w:tab w:leader="none" w:pos="11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1.0% of the principal amount of such 2024 notes;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17" w:lineRule="exact"/>
        <w:rPr>
          <w:rFonts w:ascii="Arial" w:cs="Arial" w:eastAsia="Arial" w:hAnsi="Arial"/>
          <w:sz w:val="18"/>
          <w:szCs w:val="18"/>
          <w:color w:val="auto"/>
        </w:rPr>
      </w:pPr>
    </w:p>
    <w:p>
      <w:pPr>
        <w:ind w:left="920" w:right="240" w:firstLine="421"/>
        <w:spacing w:after="0" w:line="291" w:lineRule="auto"/>
        <w:tabs>
          <w:tab w:leader="none" w:pos="1585"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present value at such redemption date of (i) the redemption price of such 2024 note at December 15, 2019 (such redemption price being set forth in the table appearing above under “—Optional Redemption”), plus (ii) all required interest payments due on such 2024</w:t>
      </w:r>
    </w:p>
    <w:p>
      <w:pPr>
        <w:ind w:left="920" w:right="180"/>
        <w:spacing w:after="0" w:line="261" w:lineRule="auto"/>
        <w:rPr>
          <w:rFonts w:ascii="Arial" w:cs="Arial" w:eastAsia="Arial" w:hAnsi="Arial"/>
          <w:sz w:val="16"/>
          <w:szCs w:val="16"/>
          <w:color w:val="auto"/>
        </w:rPr>
      </w:pPr>
      <w:r>
        <w:rPr>
          <w:rFonts w:ascii="Arial" w:cs="Arial" w:eastAsia="Arial" w:hAnsi="Arial"/>
          <w:sz w:val="18"/>
          <w:szCs w:val="18"/>
          <w:color w:val="auto"/>
        </w:rPr>
        <w:t>note through December 15, 2019 excluding accrued but unpaid interest to the applicable redemption date, computed using a discount rate equal to the Treasury Rate as of such redemption date plus 50 basis points; over</w:t>
      </w:r>
    </w:p>
    <w:p>
      <w:pPr>
        <w:spacing w:after="0" w:line="75" w:lineRule="exact"/>
        <w:rPr>
          <w:rFonts w:ascii="Arial" w:cs="Arial" w:eastAsia="Arial" w:hAnsi="Arial"/>
          <w:sz w:val="16"/>
          <w:szCs w:val="16"/>
          <w:color w:val="auto"/>
        </w:rPr>
      </w:pPr>
    </w:p>
    <w:p>
      <w:pPr>
        <w:ind w:left="1600" w:hanging="259"/>
        <w:spacing w:after="0"/>
        <w:tabs>
          <w:tab w:leader="none" w:pos="16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principal amount of such 2024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 Sale” means:</w:t>
      </w:r>
    </w:p>
    <w:p>
      <w:pPr>
        <w:spacing w:after="0" w:line="225" w:lineRule="exact"/>
        <w:rPr>
          <w:sz w:val="20"/>
          <w:szCs w:val="20"/>
          <w:color w:val="auto"/>
        </w:rPr>
      </w:pPr>
    </w:p>
    <w:p>
      <w:pPr>
        <w:jc w:val="both"/>
        <w:ind w:right="200" w:firstLine="464"/>
        <w:spacing w:after="0" w:line="312" w:lineRule="auto"/>
        <w:tabs>
          <w:tab w:leader="none" w:pos="71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property or assets of Spectrum Brands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sale, conveyance or other disposition of all or substantially all of the assets of Spectrum Brands and its Restricted Subsidiaries taken as a whole will be governed by the provisions of the 2024 notes indenture described above under the caption “—Repurchase at the Option of Holders—Change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Control” and/or the provisions described above under the caption “—Certain Covenants—Merger, Consolidation or Sale of Assets” and not by the provisions described under “—Repurchase at the Option of Holders—Asset Sale”; and</w:t>
      </w:r>
    </w:p>
    <w:p>
      <w:pPr>
        <w:spacing w:after="0" w:line="170" w:lineRule="exact"/>
        <w:rPr>
          <w:sz w:val="20"/>
          <w:szCs w:val="20"/>
          <w:color w:val="auto"/>
        </w:rPr>
      </w:pPr>
    </w:p>
    <w:p>
      <w:pPr>
        <w:ind w:firstLine="464"/>
        <w:spacing w:after="0" w:line="277" w:lineRule="auto"/>
        <w:tabs>
          <w:tab w:leader="none" w:pos="71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issuance of Equity Interests (other than directors’ qualifying shares) by any of Spectrum Brands’ Restricted Subsidiaries or the sale by Spectrum Brands or any Restricted Subsidiary of Equity Interests (other than directors’ qualifying shares) in any of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the following items shall be deemed not to be Asset Sales:</w:t>
      </w:r>
    </w:p>
    <w:p>
      <w:pPr>
        <w:spacing w:after="0" w:line="225" w:lineRule="exact"/>
        <w:rPr>
          <w:sz w:val="20"/>
          <w:szCs w:val="20"/>
          <w:color w:val="auto"/>
        </w:rPr>
      </w:pPr>
    </w:p>
    <w:p>
      <w:pPr>
        <w:ind w:left="720" w:hanging="256"/>
        <w:spacing w:after="0"/>
        <w:tabs>
          <w:tab w:leader="none" w:pos="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$50.0 million;</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transfer of assets between or among Spectrum Brands and its Restricted Subsidiaries;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Spectrum Brands or to another Restricted Subsidiary;</w:t>
      </w:r>
    </w:p>
    <w:p>
      <w:pPr>
        <w:spacing w:after="0" w:line="225" w:lineRule="exact"/>
        <w:rPr>
          <w:rFonts w:ascii="Arial" w:cs="Arial" w:eastAsia="Arial" w:hAnsi="Arial"/>
          <w:sz w:val="18"/>
          <w:szCs w:val="18"/>
          <w:color w:val="auto"/>
        </w:rPr>
      </w:pPr>
    </w:p>
    <w:p>
      <w:pPr>
        <w:ind w:right="20" w:firstLine="464"/>
        <w:spacing w:after="0" w:line="312" w:lineRule="auto"/>
        <w:tabs>
          <w:tab w:leader="none" w:pos="71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sale, lease, assignment or other disposition of equipment, inventory, accounts receivable or other assets in the ordinary course of business or consistent with past business practice and any other non-recourse factoring of accounts receivable pursuant to a factoring program sponsored by a retailer of national standing in partnership with a financial institution or otherwise entered into by Spectrum Brands or any of its subsidiaries with a financial institution;</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sale or other disposition of Cash Equivalents;</w:t>
      </w:r>
    </w:p>
    <w:p>
      <w:pPr>
        <w:spacing w:after="0" w:line="225" w:lineRule="exact"/>
        <w:rPr>
          <w:rFonts w:ascii="Arial" w:cs="Arial" w:eastAsia="Arial" w:hAnsi="Arial"/>
          <w:sz w:val="18"/>
          <w:szCs w:val="18"/>
          <w:color w:val="auto"/>
        </w:rPr>
      </w:pPr>
    </w:p>
    <w:p>
      <w:pPr>
        <w:ind w:right="640" w:firstLine="464"/>
        <w:spacing w:after="0" w:line="277" w:lineRule="auto"/>
        <w:tabs>
          <w:tab w:leader="none" w:pos="71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Permitted Investment or Restricted Payment that is permitted by the covenant described above under the caption “—Certain Covenants— Restricted Payments”;</w:t>
      </w:r>
    </w:p>
    <w:p>
      <w:pPr>
        <w:spacing w:after="0" w:line="170" w:lineRule="exact"/>
        <w:rPr>
          <w:rFonts w:ascii="Arial" w:cs="Arial" w:eastAsia="Arial" w:hAnsi="Arial"/>
          <w:sz w:val="18"/>
          <w:szCs w:val="18"/>
          <w:color w:val="auto"/>
        </w:rPr>
      </w:pPr>
    </w:p>
    <w:p>
      <w:pPr>
        <w:ind w:right="360" w:firstLine="464"/>
        <w:spacing w:after="0" w:line="277" w:lineRule="auto"/>
        <w:tabs>
          <w:tab w:leader="none" w:pos="71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sale or disposition of any property or equipment that has become damaged, worn out, obsolete or otherwise unsuitable or no longer used or required for use in the ordinary course of the business of Spectrum Brands or its Restricted Subsidiaries;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licensing of intellectual property in the ordinary course of business;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sale or other disposition deemed to occur with creating or granting a Lien not otherwise prohibited by the 2024 notes indenture;</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any surrender or waiver of contract rights pursuant to a settlement, release, recovery on or surrender of contract, tort or other claims of any kind;</w:t>
      </w:r>
    </w:p>
    <w:p>
      <w:pPr>
        <w:spacing w:after="0" w:line="248" w:lineRule="exact"/>
        <w:rPr>
          <w:rFonts w:ascii="Arial" w:cs="Arial" w:eastAsia="Arial" w:hAnsi="Arial"/>
          <w:sz w:val="16"/>
          <w:szCs w:val="16"/>
          <w:color w:val="auto"/>
        </w:rPr>
      </w:pPr>
    </w:p>
    <w:p>
      <w:pPr>
        <w:ind w:right="560" w:firstLine="464"/>
        <w:spacing w:after="0" w:line="277" w:lineRule="auto"/>
        <w:tabs>
          <w:tab w:leader="none" w:pos="7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foreclosure or any similar action with respect to any property or other asset of Spectrum Brands or any of its Restricted Subsidiaries, which foreclosure or other similar action does not otherwise constitute a Default;</w:t>
      </w:r>
    </w:p>
    <w:p>
      <w:pPr>
        <w:spacing w:after="0" w:line="170" w:lineRule="exact"/>
        <w:rPr>
          <w:rFonts w:ascii="Arial" w:cs="Arial" w:eastAsia="Arial" w:hAnsi="Arial"/>
          <w:sz w:val="18"/>
          <w:szCs w:val="18"/>
          <w:color w:val="auto"/>
        </w:rPr>
      </w:pPr>
    </w:p>
    <w:p>
      <w:pPr>
        <w:ind w:right="120" w:firstLine="464"/>
        <w:spacing w:after="0" w:line="277" w:lineRule="auto"/>
        <w:tabs>
          <w:tab w:leader="none" w:pos="80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Internal Revenue Code of 1986, any exchange of like property (excluding any boot thereon) for use in a Permitted Business; and</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unwinding of any Hedging Obligation.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purposes of this definition, any series of related transactions that, if effected as a single transaction, would constitute an Asset Sale, shall be deemed to be a single Asset Sale effected when the last such transaction which is a part thereof is effected.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“Beneficial Owner”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shall have a corresponding meaning.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w:t>
      </w:r>
    </w:p>
    <w:p>
      <w:pPr>
        <w:spacing w:after="0" w:line="225" w:lineRule="exact"/>
        <w:rPr>
          <w:sz w:val="20"/>
          <w:szCs w:val="20"/>
          <w:color w:val="auto"/>
        </w:rPr>
      </w:pPr>
    </w:p>
    <w:p>
      <w:pPr>
        <w:ind w:right="400" w:firstLine="464"/>
        <w:spacing w:after="0" w:line="277" w:lineRule="auto"/>
        <w:tabs>
          <w:tab w:leader="none" w:pos="71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duly authorized committee thereof having the authority of the full board with respect to the determination to be made;</w:t>
      </w:r>
    </w:p>
    <w:p>
      <w:pPr>
        <w:spacing w:after="0" w:line="170"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with respect to a limited liability company, any managing member thereof or, if managed by managers, the board of managers thereof, or any duly authorized committee thereof having the authority of the full board with respect to the determination to be made;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 Base” means the sum of (A) 80% of the net book value of accounts receivable of Spectrum Brands and its Restricted Subsidiaries and</w:t>
      </w:r>
    </w:p>
    <w:p>
      <w:pPr>
        <w:spacing w:after="0" w:line="35" w:lineRule="exact"/>
        <w:rPr>
          <w:sz w:val="20"/>
          <w:szCs w:val="20"/>
          <w:color w:val="auto"/>
        </w:rPr>
      </w:pPr>
    </w:p>
    <w:p>
      <w:pPr>
        <w:ind w:firstLine="8"/>
        <w:spacing w:after="0" w:line="273" w:lineRule="auto"/>
        <w:tabs>
          <w:tab w:leader="none" w:pos="28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60% of the net book value of inventory of Spectrum Brands and its Restricted Subsidiaries (with accounts receivable and inventory calculated on the basis that all Investments, acquisitions, dispositions, mergers, consolidations and disposed operations that have been made by the Company and its Restricted Subsidiaries prior to or substantially contemporaneous with the date of any calculation shall be included or excluded, as the case may be, on a pro forma basis with such calculations made in good faith by a responsible financial or accounting officer of the Company).</w:t>
      </w:r>
    </w:p>
    <w:p>
      <w:pPr>
        <w:spacing w:after="0" w:line="17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means:</w:t>
      </w:r>
    </w:p>
    <w:p>
      <w:pPr>
        <w:spacing w:after="0" w:line="225" w:lineRule="exact"/>
        <w:rPr>
          <w:sz w:val="20"/>
          <w:szCs w:val="20"/>
          <w:color w:val="auto"/>
        </w:rPr>
      </w:pPr>
    </w:p>
    <w:p>
      <w:pPr>
        <w:ind w:left="720" w:hanging="256"/>
        <w:spacing w:after="0"/>
        <w:tabs>
          <w:tab w:leader="none" w:pos="7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right="500" w:firstLine="464"/>
        <w:spacing w:after="0" w:line="277" w:lineRule="auto"/>
        <w:tabs>
          <w:tab w:leader="none" w:pos="71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225"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Equivalents” means (a) United States dollars, Euros, British Pounds Sterling or any other currencies received in the ordinary course of business;</w:t>
      </w:r>
    </w:p>
    <w:p>
      <w:pPr>
        <w:spacing w:after="0" w:line="46" w:lineRule="exact"/>
        <w:rPr>
          <w:sz w:val="20"/>
          <w:szCs w:val="20"/>
          <w:color w:val="auto"/>
        </w:rPr>
      </w:pPr>
    </w:p>
    <w:p>
      <w:pPr>
        <w:ind w:right="240" w:firstLine="8"/>
        <w:spacing w:after="0" w:line="295" w:lineRule="auto"/>
        <w:tabs>
          <w:tab w:leader="none" w:pos="25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securities issued or directly and fully guaranteed or insured by the United States government or any agency or instrumentality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is pledged in support thereof) having maturities of not more than one year from the date of acquisition; (c) time deposits, certificates of deposit and eurodollar time deposits with maturities of one year or less from the date of acquisition, bankers’ acceptances with maturities not exceeding one year and overnight bank deposits, in each case, with any bank or trust company organized or licensed under the laws of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United States or any state thereof or the District of Columbia whose short-term debt is rated “A-2” or higher by S&amp;P or “P-2” or higher by Moody’s;</w:t>
      </w:r>
    </w:p>
    <w:p>
      <w:pPr>
        <w:spacing w:after="0" w:line="35" w:lineRule="exact"/>
        <w:rPr>
          <w:sz w:val="20"/>
          <w:szCs w:val="20"/>
          <w:color w:val="auto"/>
        </w:rPr>
      </w:pPr>
    </w:p>
    <w:p>
      <w:pPr>
        <w:ind w:firstLine="8"/>
        <w:spacing w:after="0" w:line="288" w:lineRule="auto"/>
        <w:tabs>
          <w:tab w:leader="none" w:pos="25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seven days for underlying securities of the types described in clauses (b) and (c) above entered into with any financial institution meeting the qualifications specified in clause (c) above; (e) commercial paper having at least a “P-1” rating from Moody’s or “A-1” from S&amp;P and in each case maturing within nine months after the date of acquisition; (f) marketable direct obligations issued by any state of the United States of America or any political subdivision of any such state or any public instrumentality thereof having the highest ratings obtainable from Moody’s or S&amp;P and maturing within six months from the date of acquisition thereof; (g) money market funds at least 95% of the assets of which constitute Cash Equivalents of the kinds described in clauses (a) through (f) of this definition; and (h) in the case of a Foreign Subsidiary, substantially similar investments, of comparable credit quality, denominated in local currency held by such Foreign Subsidiary from time to time in the ordinary course of business.</w:t>
      </w:r>
    </w:p>
    <w:p>
      <w:pPr>
        <w:spacing w:after="0" w:line="16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“Cash Management Obligations” means, with respect to any Person, all obligations, whether now owing or hereafter arising, of such Person in respect of overdrafts and related liabilities or arising from (i) services in connection with operating, collections, payroll, trust or other depository or disbursement accounts, including automated clearinghouse, e-payable, electronic funds transfer, wire transfer, controlled disbursement, overdraft, depository, information reporting, lockbox or stop payment services; (ii) commercial credit card and merchant card services; and (iii) other banking products or services (other than letters of credit and leases).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225" w:lineRule="exact"/>
        <w:rPr>
          <w:sz w:val="20"/>
          <w:szCs w:val="20"/>
          <w:color w:val="auto"/>
        </w:rPr>
      </w:pPr>
    </w:p>
    <w:p>
      <w:pPr>
        <w:ind w:right="20" w:firstLine="464"/>
        <w:spacing w:after="0" w:line="264" w:lineRule="auto"/>
        <w:tabs>
          <w:tab w:leader="none" w:pos="71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Spectrum Brands and its Restricted Subsidiaries, taken as a whole, to any “person” (as that term is used in Section 13(d)(3) of the Exchange Act) other than a Permitted Holder;</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Spectrum Brands;</w:t>
      </w:r>
    </w:p>
    <w:p>
      <w:pPr>
        <w:spacing w:after="0" w:line="225" w:lineRule="exact"/>
        <w:rPr>
          <w:rFonts w:ascii="Arial" w:cs="Arial" w:eastAsia="Arial" w:hAnsi="Arial"/>
          <w:sz w:val="18"/>
          <w:szCs w:val="18"/>
          <w:color w:val="auto"/>
        </w:rPr>
      </w:pPr>
    </w:p>
    <w:p>
      <w:pPr>
        <w:ind w:right="80" w:firstLine="464"/>
        <w:spacing w:after="0" w:line="308" w:lineRule="auto"/>
        <w:tabs>
          <w:tab w:leader="none" w:pos="71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becomes the ultimate Beneficial Owner, directly or indirectly, of 50% or more of the voting power of the Voting Stock of Spectrum Brands or Holdings other than a Permitted Holder;</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first day on which a majority of the members of the Board of Directors of Spectrum Brands or Holdings are not Continuing Directors;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Holdings ceases to directly own all Capital Stock of Spectrum Brands.</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For purposes of this definition, (i) any direct or indirect holding company of Spectrum Brands (including Holdings) shall not itself be considered a Person for purposes of clauses (3) or (5) above or a “person” or “group” for purposes of clauses (3) or (5)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“person” or “group” (other than the Permitted Holders or another such holding company) Beneficially Owns, directly or indirectly, more than 50% of the voting power of the Voting Stock of such company, and a majority of the Voting Stock of such holding company immediately following it becoming the holding company of Spectrum Brands is Beneficially Owned by the Persons who Beneficially Owned the voting power of the Voting Stock of Spectrum Brands immediately prior to it becoming such holding company and (ii) a Person shall not be deemed to have beneficial ownership of securities subject to a stock purchase agreement, merger agreement or similar agreement until the consummation of the transactions contemplated by such agreement. In addition, any foreclosure (but not any sale thereof to a third party) with respect to Equity Interests of Spectrum Brands by the trustee or the holders of HRG Group, Inc.’s (f/k/a Harbinger Group Inc.) outstanding secured notes shall not be deemed a Change of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Offer” has the meaning assigned to that term in the 2024 notes indenture governing the 2024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or any successor statute thereto.</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“Consolidated Cash Flow” means, with respect to any specified Person for any period, the Consolidated Net Income of such Person for such period plus, without duplication:</w:t>
      </w:r>
    </w:p>
    <w:p>
      <w:pPr>
        <w:spacing w:after="0" w:line="170" w:lineRule="exact"/>
        <w:rPr>
          <w:sz w:val="20"/>
          <w:szCs w:val="20"/>
          <w:color w:val="auto"/>
        </w:rPr>
      </w:pPr>
    </w:p>
    <w:p>
      <w:pPr>
        <w:ind w:right="260" w:firstLine="464"/>
        <w:spacing w:after="0" w:line="277" w:lineRule="auto"/>
        <w:tabs>
          <w:tab w:leader="none" w:pos="70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Fixed Charges of such Person and its Restricted Subsidiaries for such period, to the extent that any such Fixed Charges were deducted in computing such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right="20" w:firstLine="464"/>
        <w:spacing w:after="0" w:line="302" w:lineRule="auto"/>
        <w:tabs>
          <w:tab w:leader="none" w:pos="70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54" w:lineRule="exact"/>
        <w:rPr>
          <w:rFonts w:ascii="Arial" w:cs="Arial" w:eastAsia="Arial" w:hAnsi="Arial"/>
          <w:sz w:val="16"/>
          <w:szCs w:val="16"/>
          <w:color w:val="auto"/>
        </w:rPr>
      </w:pPr>
    </w:p>
    <w:p>
      <w:pPr>
        <w:ind w:right="80" w:firstLine="464"/>
        <w:spacing w:after="0" w:line="259" w:lineRule="auto"/>
        <w:tabs>
          <w:tab w:leader="none" w:pos="7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(i) unusual or non-recurring charges, (ii) relocation costs and integration costs or reserves (including such items related to proposed and completed acquisitions and Asset Sales and to closure/consolidation of facilities), (iii) Transaction Expenses and (iv) severance costs, including such costs related to proposed and completed Permitted Investments and Asset Sales and to closure/consolidation of facilities, in each case incurred by Spectrum Brands, Inc. and its Restricted Subsidiaries;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firstLine="464"/>
        <w:spacing w:after="0" w:line="255" w:lineRule="auto"/>
        <w:tabs>
          <w:tab w:leader="none" w:pos="70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amount of cost savings, operational expense improvements and synergies projected by such person in good faith to be realized as a result of actions taken during such period or to be taken in connection with a transaction that is being given pro forma effect (calculated on a pro forma basis as though such cost savings, operational expense improvements and synergies had been realized on the first day of such period),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cost savings, operational expense improvements and synergies are reasonably identifiable and factually supportable and (y) such cost savings, operational expense improvements and synergies are expected in good faith to be realized within 12 months of the end of such period; </w:t>
      </w:r>
      <w:r>
        <w:rPr>
          <w:rFonts w:ascii="Arial" w:cs="Arial" w:eastAsia="Arial" w:hAnsi="Arial"/>
          <w:sz w:val="18"/>
          <w:szCs w:val="18"/>
          <w:i w:val="1"/>
          <w:iCs w:val="1"/>
          <w:color w:val="auto"/>
        </w:rPr>
        <w:t>minus</w:t>
      </w:r>
    </w:p>
    <w:p>
      <w:pPr>
        <w:spacing w:after="0" w:line="193" w:lineRule="exact"/>
        <w:rPr>
          <w:rFonts w:ascii="Arial" w:cs="Arial" w:eastAsia="Arial" w:hAnsi="Arial"/>
          <w:sz w:val="18"/>
          <w:szCs w:val="18"/>
          <w:color w:val="auto"/>
        </w:rPr>
      </w:pPr>
    </w:p>
    <w:p>
      <w:pPr>
        <w:ind w:left="680" w:hanging="216"/>
        <w:spacing w:after="0"/>
        <w:tabs>
          <w:tab w:leader="none" w:pos="68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non-cash items increasing such Consolidated Net Income for such period, other than the accrual of revenue consistent with past practice,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“Consolidated Net Income” means, with respect to any specified Person for any period, the aggregate of the Net Income of such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Subsidiaries for such period, on a consolidated basis,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11" w:lineRule="exact"/>
        <w:rPr>
          <w:sz w:val="20"/>
          <w:szCs w:val="20"/>
          <w:color w:val="auto"/>
        </w:rPr>
      </w:pPr>
    </w:p>
    <w:p>
      <w:pPr>
        <w:ind w:right="160" w:firstLine="464"/>
        <w:spacing w:after="0" w:line="308" w:lineRule="auto"/>
        <w:tabs>
          <w:tab w:leader="none" w:pos="71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Restricted Subsidiary thereof;</w:t>
      </w:r>
    </w:p>
    <w:p>
      <w:pPr>
        <w:spacing w:after="0" w:line="146" w:lineRule="exact"/>
        <w:rPr>
          <w:rFonts w:ascii="Arial" w:cs="Arial" w:eastAsia="Arial" w:hAnsi="Arial"/>
          <w:sz w:val="17"/>
          <w:szCs w:val="17"/>
          <w:color w:val="auto"/>
        </w:rPr>
      </w:pPr>
    </w:p>
    <w:p>
      <w:pPr>
        <w:ind w:right="40" w:firstLine="464"/>
        <w:spacing w:after="0" w:line="277" w:lineRule="auto"/>
        <w:tabs>
          <w:tab w:leader="none" w:pos="71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Net Income of any Restricted Subsidiary (other than a Guarantor) shall be excluded to the extent that the declaration or payment of dividends or similar distributions by that Restricted Subsidiary of that Net Income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equityholders;</w:t>
      </w:r>
    </w:p>
    <w:p>
      <w:pPr>
        <w:spacing w:after="0" w:line="181" w:lineRule="exact"/>
        <w:rPr>
          <w:sz w:val="20"/>
          <w:szCs w:val="20"/>
          <w:color w:val="auto"/>
        </w:rPr>
      </w:pPr>
    </w:p>
    <w:p>
      <w:pPr>
        <w:ind w:left="720" w:hanging="256"/>
        <w:spacing w:after="0"/>
        <w:tabs>
          <w:tab w:leader="none" w:pos="72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Net Income of any Person acquired during the specified period for any period prior to the date of such acquisition shall be excluded;</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notwithstanding clause (1) above, the Net Income (but not loss) of any Unrestricted Subsidiary shall be excluded, whether or not distributed to the specified Person or one of its Subsidiaries;</w:t>
      </w:r>
    </w:p>
    <w:p>
      <w:pPr>
        <w:spacing w:after="0" w:line="170" w:lineRule="exact"/>
        <w:rPr>
          <w:rFonts w:ascii="Arial" w:cs="Arial" w:eastAsia="Arial" w:hAnsi="Arial"/>
          <w:sz w:val="18"/>
          <w:szCs w:val="18"/>
          <w:color w:val="auto"/>
        </w:rPr>
      </w:pPr>
    </w:p>
    <w:p>
      <w:pPr>
        <w:ind w:right="180" w:firstLine="464"/>
        <w:spacing w:after="0" w:line="264" w:lineRule="auto"/>
        <w:tabs>
          <w:tab w:leader="none" w:pos="7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unrealized gains and losses due solely to fluctuations in currency values and the related tax effects according to GAAP shall be excluded (until realized, at which time such gains or losses shall be included); and (b) unrealized gains and losses with respect to Hedging Obligations shall be excluded (until realized, at which time such gains or losses shall be included);</w:t>
      </w:r>
    </w:p>
    <w:p>
      <w:pPr>
        <w:spacing w:after="0" w:line="181" w:lineRule="exact"/>
        <w:rPr>
          <w:rFonts w:ascii="Arial" w:cs="Arial" w:eastAsia="Arial" w:hAnsi="Arial"/>
          <w:sz w:val="18"/>
          <w:szCs w:val="18"/>
          <w:color w:val="auto"/>
        </w:rPr>
      </w:pPr>
    </w:p>
    <w:p>
      <w:pPr>
        <w:ind w:right="20" w:firstLine="464"/>
        <w:spacing w:after="0" w:line="308" w:lineRule="auto"/>
        <w:tabs>
          <w:tab w:leader="none" w:pos="71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any non-cash charge or expense realized or resulting from stock option plans, employee benefit plans or post-employment benefit plans, or grants or sales of stock, stock appreciation or similar rights, stock options, restricted stock, preferred stock or other rights shall be excluded;</w:t>
      </w:r>
    </w:p>
    <w:p>
      <w:pPr>
        <w:spacing w:after="0" w:line="146" w:lineRule="exact"/>
        <w:rPr>
          <w:rFonts w:ascii="Arial" w:cs="Arial" w:eastAsia="Arial" w:hAnsi="Arial"/>
          <w:sz w:val="17"/>
          <w:szCs w:val="17"/>
          <w:color w:val="auto"/>
        </w:rPr>
      </w:pPr>
    </w:p>
    <w:p>
      <w:pPr>
        <w:ind w:right="100" w:firstLine="464"/>
        <w:spacing w:after="0" w:line="312" w:lineRule="auto"/>
        <w:tabs>
          <w:tab w:leader="none" w:pos="71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(a)(i) the non-cash portion of “straight-line” rent expense less (ii) the cash portion of “straight-line” rent expense which exceeds the amount expensed in respect of such rent expense shall be excluded and (b) non-cash gains, losses, income and expenses resulting from fair value accounting required by the applicable standard under GAAP and related interpretations shall be excluded (until realized, at which time such gains or losses shall be included);</w:t>
      </w:r>
    </w:p>
    <w:p>
      <w:pPr>
        <w:spacing w:after="0" w:line="146" w:lineRule="exact"/>
        <w:rPr>
          <w:rFonts w:ascii="Arial" w:cs="Arial" w:eastAsia="Arial" w:hAnsi="Arial"/>
          <w:sz w:val="16"/>
          <w:szCs w:val="16"/>
          <w:color w:val="auto"/>
        </w:rPr>
      </w:pPr>
    </w:p>
    <w:p>
      <w:pPr>
        <w:ind w:right="20" w:firstLine="464"/>
        <w:spacing w:after="0" w:line="272" w:lineRule="auto"/>
        <w:tabs>
          <w:tab w:leader="none" w:pos="71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to the extent covered by insurance and actually reimbursed, or, so long as such Person has made a determination that there exists reasonable evidence that such amount will in fact be reimbursed by the insurer and only to the extent that such amount is (a) approved by the applicable carrier in writing within 180 days and (b) in fact reimbursed within 365 days of the date of such evidence (with a deduction for any amount so added back to the extent not so reimbursed within 365 days), (i) expenses with respect to liability or casualty events or business interruption shall be excluded and (ii) amounts received, or estimated in good faith to be received, from insurance in respect of lost earnings in respect of liability or causality events or business interruption shall be included (with a deduction for (x) amounts actually received up to such estimated amount to the extent included in Net Income in a future period and (y) for estimated amounts in excess of amounts actually received in a future period);</w:t>
      </w:r>
    </w:p>
    <w:p>
      <w:pPr>
        <w:spacing w:after="0" w:line="177" w:lineRule="exact"/>
        <w:rPr>
          <w:rFonts w:ascii="Arial" w:cs="Arial" w:eastAsia="Arial" w:hAnsi="Arial"/>
          <w:sz w:val="17"/>
          <w:szCs w:val="17"/>
          <w:color w:val="auto"/>
        </w:rPr>
      </w:pPr>
    </w:p>
    <w:p>
      <w:pPr>
        <w:ind w:right="140" w:firstLine="464"/>
        <w:spacing w:after="0" w:line="293" w:lineRule="auto"/>
        <w:tabs>
          <w:tab w:leader="none" w:pos="80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any charges resulting from the application of FASB ASC 350, Intangibles—Goodwill and Other, Accounting Standards Codification Topic 360-10-35-15, Impairment or Disposal of Long-Lived Assets, Accounting Standards Codification Topic 480-10-25-4, Distinguishing Liabilities from Equity— Overall Recognition, or Accounting Standards Codification Topic 820 Fair Value Measurements and Disclosures, the amortization of intangibles arising pursuant to FASB ASC 805, Business Combinations, non-cash interest expense resulting from the application of Accounting Standards Codification Topic 470-20 Debt—Debt with Conversion Options—Recognition, and any non-cash income tax expense that results from the inability to include deferred tax liabilities related to indefinite-lived intangible assets as future reversals of temporary differences under FASB ASC 740-10-30-18, shall be excluded; and</w:t>
      </w:r>
    </w:p>
    <w:p>
      <w:pPr>
        <w:spacing w:after="0" w:line="164" w:lineRule="exact"/>
        <w:rPr>
          <w:rFonts w:ascii="Arial" w:cs="Arial" w:eastAsia="Arial" w:hAnsi="Arial"/>
          <w:sz w:val="16"/>
          <w:szCs w:val="16"/>
          <w:color w:val="auto"/>
        </w:rPr>
      </w:pPr>
    </w:p>
    <w:p>
      <w:pPr>
        <w:ind w:right="220" w:firstLine="464"/>
        <w:spacing w:after="0" w:line="277" w:lineRule="auto"/>
        <w:tabs>
          <w:tab w:leader="none" w:pos="79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restructuring and related charges and acquisition and related integration charges, including but not limited to, restructuring charges related to the Transactions, shall be excluded.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“Consolidated Total Indebtedness” means, as of any date of determination, an amount equal to the sum (without duplication) of (1) the aggregate principal amount of all outstanding Indebtedness of Spectrum Brands and its Restricted Subsidiaries (excluding any undrawn letters of credit) consisting of bankers’ acceptances, Obligations in respect of Capital Lease Obligations, debt obligations evidenced by promissory notes and similar instruments and Indebtedness for borrowed money, plus (2) the aggregate amount of all outstanding Disqualified Stock of Spectrum Brands and its Restricted Subsidiaries, with the amount of such Disqualified Stock equal to the greater of their respective voluntary or involuntary liquidation preferences, in each case determined on a consolidated basis in accordance with GAAP.</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“Continuing Directors” means, as of any date of determination, any member of the Board of Directors of Spectrum Brands or Holdings who:</w:t>
      </w:r>
    </w:p>
    <w:p>
      <w:pPr>
        <w:spacing w:after="0" w:line="237" w:lineRule="exact"/>
        <w:rPr>
          <w:sz w:val="20"/>
          <w:szCs w:val="20"/>
          <w:color w:val="auto"/>
        </w:rPr>
      </w:pPr>
    </w:p>
    <w:p>
      <w:pPr>
        <w:ind w:left="720" w:hanging="256"/>
        <w:spacing w:after="0"/>
        <w:tabs>
          <w:tab w:leader="none" w:pos="7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or</w:t>
      </w:r>
    </w:p>
    <w:p>
      <w:pPr>
        <w:spacing w:after="0" w:line="225" w:lineRule="exact"/>
        <w:rPr>
          <w:rFonts w:ascii="Arial" w:cs="Arial" w:eastAsia="Arial" w:hAnsi="Arial"/>
          <w:sz w:val="18"/>
          <w:szCs w:val="18"/>
          <w:color w:val="auto"/>
        </w:rPr>
      </w:pPr>
    </w:p>
    <w:p>
      <w:pPr>
        <w:ind w:right="560" w:firstLine="464"/>
        <w:spacing w:after="0" w:line="277" w:lineRule="auto"/>
        <w:tabs>
          <w:tab w:leader="none" w:pos="71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the Permitted Holders or a majority of the Continuing Directors who were members of such Board of Directors at the time of such nomination or election.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“Contribution Debt” means Indebtedness or Disqualified Stock of Spectrum Brands or any Guarantor in an aggregate principal amount or liquidation preference not greater than twice the aggregate amount of cash received from the issuance and sale of Qualified Equity Interests of Spectrum Brands after the Issue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right="180" w:firstLine="464"/>
        <w:spacing w:after="0" w:line="257" w:lineRule="auto"/>
        <w:tabs>
          <w:tab w:leader="none" w:pos="71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such cash has not been used to make a Restricted Payment and shall thereafter be excluded from any calculation under paragraph (A)(3)(b) under “Limitation on Restricted Payments” or used to make any Restricted Payment pursuant to paragraph (B) of such covenant (it being understood that if any such Indebtedness or Disqualified Stock incurred as Contribution Debt is redesignated as incurred under any provision other than paragraph (b)(16) of the “Limitation on Debt” covenant, the related issuance of Equity Interests may be included in any calculation under paragraph (A)(3)(b) in the “Limitation on Restricted Payments” covenant); and</w:t>
      </w:r>
    </w:p>
    <w:p>
      <w:pPr>
        <w:spacing w:after="0" w:line="188"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such Contribution Debt (a) is incurred within 180 days after the making of such cash contributions and (b) is so designated as Contribution Debt pursuant to an officer’s certificate on the incurrence date thereof.</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“Credit Facilities” means, one or more debt facilities (including, without limitation, the Revolving Credit Agreement and the Term Loan Agreement), or commercial paper facilities with banks or other institutional lenders or investors or indentures or other agreements providing for revolving credit loans, term loans, debt securities (including related exchange notes and guarantees thereof), receivables financing (including through the sale of receivables to such lenders or to special purpose entities formed to borrow from such lenders against such receivables) or letters of credit or other long-term indebtedness and, in each case, as such agreements may be amended, amended and restated, supplemented, in any manner whatsoever modified, refinanced, extended, substituted, replaced, renewed, or otherwise restructured or refunded, in whole or in part, in one or more instances, from time to time (including any successive renewals, extensions, substitutions, refinancings, restructurings, replacements, supplementations or other modifications of the foregoing and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lenders)), including into one or more debt facilities, commercial paper facilities or other debt instruments, indentures or agreements (including by means of sales of debt securities (including Additional Notes)), providing for revolving credit loans, term loans, letters of credit or other debt obligations, whether any such extension, replacement or refinancing (1) occurs simultaneously or not with the termination or repayment of a prior debt facility or (2) occurs on one or more separate occasions.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60"/>
          </w:cols>
          <w:pgMar w:left="240" w:top="460" w:right="2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“Designated Non-cash Consideration” means any non-cash consideration received by Spectrum Brands or one of its Restricted Subsidiaries in connection with an Asset Sale that is designated as Designated Non-cash Consideration pursuant to an officer’s certificate executed by an officer of Spectrum Brands or such Restricted Subsidiary at the time of such Asset Sale.</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that is the earlier date on which the 2024 notes mature and the date the 2024 notes are no longer outstanding, except to the extent such Capital Stock is solely redeemable with, or solely exchangeable for, any Equity Interests of Spectrum Brands that are not Disqualified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Capital Stock is issued to any plan for the benefit of employees of Spectrum Brands or its Subsidiaries or by any such plan to such employees, such Capital Stock shall not constitute Disqualified Stock solely because it may be required to be repurchased by Spectrum Brands or its Subsidiaries in order to satisfy applicable statutory or regulatory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Capital Stock held by any future, present or former employee, director, officer, manager or consultant (or their estates, spouses or former spouses) of Spectrum Brands, any of its Subsidiaries or any of its direct or indirect parent companies pursuant to any stockholders agreement, management equity plan or stock option plan or any other management or employee benefit plan or agreement shall not constitute Disqualified Stock solely because it may be required to be repurchased by Spectrum Brands or its Subsidiaries following the termination of employment of such employee, director, officer, manager or consultant with Spectrum Brands or any of its Subsidiaries (so long as, in each case referred to in this sentence, any such requirement is made subject to compliance with the 2024 notes indenture). Notwithstanding the preceding sentence, any Capital Stock that would constitute Disqualified Stock solely because the holders thereof have the right to require Spectrum Brands to repurchase such Capital Stock upon the occurrence of a change of control or an asset sale shall not constitute Disqualified Stock if the terms of such Capital Stock provide that Spectrum Brands may not repurchase or redeem any such Capital Stock pursuant to such provisions unless such repurchase or redemption complies with the covenant described above under the caption “—Certain Covenants—Restricted Payments.” The term “Disqualified Stock” shall also include any options, warrants or other rights that are convertible into Disqualified Stock or that are redeemable at the option of the holder, or required to be redeemed, prior to the date that is 91 days after the date on which the 2024 notes mature.</w:t>
      </w:r>
    </w:p>
    <w:p>
      <w:pPr>
        <w:spacing w:after="0" w:line="389"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“Domestic Subsidiary” means any Restricted Subsidiary of Spectrum Brands other than a Restricted Subsidiary that is (1) a “controlled foreign corporation” under Section 957 of the Internal Revenue Code or (2) a Subsidiary of any such controlled foreign corporation.</w:t>
      </w:r>
    </w:p>
    <w:p>
      <w:pPr>
        <w:spacing w:after="0" w:line="14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“Equity Interests”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“Equity Offering” means a primary offering, after the Issue Date, of Qualified Stock of Spectrum Brands or of Holdings or any direct or indirect parent of Holdings (to the extent the proceeds thereof are contributed to the common equity of Spectrum Brands) other than an issuance registered on Form S-4 or S-8 or any successor thereto or any issuance pursuant to employee benefit plans or otherwise in compensation to officers, directors or employees.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“Existing Indebtedness” means the aggregate principal amount of Indebtedness of Spectrum Brands and its Subsidiaries (other than Indebtedness described in clauses (1) and (3) of the covenant described above under the caption “—Certain Covenants—Indebtedness”) in existence on the Issue Date, until such amounts are repaid.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“Existing Notes” means, collectively, (i) Spectrum Brands’ 6.75% Senior Notes due 2020 outstanding on the Issue Date, (ii) Spectrum Brands’ 6.375% Senior Notes due 2020 outstanding on the Issue Date and (iii) Spectrum Brands’ 6.625% Senior Notes due 2022 outstanding on the Issue Date.</w:t>
      </w:r>
    </w:p>
    <w:p>
      <w:pPr>
        <w:spacing w:after="0" w:line="12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“fair market value” means the price that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resolution of the Board of Directors.</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“Fixed Charge Coverage Ratio” means with respect to any specified Person for any period, the ratio of the Consolidated Cash Flow of such Person for such period to the Fixed Charges of such Person for such period. In the event that the specified Person or any of its Subsidiaries incurs, assumes, Guarantees, repays, retires, extinguishes, repurchases or redeems any Indebtedness or issues, repurchases or redeems Disqualified Stock or preferred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shall be calculated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incurrence, assumption, Guarantee, repayment, retirement, extinguishment, repurchase or redemption of Indebtedness, or such issuance, repurchase or redemption of Disqualified Stock or preferred stock, and the use of the proceeds therefrom as if the same had occurred at the beginning of the applicable four-quarter reference period.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25" w:lineRule="exact"/>
        <w:rPr>
          <w:sz w:val="20"/>
          <w:szCs w:val="20"/>
          <w:color w:val="auto"/>
        </w:rPr>
      </w:pPr>
    </w:p>
    <w:p>
      <w:pPr>
        <w:ind w:right="20" w:firstLine="464"/>
        <w:spacing w:after="0" w:line="297" w:lineRule="auto"/>
        <w:tabs>
          <w:tab w:leader="none" w:pos="71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Investments or acquisitions and dispositions of business entities or property and assets constituting a division or line of business of any Person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shall be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as if they had occurred on the first day of the four-quarter reference period and Consolidated Cash Flow for such reference period shall be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but without giving effect to clause (3) of the proviso set forth in the definition of Consolidated Net Income;</w:t>
      </w:r>
    </w:p>
    <w:p>
      <w:pPr>
        <w:spacing w:after="0" w:line="158" w:lineRule="exact"/>
        <w:rPr>
          <w:rFonts w:ascii="Arial" w:cs="Arial" w:eastAsia="Arial" w:hAnsi="Arial"/>
          <w:sz w:val="16"/>
          <w:szCs w:val="16"/>
          <w:color w:val="auto"/>
        </w:rPr>
      </w:pPr>
    </w:p>
    <w:p>
      <w:pPr>
        <w:ind w:left="720" w:hanging="256"/>
        <w:spacing w:after="0"/>
        <w:tabs>
          <w:tab w:leader="none" w:pos="7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shall be excluded;</w:t>
      </w:r>
    </w:p>
    <w:p>
      <w:pPr>
        <w:spacing w:after="0" w:line="225" w:lineRule="exact"/>
        <w:rPr>
          <w:rFonts w:ascii="Arial" w:cs="Arial" w:eastAsia="Arial" w:hAnsi="Arial"/>
          <w:sz w:val="18"/>
          <w:szCs w:val="18"/>
          <w:color w:val="auto"/>
        </w:rPr>
      </w:pPr>
    </w:p>
    <w:p>
      <w:pPr>
        <w:ind w:right="20" w:firstLine="464"/>
        <w:spacing w:after="0" w:line="342" w:lineRule="auto"/>
        <w:tabs>
          <w:tab w:leader="none" w:pos="71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shall be excluded, but only to the extent that the obligations giving rise to such Fixed Charges will not be obligations of the specified Person or any of its Subsidiaries following the Calculation Date; and</w:t>
      </w:r>
    </w:p>
    <w:p>
      <w:pPr>
        <w:spacing w:after="0" w:line="123" w:lineRule="exact"/>
        <w:rPr>
          <w:rFonts w:ascii="Arial" w:cs="Arial" w:eastAsia="Arial" w:hAnsi="Arial"/>
          <w:sz w:val="16"/>
          <w:szCs w:val="16"/>
          <w:color w:val="auto"/>
        </w:rPr>
      </w:pPr>
    </w:p>
    <w:p>
      <w:pPr>
        <w:ind w:firstLine="464"/>
        <w:spacing w:after="0" w:line="259" w:lineRule="auto"/>
        <w:tabs>
          <w:tab w:leader="none" w:pos="71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consolidated interest expense attributable to interest on any Indebtedness (whether existing or being incurred) computed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and bearing a floating interest rate shall be computed as if the rate in effect on the Calculation Date (taking into account any interest rate option, swap, cap or similar agreement applicable to such Indebtedness if such agreement has a remaining term in excess of 12 months or, if shorter, at least equal to the remaining term of such Indebtedness) had been the applicable rate for the entire period.</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purposes of this definition, whenever pro forma effect is to be given to any event, the pro forma calculations shall be made in good faith by a responsible financial or accounting officer of Spectrum Brands. Any such pro forma calculation may include adjustments appropriate, in the reasonable good faith determination of Spectrum Brands as set forth in an officer’s certificate, to reflect operating expense reductions and other operating improvements or synergies reasonably expected to result from the applicable event.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Charges” means, with respect to any specified Person for any period, the sum, without duplication, of:</w:t>
      </w:r>
    </w:p>
    <w:p>
      <w:pPr>
        <w:spacing w:after="0" w:line="225" w:lineRule="exact"/>
        <w:rPr>
          <w:sz w:val="20"/>
          <w:szCs w:val="20"/>
          <w:color w:val="auto"/>
        </w:rPr>
      </w:pPr>
    </w:p>
    <w:p>
      <w:pPr>
        <w:ind w:firstLine="464"/>
        <w:spacing w:after="0" w:line="290" w:lineRule="auto"/>
        <w:tabs>
          <w:tab w:leader="none" w:pos="71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received or accrued in connection with Hedging Obligations (but excluding unrealized gains or losses with respect thereto), but excluding (i) amortization of deferred financing fees, debt issuance costs, commissions, fees and expenses, (ii) any expensing of bridge, commitment and other financing fees, (iii) any redemption premiums, prepayment fees, or other charges or penalties incurred in connection with the Transactions and (iv) any premiums, fees or other charges incurred in connection with the refinancing of the Existing Indebtedness on the Issue Date (in each case of (i) through (iv), to the extent included in any of the foregoing items listed in clause (1)); </w:t>
      </w:r>
      <w:r>
        <w:rPr>
          <w:rFonts w:ascii="Arial" w:cs="Arial" w:eastAsia="Arial" w:hAnsi="Arial"/>
          <w:sz w:val="16"/>
          <w:szCs w:val="16"/>
          <w:i w:val="1"/>
          <w:iCs w:val="1"/>
          <w:color w:val="auto"/>
        </w:rPr>
        <w:t>plus</w:t>
      </w:r>
    </w:p>
    <w:p>
      <w:pPr>
        <w:spacing w:after="0" w:line="166" w:lineRule="exact"/>
        <w:rPr>
          <w:rFonts w:ascii="Arial" w:cs="Arial" w:eastAsia="Arial" w:hAnsi="Arial"/>
          <w:sz w:val="16"/>
          <w:szCs w:val="16"/>
          <w:color w:val="auto"/>
        </w:rPr>
      </w:pPr>
    </w:p>
    <w:p>
      <w:pPr>
        <w:ind w:left="720" w:hanging="256"/>
        <w:spacing w:after="0"/>
        <w:tabs>
          <w:tab w:leader="none" w:pos="7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firstLine="464"/>
        <w:spacing w:after="0" w:line="257" w:lineRule="auto"/>
        <w:tabs>
          <w:tab w:leader="none" w:pos="71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product of (a) all dividends, whether paid or accrued and whether or not in cash, on any series of Disqualified Stock or preferred stock of such Person or any of its Restricted Subsidiaries, other than (i) dividends on Equity Interests payable solely in Equity Interests of Spectrum Brands (other than Disqualified Stock) or (ii) dividends to Spectrum Brands or a Restricted Subsidiary of Spectrum Brands,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Notwithstanding the foregoing, any additional charges arising from (i) the application of Accounting Standards Codification Topic 480-10-25-4 “Distinguishing Liabilities from Equity—Overall—Recognition” to any series of preferred stock other than Disqualified Equity Interests or (ii) the application of Accounting Standards Codification Topic 470-20 “Debt—Debt with Conversion Options—Recognition,” in each case, shall be disregarded in the calculation of Consolidated Fixed Charges.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Subsidiary” means any Restricted Subsidiary of Spectrum Brands other than a Domestic Subsidiary.</w:t>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“GAAP” means generally accepted accounting principles set forth in the opinions and pronouncements of the Accounting Principles Board of the American Institute of Certified Public Accountants, the opinions and pronouncements of the Public Company Accounting Oversight Board and in the statements and pronouncements of the Financial Accounting Standards Board or in such other statements by such other entity as have been approved by a significant segment of the accounting profession, which are in effect on the Issue Date.</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“Guarantee” means, as to any Person,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of another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“Guarantors” means:</w:t>
      </w:r>
    </w:p>
    <w:p>
      <w:pPr>
        <w:spacing w:after="0" w:line="225" w:lineRule="exact"/>
        <w:rPr>
          <w:sz w:val="20"/>
          <w:szCs w:val="20"/>
          <w:color w:val="auto"/>
        </w:rPr>
      </w:pPr>
    </w:p>
    <w:p>
      <w:pPr>
        <w:ind w:left="720" w:hanging="256"/>
        <w:spacing w:after="0"/>
        <w:tabs>
          <w:tab w:leader="none" w:pos="7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Holdings and each direct or indirect Domestic Subsidiary of Spectrum Brands on the Issue Date; and</w:t>
      </w:r>
    </w:p>
    <w:p>
      <w:pPr>
        <w:spacing w:after="0" w:line="225"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other subsidiary that executes a Note Guarantee in accordance with the provisions of the 2024 notes indenture; and their respective successors and assigns until released from their obligations under their Note Guarantees and the 2024 notes indenture in accordance with the terms of the 2024 notes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225" w:lineRule="exact"/>
        <w:rPr>
          <w:sz w:val="20"/>
          <w:szCs w:val="20"/>
          <w:color w:val="auto"/>
        </w:rPr>
      </w:pPr>
    </w:p>
    <w:p>
      <w:pPr>
        <w:ind w:right="240" w:firstLine="464"/>
        <w:spacing w:after="0" w:line="277" w:lineRule="auto"/>
        <w:tabs>
          <w:tab w:leader="none" w:pos="71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interest rate swap agreements, interest rate cap agreements, interest rate collar agreements and other agreements or arrangements designed for the purpose of managing interest rate risk;</w:t>
      </w:r>
    </w:p>
    <w:p>
      <w:pPr>
        <w:spacing w:after="0" w:line="170"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commodity swap agreements, commodity option agreements, forward contracts and other agreements or arrangements designed for the purpose of managing commodity price risk; and</w:t>
      </w:r>
    </w:p>
    <w:p>
      <w:pPr>
        <w:spacing w:after="0" w:line="170" w:lineRule="exact"/>
        <w:rPr>
          <w:rFonts w:ascii="Arial" w:cs="Arial" w:eastAsia="Arial" w:hAnsi="Arial"/>
          <w:sz w:val="18"/>
          <w:szCs w:val="18"/>
          <w:color w:val="auto"/>
        </w:rPr>
      </w:pPr>
    </w:p>
    <w:p>
      <w:pPr>
        <w:ind w:right="640" w:firstLine="464"/>
        <w:spacing w:after="0" w:line="277" w:lineRule="auto"/>
        <w:tabs>
          <w:tab w:leader="none" w:pos="71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foreign exchange contracts, currency swap agreements and other agreements or arrangements designed for the purpose of managing foreign currency exchange rate risk.</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“incur” means, with respect to any Indebtedness, to incur, create, issue, assume, Guarantee or otherwise become directly or indirectly liable for or with respect to, or become responsible for, the payment of, contingently or otherwise,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 Indebtedness of a Person existing at the time such Person becomes a Restricted Subsidiary of Spectrum Brands will be deemed to be incurred by such Restricted Subsidiary at the time it becomes a Restricted Subsidiary of Spectrum Brands and (2) neither the accrual of interest nor the accretion of original issue discount nor the payment of interest in the form of additional Indebtedness with the same terms and the payment of dividends on Disqualified Stock in the form of additional shares of the same class of Disqualified Stock (to the extent provided for when the Indebtedness or Disqualified Stock on which such interest or dividend is paid was originally issued) shall be considered an incurrence of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the amount thereof is for all other purposes included in the Fixed Charges and Indebtedness of Spectrum Brands or its Restricted Subsidiary as accrued.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“Indebtedness” means, with respect to any specified Person, any indebtedness of such Person, whether or not contingent:</w:t>
      </w:r>
    </w:p>
    <w:p>
      <w:pPr>
        <w:spacing w:after="0" w:line="225" w:lineRule="exact"/>
        <w:rPr>
          <w:sz w:val="20"/>
          <w:szCs w:val="20"/>
          <w:color w:val="auto"/>
        </w:rPr>
      </w:pPr>
    </w:p>
    <w:p>
      <w:pPr>
        <w:ind w:left="720" w:hanging="256"/>
        <w:spacing w:after="0"/>
        <w:tabs>
          <w:tab w:leader="none" w:pos="7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 but excluding obligations with respect to letters of credit (including trade letters of credit) securing obligations entered into in the ordinary course of business of such Person to the extent such letters of credit are not drawn upon or, if drawn upon, to the extent such drawing is reimbursed no later than the fifth Business Day following receipt by such Person of a demand for reimbursement);</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respect of Capital Lease Obligations;</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respect of the balance deferred and unpaid of the purchase price of any property, except any such balance that constitutes an accrued expense or trade payable;</w:t>
      </w:r>
    </w:p>
    <w:p>
      <w:pPr>
        <w:spacing w:after="0" w:line="170" w:lineRule="exact"/>
        <w:rPr>
          <w:rFonts w:ascii="Arial" w:cs="Arial" w:eastAsia="Arial" w:hAnsi="Arial"/>
          <w:sz w:val="18"/>
          <w:szCs w:val="18"/>
          <w:color w:val="auto"/>
        </w:rPr>
      </w:pPr>
    </w:p>
    <w:p>
      <w:pPr>
        <w:ind w:right="180" w:firstLine="464"/>
        <w:spacing w:after="0" w:line="264" w:lineRule="auto"/>
        <w:tabs>
          <w:tab w:leader="none" w:pos="7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representing Hedging Obligations, other than Hedging Obligations that are incurred in the ordinary course of business for the purpose of fixing, hedging, swapping, managing interest rate, commodity price or foreign currency exchange rate risk (or to reverse or amend any such agreements previously made for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purposes), and not for speculative purposes, and that do not increase the Indebtedness of the obligor outstanding at any time other than as a result of fluctuations in interest rates, commodity prices or foreign currency exchange rates or by reason of fees, indemnities and compensation payable thereunder; or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 representing Disqualified Stock valued at the greater of its voluntary or involuntary maximum fixed repurchase price plus accrued dividends;</w:t>
      </w:r>
    </w:p>
    <w:p>
      <w:pPr>
        <w:spacing w:after="0" w:line="23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if and to the extent that any of the preceding items (other than letters of credit and Hedging Obligations) would appear as a liability upon a balance sheet (excluding the footnotes thereto) of the specified Person prepared in accordance with GAAP or, in the case of any earn-out obligation or purchase price adjustment, would have been recorded as a liability under GAAP prior to the adoption of Financial Accounting Standards Board Statement No. 141R. In addition, the term “Indebtedness” includes (x) all Indebtedness of others secured by a Lien on any asset of the specified Person (whether or not such Indebtedness is assumed by the specified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Indebtedness shall be the lesser of (A) the fair market value of such asset at such date of determination and (B) the amount of such Indebtedness, and (y) to the extent not otherwise included, the Guarantee by the specified Person of any Indebtedness of any other Person. For purposes hereof, the “maximum fixed repurchase price” of any Disqualified Stock which does not have a fixed repurchase price shall be calculated in accordance with the terms of such Disqualified Stock as if such Disqualified Stock were purchased on any date on which Indebtedness shall be required to be determined pursuant to the 2024 notes indenture, and if such price is based upon, or measured by, the fair market value of such Disqualified Stock, such fair market value shall be determined in good faith by the Board of Directors of the issuer of such Disqualified Stock.</w:t>
      </w:r>
    </w:p>
    <w:p>
      <w:pPr>
        <w:spacing w:after="0" w:line="169"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color w:val="auto"/>
        </w:rPr>
        <w:t>The amount of any Indebtedness outstanding as of any date shall be the outstanding balance at such date of all unconditional obligations as described above and, with respect to contingent obligations, the maximum liability upon the occurrence of the contingency giving rise to the obligation, and shall be:</w:t>
      </w:r>
    </w:p>
    <w:p>
      <w:pPr>
        <w:spacing w:after="0" w:line="124" w:lineRule="exact"/>
        <w:rPr>
          <w:sz w:val="20"/>
          <w:szCs w:val="20"/>
          <w:color w:val="auto"/>
        </w:rPr>
      </w:pPr>
    </w:p>
    <w:p>
      <w:pPr>
        <w:ind w:left="720" w:hanging="256"/>
        <w:spacing w:after="0"/>
        <w:tabs>
          <w:tab w:leader="none" w:pos="7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accreted value thereof, in the case of any Indebtedness issued with original issue discount;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principal amount thereof, together with any interest thereon that is more than 30 days past due, in the case of any other Indebtedness;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Indebtedness shall not include:</w:t>
      </w:r>
    </w:p>
    <w:p>
      <w:pPr>
        <w:spacing w:after="0" w:line="117" w:lineRule="exact"/>
        <w:rPr>
          <w:sz w:val="20"/>
          <w:szCs w:val="20"/>
          <w:color w:val="auto"/>
        </w:rPr>
      </w:pPr>
    </w:p>
    <w:p>
      <w:pPr>
        <w:ind w:left="1120" w:hanging="217"/>
        <w:spacing w:after="0"/>
        <w:tabs>
          <w:tab w:leader="none" w:pos="11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performance, surety or appeal bonds provided in the ordinary course of business;</w:t>
      </w:r>
    </w:p>
    <w:p>
      <w:pPr>
        <w:spacing w:after="0" w:line="117" w:lineRule="exact"/>
        <w:rPr>
          <w:rFonts w:ascii="Arial" w:cs="Arial" w:eastAsia="Arial" w:hAnsi="Arial"/>
          <w:sz w:val="18"/>
          <w:szCs w:val="18"/>
          <w:color w:val="auto"/>
        </w:rPr>
      </w:pPr>
    </w:p>
    <w:p>
      <w:pPr>
        <w:ind w:left="460" w:firstLine="443"/>
        <w:spacing w:after="0" w:line="255" w:lineRule="auto"/>
        <w:tabs>
          <w:tab w:leader="none" w:pos="121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agreements providing for indemnification, adjustment of purchase price or similar obligations, or Guarantees or letters of credit, surety bonds or performance bonds securing any obligations of Spectrum Brands or any of its Restricted Subsidiaries pursuant to such agreements, in any case incurred in connection with the disposition of any business, assets or Restricted Subsidiary (other than Guarantees of Indebtedness incurred by any Person acquiring all or any portion of such business, assets or Restricted Subsidiary for the purpose of financing such acquisition), so long as the principal amount does not exceed the gross proceeds actually received by Spectrum Brands or any Restricted Subsidiary in connection with such disposition; or</w:t>
      </w:r>
    </w:p>
    <w:p>
      <w:pPr>
        <w:spacing w:after="0" w:line="85" w:lineRule="exact"/>
        <w:rPr>
          <w:rFonts w:ascii="Arial" w:cs="Arial" w:eastAsia="Arial" w:hAnsi="Arial"/>
          <w:sz w:val="18"/>
          <w:szCs w:val="18"/>
          <w:color w:val="auto"/>
        </w:rPr>
      </w:pPr>
    </w:p>
    <w:p>
      <w:pPr>
        <w:ind w:left="1200" w:hanging="297"/>
        <w:spacing w:after="0"/>
        <w:tabs>
          <w:tab w:leader="none" w:pos="12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“Investment Grade” means a rating of BBB- or higher by S&amp;P and Baa3 or higher by Moody’s, or the equivalent of such ratings by another Rating Agency.</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“Investments” means, with respect to any Person, all direct or indirect investments by such Person in other Persons (including Affiliates) in the forms of loans or other extensions of credit (including Guarantees, but excluding advances to customers or suppliers in the ordinary course of business that are, in conformity with GAAP, recorded as accounts receivable, prepaid expenses or deposits on the balance sheet of Spectrum Brands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or its Restricted Subsidiaries and endorsements for collection or deposit arising in the ordinary course of business), advances (excluding commission, travel, payroll and similar advances to officers and employees made consistent with past practices), capital contributions (by means of any transfer of cash or other property to others or any payment for property or services for the account or use of others), purchases or other acquisitions for consideration of Indebtedness, Equity Interests or other securities, together with all items that are or would be classified as investments on a balance sheet prepared in accordance with GAAP.</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Spectrum Brands or any Restricted Subsidiary of Spectrum Brands sells or otherwise disposes of any Equity Interests of any direct or indirect Restricted Subsidiary of Spectrum Brands such that, after giving effect to any such sale or disposition, such Person is no longer a Restricted Subsidiary of Spectrum Brands, Spectrum Brands shall be deemed to have made an Investment on the date of any such sale or disposition equal to the fair market value of the Investment in such Restricted Subsidiary not sold or disposed of in an amount determined as provided in the final paragraph of the covenant described above under the caption “—Certain Covenants—Restricted Payments.” The acquisition by Spectrum Brands or any Restricted Subsidiary of Spectrum Brands of a Person that holds an Investment in a third Person shall be deemed to be an Investment by Spectrum Brands or such Restricted Subsidiary in such third Person only if such Investment was made in contemplation of, or in connection with, the acquisition of such Person by Spectrum Brands or such Restricted Subsidiary and the amount of any such Investment shall be determined as provided in the final paragraph of the covenant described above under the caption “—Certain Covenants—Restricted Payments.”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Date” means December 4, 2014, the date on which 2024 notes were originally issued under the 2024 notes indenture.</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Services, Inc. and its successors.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Income” means, with respect to any specified Person, the net income (loss) of such Person, determined in accordance with GAAP and before any reduction in respect of preferred stock dividends, excluding, however:</w:t>
      </w:r>
    </w:p>
    <w:p>
      <w:pPr>
        <w:spacing w:after="0" w:line="170" w:lineRule="exact"/>
        <w:rPr>
          <w:sz w:val="20"/>
          <w:szCs w:val="20"/>
          <w:color w:val="auto"/>
        </w:rPr>
      </w:pPr>
    </w:p>
    <w:p>
      <w:pPr>
        <w:ind w:right="120" w:firstLine="464"/>
        <w:spacing w:after="0" w:line="264" w:lineRule="auto"/>
        <w:tabs>
          <w:tab w:leader="none" w:pos="71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sale of assets outside the ordinary course of business of such Person; or (b) the disposition of any securities by such Person or any of its Restricted Subsidiaries or the extinguishment of any Indebtedness of such Person or any of its Restricted Subsidiaries; and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“Net Proceeds” means the aggregate cash proceeds, including payments in respect of deferred payment obligations (to the extent corresponding to the principal, but not the interest component, thereof) received by Spectrum Brands or any of its Restricted Subsidiaries in respect of any Asset Sale (including, without limitation, any cash received upon the sale or other disposition of any non-cash consideration received in any Asset Sale), net of (1) the direct costs relating to such Asset Sale, including, without limitation, legal, accounting, brokerage and investment banking fees, and sales commissions, and any relocation expenses incurred as a result thereof, (2) taxes paid or payable as a result thereof, in each case, after taking into account any available tax credits or deductions arising therefrom and any tax sharing arrangements in connection therewith, (3) amounts required to be applied to the repayment of Indebtedness or other liabilities, secured by a Lien on the asset or assets that were the subject of such Asset Sale, or required to be paid as a result of such sale, and (4) any reserve for adjustment in respect of the sale price of such asset or assets established in accordance with GAAP.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“New Term Loan Commitment Agreement” means the new term loan commitment agreement no. 2 among Holdings, Spectrum Brands, as lead borrower, the lenders party thereto and Deutsche Bank AG New York Branch, as agent, pursuant to which Spectrum Brands will incur term loans in an aggregate principal amount equal to €150 million.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“Note Guarantee” means the Guarantee by each Guarantor of Spectrum Brands’ payment obligations under the 2024 notes indenture and on the 2024 notes, executed pursuant to the 2024 notes indenture.</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“Obligations”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“Paying Agent” means an office or agency where 2024 notes may be presented for payment.</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“Permitted Business” means any business conducted or proposed to be conducted by Spectrum Brands and its Restricted Subsidiaries on the Issue Date and other businesses complementary, similar or reasonably related, ancillary or incidental thereto or reasonable extensions thereof.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Holders” means</w:t>
      </w:r>
    </w:p>
    <w:p>
      <w:pPr>
        <w:spacing w:after="0" w:line="225" w:lineRule="exact"/>
        <w:rPr>
          <w:sz w:val="20"/>
          <w:szCs w:val="20"/>
          <w:color w:val="auto"/>
        </w:rPr>
      </w:pPr>
    </w:p>
    <w:p>
      <w:pPr>
        <w:ind w:right="380" w:firstLine="464"/>
        <w:spacing w:after="0" w:line="277" w:lineRule="auto"/>
        <w:tabs>
          <w:tab w:leader="none" w:pos="71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of HRG Group, Inc., Harbinger Capital Partners Master Fund I, Ltd., Harbinger Capital Partners Special Situations Fund, L.P. and Global Opportunities Breakaway Ltd;</w:t>
      </w:r>
    </w:p>
    <w:p>
      <w:pPr>
        <w:spacing w:after="0" w:line="170"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Affiliate or Related Party of any Person specified in clause (1), other than another portfolio company thereof (which means a company actively engaged in providing goods and services to unaffiliated customers) or a company controlled by a “portfolio company”;</w:t>
      </w:r>
    </w:p>
    <w:p>
      <w:pPr>
        <w:spacing w:after="0" w:line="170" w:lineRule="exact"/>
        <w:rPr>
          <w:rFonts w:ascii="Arial" w:cs="Arial" w:eastAsia="Arial" w:hAnsi="Arial"/>
          <w:sz w:val="18"/>
          <w:szCs w:val="18"/>
          <w:color w:val="auto"/>
        </w:rPr>
      </w:pPr>
    </w:p>
    <w:p>
      <w:pPr>
        <w:jc w:val="both"/>
        <w:ind w:firstLine="464"/>
        <w:spacing w:after="0" w:line="264" w:lineRule="auto"/>
        <w:tabs>
          <w:tab w:leader="none" w:pos="71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Person both the Capital Stock and the Voting Stock of which (or in the case of a trust, the beneficial interests in which) are owned 50% or more by Persons specified in clauses (1) and (2) or any group in which the Persons specified in clauses (1) and (2) own more than a majority of the voting power of the Voting Stock held by such group.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Investments” means:</w:t>
      </w:r>
    </w:p>
    <w:p>
      <w:pPr>
        <w:spacing w:after="0" w:line="225" w:lineRule="exact"/>
        <w:rPr>
          <w:sz w:val="20"/>
          <w:szCs w:val="20"/>
          <w:color w:val="auto"/>
        </w:rPr>
      </w:pPr>
    </w:p>
    <w:p>
      <w:pPr>
        <w:ind w:left="720" w:hanging="256"/>
        <w:spacing w:after="0"/>
        <w:tabs>
          <w:tab w:leader="none" w:pos="7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Investment in Spectrum Brands or in a Restricted Subsidiary of Spectrum Brands;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Investment by Spectrum Brands or any Restricted Subsidiary of Spectrum Brands in a Person, if as a result of such Investment: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such Person becomes a Restricted Subsidiary of Spectrum Brands; or</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5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Spectrum Brands or a Restricted Subsidiary of Spectrum Brands;</w:t>
      </w:r>
    </w:p>
    <w:p>
      <w:pPr>
        <w:spacing w:after="0" w:line="170" w:lineRule="exact"/>
        <w:rPr>
          <w:rFonts w:ascii="Arial" w:cs="Arial" w:eastAsia="Arial" w:hAnsi="Arial"/>
          <w:sz w:val="18"/>
          <w:szCs w:val="18"/>
          <w:color w:val="auto"/>
        </w:rPr>
      </w:pPr>
    </w:p>
    <w:p>
      <w:pPr>
        <w:ind w:right="200" w:firstLine="464"/>
        <w:spacing w:after="0" w:line="342" w:lineRule="auto"/>
        <w:tabs>
          <w:tab w:leader="none" w:pos="71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Investment made as a result of the receipt of non-cash consideration from an Asset Sale (including Designated Non-Cash Consideration) that was made pursuant to and in compliance with the covenant described above under the caption “—Repurchase at the Option of Holders—Asset Sales”;</w:t>
      </w:r>
    </w:p>
    <w:p>
      <w:pPr>
        <w:spacing w:after="0" w:line="123" w:lineRule="exact"/>
        <w:rPr>
          <w:rFonts w:ascii="Arial" w:cs="Arial" w:eastAsia="Arial" w:hAnsi="Arial"/>
          <w:sz w:val="16"/>
          <w:szCs w:val="16"/>
          <w:color w:val="auto"/>
        </w:rPr>
      </w:pPr>
    </w:p>
    <w:p>
      <w:pPr>
        <w:ind w:right="200" w:firstLine="464"/>
        <w:spacing w:after="0" w:line="264" w:lineRule="auto"/>
        <w:tabs>
          <w:tab w:leader="none" w:pos="71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Hedging Obligations that are incurred in the ordinary course of business for the purpose of managing interest rate, commodity price or foreign currency exchange rate risk (or to reverse or amend any such agreements previously made for such purposes), and not for speculative purposes, and that do not increase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Indebtedness of the obligor outstanding at any time other than as a result of fluctuations in interest rates, commodity prices or foreign currency exchange rates or by reason of fees, indemnities and compensation payable thereunder;</w:t>
      </w:r>
    </w:p>
    <w:p>
      <w:pPr>
        <w:spacing w:after="0" w:line="170" w:lineRule="exact"/>
        <w:rPr>
          <w:sz w:val="20"/>
          <w:szCs w:val="20"/>
          <w:color w:val="auto"/>
        </w:rPr>
      </w:pPr>
    </w:p>
    <w:p>
      <w:pPr>
        <w:ind w:left="720" w:hanging="256"/>
        <w:spacing w:after="0"/>
        <w:tabs>
          <w:tab w:leader="none" w:pos="7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stock, obligations or securities received in satisfaction of judgments;</w:t>
      </w:r>
    </w:p>
    <w:p>
      <w:pPr>
        <w:spacing w:after="0" w:line="225" w:lineRule="exact"/>
        <w:rPr>
          <w:rFonts w:ascii="Arial" w:cs="Arial" w:eastAsia="Arial" w:hAnsi="Arial"/>
          <w:sz w:val="18"/>
          <w:szCs w:val="18"/>
          <w:color w:val="auto"/>
        </w:rPr>
      </w:pPr>
    </w:p>
    <w:p>
      <w:pPr>
        <w:ind w:right="80" w:firstLine="464"/>
        <w:spacing w:after="0" w:line="257" w:lineRule="auto"/>
        <w:tabs>
          <w:tab w:leader="none" w:pos="7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Investments in securities of trade debtors or customers received (x) pursuant to any plan of reorganization or similar arrangement upon the bankruptcy or insolvency of such trade creditors or customers or in good faith settlement of delinquent obligations of such trade debtors or customers or in compromise or resolution of litigation, arbitration or other disputes with Persons who are not Affiliates, (y) as a result of the foreclosure by Spectrum Brands or any Restricted Subsidiaries with respect to any secured Investment or other transfer of title, or (z) as a result of litigation, or other disputes with Persons who are not Affiliates;</w:t>
      </w:r>
    </w:p>
    <w:p>
      <w:pPr>
        <w:spacing w:after="0" w:line="188" w:lineRule="exact"/>
        <w:rPr>
          <w:rFonts w:ascii="Arial" w:cs="Arial" w:eastAsia="Arial" w:hAnsi="Arial"/>
          <w:sz w:val="18"/>
          <w:szCs w:val="18"/>
          <w:color w:val="auto"/>
        </w:rPr>
      </w:pPr>
    </w:p>
    <w:p>
      <w:pPr>
        <w:jc w:val="both"/>
        <w:ind w:firstLine="464"/>
        <w:spacing w:after="0" w:line="259" w:lineRule="auto"/>
        <w:tabs>
          <w:tab w:leader="none" w:pos="7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other Investments in any Person engaged in a Permitted Business having an aggregate fair market value (measured on the date each such Investment was made and without giving effect to subsequent changes in value), when taken together with all other Investments made pursuant to this clause (8) since the Issue Date, not to exceed the greater of (x) $150.0 million and (y) 20% of Consolidated Cash Flow, in each case, net of any return of or on such Investment received by Spectrum Brands or a Restricted Subsidiary;</w:t>
      </w:r>
    </w:p>
    <w:p>
      <w:pPr>
        <w:spacing w:after="0" w:line="186"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or equipment, or the licensing or contribution of intellectual property pursuant to joint marketing, joint development or similar arrangements with other Persons;</w:t>
      </w:r>
    </w:p>
    <w:p>
      <w:pPr>
        <w:spacing w:after="0" w:line="170" w:lineRule="exact"/>
        <w:rPr>
          <w:rFonts w:ascii="Arial" w:cs="Arial" w:eastAsia="Arial" w:hAnsi="Arial"/>
          <w:sz w:val="18"/>
          <w:szCs w:val="18"/>
          <w:color w:val="auto"/>
        </w:rPr>
      </w:pPr>
    </w:p>
    <w:p>
      <w:pPr>
        <w:ind w:right="400" w:firstLine="464"/>
        <w:spacing w:after="0" w:line="277" w:lineRule="auto"/>
        <w:tabs>
          <w:tab w:leader="none" w:pos="80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advances, loans, rebates and extensions of credit (including the creation of receivables) to suppliers, customers and vendors, and performance guarantees, in each case in the ordinary course of business;</w:t>
      </w:r>
    </w:p>
    <w:p>
      <w:pPr>
        <w:spacing w:after="0" w:line="170" w:lineRule="exact"/>
        <w:rPr>
          <w:rFonts w:ascii="Arial" w:cs="Arial" w:eastAsia="Arial" w:hAnsi="Arial"/>
          <w:sz w:val="18"/>
          <w:szCs w:val="18"/>
          <w:color w:val="auto"/>
        </w:rPr>
      </w:pPr>
    </w:p>
    <w:p>
      <w:pPr>
        <w:ind w:right="140" w:firstLine="464"/>
        <w:spacing w:after="0" w:line="277" w:lineRule="auto"/>
        <w:tabs>
          <w:tab w:leader="none" w:pos="79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Investments in prepaid expenses, negotiable instruments held for collection and lease and utility and worker’s compensation deposits provided to third parties in the ordinary course of business; and</w:t>
      </w:r>
    </w:p>
    <w:p>
      <w:pPr>
        <w:spacing w:after="0" w:line="170" w:lineRule="exact"/>
        <w:rPr>
          <w:rFonts w:ascii="Arial" w:cs="Arial" w:eastAsia="Arial" w:hAnsi="Arial"/>
          <w:sz w:val="18"/>
          <w:szCs w:val="18"/>
          <w:color w:val="auto"/>
        </w:rPr>
      </w:pPr>
    </w:p>
    <w:p>
      <w:pPr>
        <w:ind w:right="160" w:firstLine="464"/>
        <w:spacing w:after="0" w:line="264" w:lineRule="auto"/>
        <w:tabs>
          <w:tab w:leader="none" w:pos="80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Investments (other than in Restricted Subsidiaries) outstanding on the Issue Date or made pursuant to binding agreements in effect on the Issue Date, including any extension, modification or renewal of such Investments, to the extent not involving any additional Investment other than as the result of the accrual or accretion of interest or original issue discount or the issuance of pay-in-kind securities;</w:t>
      </w:r>
    </w:p>
    <w:p>
      <w:pPr>
        <w:spacing w:after="0" w:line="181" w:lineRule="exact"/>
        <w:rPr>
          <w:rFonts w:ascii="Arial" w:cs="Arial" w:eastAsia="Arial" w:hAnsi="Arial"/>
          <w:sz w:val="18"/>
          <w:szCs w:val="18"/>
          <w:color w:val="auto"/>
        </w:rPr>
      </w:pPr>
    </w:p>
    <w:p>
      <w:pPr>
        <w:jc w:val="both"/>
        <w:ind w:right="180" w:firstLine="464"/>
        <w:spacing w:after="0" w:line="264" w:lineRule="auto"/>
        <w:tabs>
          <w:tab w:leader="none" w:pos="80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advances and loans to officers, directors or employees for business-related travel expenses, moving expenses and other similar expenses, in each case incurred in the ordinary course of business or consistent with past practice or to fund such person’s purchase of Equity Interests of Spectrum Brands or any direct or indirect parent of Spectrum Brands;</w:t>
      </w:r>
    </w:p>
    <w:p>
      <w:pPr>
        <w:spacing w:after="0" w:line="181" w:lineRule="exact"/>
        <w:rPr>
          <w:rFonts w:ascii="Arial" w:cs="Arial" w:eastAsia="Arial" w:hAnsi="Arial"/>
          <w:sz w:val="18"/>
          <w:szCs w:val="18"/>
          <w:color w:val="auto"/>
        </w:rPr>
      </w:pPr>
    </w:p>
    <w:p>
      <w:pPr>
        <w:ind w:firstLine="464"/>
        <w:spacing w:after="0" w:line="293" w:lineRule="auto"/>
        <w:tabs>
          <w:tab w:leader="none" w:pos="80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Investments in joint ventures having an aggregate fair market value, when taken together with all other Investments made pursuant to this clause that are at the time outstanding, not to exceed $75.0 million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Investment pursuant to this clause (14) is made in any Person that is not Spectrum Brands or a Restricted Subsidiary at the date of the making of such Investment and such Person becomes Spectrum Brands or a Restricted Subsidiary after such date, such Investment shall thereafter be deemed to have been made pursuant to clause (1) above and shall cease to have been made pursuant to this clause (14) for so long as such Person continues to be Spectrum Brands or a Restricted Subsidiary; and</w:t>
      </w:r>
    </w:p>
    <w:p>
      <w:pPr>
        <w:spacing w:after="0" w:line="164" w:lineRule="exact"/>
        <w:rPr>
          <w:rFonts w:ascii="Arial" w:cs="Arial" w:eastAsia="Arial" w:hAnsi="Arial"/>
          <w:sz w:val="16"/>
          <w:szCs w:val="16"/>
          <w:color w:val="auto"/>
        </w:rPr>
      </w:pPr>
    </w:p>
    <w:p>
      <w:pPr>
        <w:ind w:right="160" w:firstLine="464"/>
        <w:spacing w:after="0" w:line="264" w:lineRule="auto"/>
        <w:tabs>
          <w:tab w:leader="none" w:pos="80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Investments in Unrestricted Subsidiaries having an aggregate fair market value, when taken together with all other Investments made pursuant to this clause that are at the time outstanding, not to exceed $75.0 million at the time of such Investment (with the fair market value of each Investment being measured at the time made and without giving effect to subsequent changes in value).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225" w:lineRule="exact"/>
        <w:rPr>
          <w:sz w:val="20"/>
          <w:szCs w:val="20"/>
          <w:color w:val="auto"/>
        </w:rPr>
      </w:pPr>
    </w:p>
    <w:p>
      <w:pPr>
        <w:ind w:right="120" w:firstLine="464"/>
        <w:spacing w:after="0" w:line="277" w:lineRule="auto"/>
        <w:tabs>
          <w:tab w:leader="none" w:pos="7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Liens securing Indebtedness incurred and then outstanding pursuant to clause (1) of the second paragraph of “—Certain Covenants—Incurrence of Indebtedness and Issuance of Preferred Stock” and other Obligations in respect thereof;</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Liens in favor of Spectrum Brands or any Guarantor;</w:t>
      </w:r>
    </w:p>
    <w:p>
      <w:pPr>
        <w:spacing w:after="0" w:line="225" w:lineRule="exact"/>
        <w:rPr>
          <w:rFonts w:ascii="Arial" w:cs="Arial" w:eastAsia="Arial" w:hAnsi="Arial"/>
          <w:sz w:val="18"/>
          <w:szCs w:val="18"/>
          <w:color w:val="auto"/>
        </w:rPr>
      </w:pPr>
    </w:p>
    <w:p>
      <w:pPr>
        <w:ind w:right="220" w:firstLine="464"/>
        <w:spacing w:after="0" w:line="286" w:lineRule="auto"/>
        <w:tabs>
          <w:tab w:leader="none" w:pos="71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Liens on property of a Person existing at the time such Person is merged with or into or consolidated with Spectrum Brands or any Restricted Subsidiary of Spectrum Brands;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were in existence prior to the contemplation of such merger or consolidation and do not extend to any assets other than those of the Person merged into or consolidated with Spectrum Brands or the Restricted Subsidiary;</w:t>
      </w:r>
    </w:p>
    <w:p>
      <w:pPr>
        <w:spacing w:after="0" w:line="165" w:lineRule="exact"/>
        <w:rPr>
          <w:rFonts w:ascii="Arial" w:cs="Arial" w:eastAsia="Arial" w:hAnsi="Arial"/>
          <w:sz w:val="17"/>
          <w:szCs w:val="17"/>
          <w:color w:val="auto"/>
        </w:rPr>
      </w:pPr>
    </w:p>
    <w:p>
      <w:pPr>
        <w:ind w:right="20" w:firstLine="464"/>
        <w:spacing w:after="0" w:line="264" w:lineRule="auto"/>
        <w:tabs>
          <w:tab w:leader="none" w:pos="7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Spectrum Brands or any Restricted Subsidiary of Spectrum Brands,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in existence prior to the contemplation of such acquisition and do not extend to any property other than the property so acquired by Spectrum Brands or the Restricted Subsidiary;</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Liens existing on the Issue Date not otherwise permitted hereby;</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Liens securing Permitted Refinancing Indebtedness (other than in respect of Indebtedness referred to in clause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extend to any property or assets other than the property or assets that secure the Indebtedness being refinanced;</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Spectrum Brands or any Restricted Subsidiary of Spectrum Brands with respect to obligations that do not exceed the greater of $150 million or 20% of Consolidated Cash Flow;</w:t>
      </w:r>
    </w:p>
    <w:p>
      <w:pPr>
        <w:spacing w:after="0" w:line="170" w:lineRule="exact"/>
        <w:rPr>
          <w:rFonts w:ascii="Arial" w:cs="Arial" w:eastAsia="Arial" w:hAnsi="Arial"/>
          <w:sz w:val="18"/>
          <w:szCs w:val="18"/>
          <w:color w:val="auto"/>
        </w:rPr>
      </w:pPr>
    </w:p>
    <w:p>
      <w:pPr>
        <w:ind w:right="620" w:firstLine="464"/>
        <w:spacing w:after="0" w:line="277" w:lineRule="auto"/>
        <w:tabs>
          <w:tab w:leader="none" w:pos="7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Liens on the assets of a Foreign Subsidiary securing Indebtedness of a Foreign Subsidiary that was permitted by the terms of the 2024 notes indenture to be incurred;</w:t>
      </w:r>
    </w:p>
    <w:p>
      <w:pPr>
        <w:spacing w:after="0" w:line="170" w:lineRule="exact"/>
        <w:rPr>
          <w:rFonts w:ascii="Arial" w:cs="Arial" w:eastAsia="Arial" w:hAnsi="Arial"/>
          <w:sz w:val="18"/>
          <w:szCs w:val="18"/>
          <w:color w:val="auto"/>
        </w:rPr>
      </w:pPr>
    </w:p>
    <w:p>
      <w:pPr>
        <w:ind w:right="280" w:firstLine="464"/>
        <w:spacing w:after="0" w:line="264" w:lineRule="auto"/>
        <w:tabs>
          <w:tab w:leader="none" w:pos="7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pledges or deposits under worker’s compensation laws, unemployment insurance laws or similar legislation, or good faith deposits in connection with bids, tenders, contracts or leases, or to secure public or statutory obligations, surety bonds, customs duties and the like, or for the payment of rent, in each case incurred in the ordinary course of business and not securing Indebtedness;</w:t>
      </w:r>
    </w:p>
    <w:p>
      <w:pPr>
        <w:spacing w:after="0" w:line="181" w:lineRule="exact"/>
        <w:rPr>
          <w:rFonts w:ascii="Arial" w:cs="Arial" w:eastAsia="Arial" w:hAnsi="Arial"/>
          <w:sz w:val="18"/>
          <w:szCs w:val="18"/>
          <w:color w:val="auto"/>
        </w:rPr>
      </w:pPr>
    </w:p>
    <w:p>
      <w:pPr>
        <w:ind w:firstLine="464"/>
        <w:spacing w:after="0" w:line="277" w:lineRule="auto"/>
        <w:tabs>
          <w:tab w:leader="none" w:pos="8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Liens imposed by law, such as carriers’, vendors’, warehousemen’s and mechanics’ liens or other similar liens, in each case for sums not yet due or being contested in good faith and by appropriate proceedings;</w:t>
      </w:r>
    </w:p>
    <w:p>
      <w:pPr>
        <w:spacing w:after="0" w:line="170" w:lineRule="exact"/>
        <w:rPr>
          <w:rFonts w:ascii="Arial" w:cs="Arial" w:eastAsia="Arial" w:hAnsi="Arial"/>
          <w:sz w:val="18"/>
          <w:szCs w:val="18"/>
          <w:color w:val="auto"/>
        </w:rPr>
      </w:pPr>
    </w:p>
    <w:p>
      <w:pPr>
        <w:ind w:right="100" w:firstLine="464"/>
        <w:spacing w:after="0" w:line="277" w:lineRule="auto"/>
        <w:tabs>
          <w:tab w:leader="none" w:pos="79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Liens in respect of taxes and other governmental assessments and charges which are not yet due or which are being contested in good faith and by appropriate proceedings;</w:t>
      </w:r>
    </w:p>
    <w:p>
      <w:pPr>
        <w:spacing w:after="0" w:line="170" w:lineRule="exact"/>
        <w:rPr>
          <w:rFonts w:ascii="Arial" w:cs="Arial" w:eastAsia="Arial" w:hAnsi="Arial"/>
          <w:sz w:val="18"/>
          <w:szCs w:val="18"/>
          <w:color w:val="auto"/>
        </w:rPr>
      </w:pPr>
    </w:p>
    <w:p>
      <w:pPr>
        <w:ind w:right="240" w:firstLine="464"/>
        <w:spacing w:after="0" w:line="277" w:lineRule="auto"/>
        <w:tabs>
          <w:tab w:leader="none" w:pos="8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proceeds thereof;</w:t>
      </w:r>
    </w:p>
    <w:p>
      <w:pPr>
        <w:spacing w:after="0" w:line="170" w:lineRule="exact"/>
        <w:rPr>
          <w:rFonts w:ascii="Arial" w:cs="Arial" w:eastAsia="Arial" w:hAnsi="Arial"/>
          <w:sz w:val="18"/>
          <w:szCs w:val="18"/>
          <w:color w:val="auto"/>
        </w:rPr>
      </w:pPr>
    </w:p>
    <w:p>
      <w:pPr>
        <w:ind w:firstLine="464"/>
        <w:spacing w:after="0" w:line="257" w:lineRule="auto"/>
        <w:tabs>
          <w:tab w:leader="none" w:pos="8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(x) minor survey exceptions, minor encumbrances, easements or reservations of, or rights of others for, licenses, rights of way, sewers, electric lines, telegraph and telephone lines and other similar purposes, or zoning or other restrictions as to the use of real property, or zoning or other restrictions as to the use of real property or Liens incidental to the conduct of the business of such Person or the ownership of its properties, not interfering in any material respect with the conduct of the business of Spectrum Brands and its Restricted Subsidiaries or (y) any zoning or similar law or right reserved to or vested in any governmental authority to control or regulate the use of any real property;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64"/>
        <w:spacing w:after="0" w:line="277" w:lineRule="auto"/>
        <w:tabs>
          <w:tab w:leader="none" w:pos="8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licenses or leases or sublicenses or subleases as licensor, lessor, sublicensor or sublessor of any of its property, including intellectual property, in the ordinary course of business;</w:t>
      </w:r>
    </w:p>
    <w:p>
      <w:pPr>
        <w:spacing w:after="0" w:line="170" w:lineRule="exact"/>
        <w:rPr>
          <w:rFonts w:ascii="Arial" w:cs="Arial" w:eastAsia="Arial" w:hAnsi="Arial"/>
          <w:sz w:val="18"/>
          <w:szCs w:val="18"/>
          <w:color w:val="auto"/>
        </w:rPr>
      </w:pPr>
    </w:p>
    <w:p>
      <w:pPr>
        <w:ind w:right="240" w:firstLine="464"/>
        <w:spacing w:after="0" w:line="277" w:lineRule="auto"/>
        <w:tabs>
          <w:tab w:leader="none" w:pos="8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customary Liens in favor of trustees and escrow agents, and netting and setoff rights, banker’s liens and the like in favor of financial institutions and counterparties to financial obligations and instruments, including Hedging Agreements;</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Liens on assets pursuant to merger agreements, stock or asset purchase agreements and similar agreements in respect of the disposition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210" w:lineRule="exact"/>
        <w:rPr>
          <w:rFonts w:ascii="Arial" w:cs="Arial" w:eastAsia="Arial" w:hAnsi="Arial"/>
          <w:sz w:val="16"/>
          <w:szCs w:val="16"/>
          <w:color w:val="auto"/>
        </w:rPr>
      </w:pPr>
    </w:p>
    <w:p>
      <w:pPr>
        <w:ind w:left="800" w:hanging="336"/>
        <w:spacing w:after="0"/>
        <w:tabs>
          <w:tab w:leader="none" w:pos="8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options, put and call arrangements, rights of first refusal and similar rights relating to Investments in joint ventures, partnerships and the like;</w:t>
      </w:r>
    </w:p>
    <w:p>
      <w:pPr>
        <w:spacing w:after="0" w:line="236" w:lineRule="exact"/>
        <w:rPr>
          <w:rFonts w:ascii="Arial" w:cs="Arial" w:eastAsia="Arial" w:hAnsi="Arial"/>
          <w:sz w:val="17"/>
          <w:szCs w:val="17"/>
          <w:color w:val="auto"/>
        </w:rPr>
      </w:pPr>
    </w:p>
    <w:p>
      <w:pPr>
        <w:ind w:right="160" w:firstLine="464"/>
        <w:spacing w:after="0" w:line="277" w:lineRule="auto"/>
        <w:tabs>
          <w:tab w:leader="none" w:pos="8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judgment liens, and Liens securing appeal bonds or letters of credit issued in support of or in lieu of appeal bonds, so long as no Event of Default then exists as a result thereof;</w:t>
      </w:r>
    </w:p>
    <w:p>
      <w:pPr>
        <w:spacing w:after="0" w:line="170" w:lineRule="exact"/>
        <w:rPr>
          <w:rFonts w:ascii="Arial" w:cs="Arial" w:eastAsia="Arial" w:hAnsi="Arial"/>
          <w:sz w:val="18"/>
          <w:szCs w:val="18"/>
          <w:color w:val="auto"/>
        </w:rPr>
      </w:pPr>
    </w:p>
    <w:p>
      <w:pPr>
        <w:ind w:right="320" w:firstLine="464"/>
        <w:spacing w:after="0" w:line="277" w:lineRule="auto"/>
        <w:tabs>
          <w:tab w:leader="none" w:pos="8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not securing Indebtedness and not in the aggregate materially detracting from the value of the properties or their use in the operation of the business of Spectrum Brands and its Restricted Subsidiaries;</w:t>
      </w:r>
    </w:p>
    <w:p>
      <w:pPr>
        <w:spacing w:after="0" w:line="170" w:lineRule="exact"/>
        <w:rPr>
          <w:rFonts w:ascii="Arial" w:cs="Arial" w:eastAsia="Arial" w:hAnsi="Arial"/>
          <w:sz w:val="18"/>
          <w:szCs w:val="18"/>
          <w:color w:val="auto"/>
        </w:rPr>
      </w:pPr>
    </w:p>
    <w:p>
      <w:pPr>
        <w:ind w:firstLine="464"/>
        <w:spacing w:after="0" w:line="264" w:lineRule="auto"/>
        <w:tabs>
          <w:tab w:leader="none" w:pos="8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Liens (including the interest of a lessor under a Capital Lease) on property that secure Indebtedness incurred under clause (4) of Permitted Debt for the purpose of financing all or any part of the purchase price or cost of construction or improvement of such property and which attach within 365 days after the date of such purchase or the completion of construction or improvement;</w:t>
      </w:r>
    </w:p>
    <w:p>
      <w:pPr>
        <w:spacing w:after="0" w:line="181" w:lineRule="exact"/>
        <w:rPr>
          <w:rFonts w:ascii="Arial" w:cs="Arial" w:eastAsia="Arial" w:hAnsi="Arial"/>
          <w:sz w:val="18"/>
          <w:szCs w:val="18"/>
          <w:color w:val="auto"/>
        </w:rPr>
      </w:pPr>
    </w:p>
    <w:p>
      <w:pPr>
        <w:ind w:left="800" w:hanging="336"/>
        <w:spacing w:after="0"/>
        <w:tabs>
          <w:tab w:leader="none" w:pos="8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deposits in the ordinary course of business to secure liability to insurance carriers;</w:t>
      </w:r>
    </w:p>
    <w:p>
      <w:pPr>
        <w:spacing w:after="0" w:line="225" w:lineRule="exact"/>
        <w:rPr>
          <w:rFonts w:ascii="Arial" w:cs="Arial" w:eastAsia="Arial" w:hAnsi="Arial"/>
          <w:sz w:val="18"/>
          <w:szCs w:val="18"/>
          <w:color w:val="auto"/>
        </w:rPr>
      </w:pPr>
    </w:p>
    <w:p>
      <w:pPr>
        <w:ind w:right="880" w:firstLine="464"/>
        <w:spacing w:after="0" w:line="277" w:lineRule="auto"/>
        <w:tabs>
          <w:tab w:leader="none" w:pos="8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right="80" w:firstLine="464"/>
        <w:spacing w:after="0" w:line="302" w:lineRule="auto"/>
        <w:tabs>
          <w:tab w:leader="none" w:pos="80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Liens consisting of contractual rights of set-off (i) relating to the establishment of depository relations with banks not given in connection with the issuance of Indebtedness, (ii) relating to pooled deposit or sweep accounts of Spectrum Brands or any of its Restricted Subsidiaries to permit satisfaction of overdraft or similar obligations incurred in the ordinary course of business of Spectrum Brands and its Restricted Subsidiaries or (iii) relating to purchase orders and other agreements entered into with customers of Spectrum Brands or any of its Restricted Subsidiaries in the ordinary course of business;</w:t>
      </w:r>
    </w:p>
    <w:p>
      <w:pPr>
        <w:spacing w:after="0" w:line="154" w:lineRule="exact"/>
        <w:rPr>
          <w:rFonts w:ascii="Arial" w:cs="Arial" w:eastAsia="Arial" w:hAnsi="Arial"/>
          <w:sz w:val="16"/>
          <w:szCs w:val="16"/>
          <w:color w:val="auto"/>
        </w:rPr>
      </w:pPr>
    </w:p>
    <w:p>
      <w:pPr>
        <w:ind w:right="180" w:firstLine="464"/>
        <w:spacing w:after="0" w:line="277" w:lineRule="auto"/>
        <w:tabs>
          <w:tab w:leader="none" w:pos="8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Liens arising from financing statements filings under the Uniform Commercial Code or similar state laws regarding operating leases entered into by Spectrum Brands and its Restricted Subsidiaries in the ordinary course of business;</w:t>
      </w:r>
    </w:p>
    <w:p>
      <w:pPr>
        <w:spacing w:after="0" w:line="170" w:lineRule="exact"/>
        <w:rPr>
          <w:rFonts w:ascii="Arial" w:cs="Arial" w:eastAsia="Arial" w:hAnsi="Arial"/>
          <w:sz w:val="18"/>
          <w:szCs w:val="18"/>
          <w:color w:val="auto"/>
        </w:rPr>
      </w:pPr>
    </w:p>
    <w:p>
      <w:pPr>
        <w:ind w:right="560" w:firstLine="464"/>
        <w:spacing w:after="0" w:line="308" w:lineRule="auto"/>
        <w:tabs>
          <w:tab w:leader="none" w:pos="80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Liens securing Cash Management Obligations and all Obligations under the Hedging Agreements owed to Persons that were agents and the lenders under the Revolving Credit Agreement or their affiliates at the time of entry into the agreements governing such obligations;</w:t>
      </w:r>
    </w:p>
    <w:p>
      <w:pPr>
        <w:spacing w:after="0" w:line="146" w:lineRule="exact"/>
        <w:rPr>
          <w:rFonts w:ascii="Arial" w:cs="Arial" w:eastAsia="Arial" w:hAnsi="Arial"/>
          <w:sz w:val="17"/>
          <w:szCs w:val="17"/>
          <w:color w:val="auto"/>
        </w:rPr>
      </w:pPr>
    </w:p>
    <w:p>
      <w:pPr>
        <w:ind w:right="20" w:firstLine="464"/>
        <w:spacing w:after="0" w:line="277" w:lineRule="auto"/>
        <w:tabs>
          <w:tab w:leader="none" w:pos="8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Spectrum Brands and its subsidiaries in the ordinary course of business; and</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Liens created for the benefit of the 2024 notes or the 2024 notes Guarantees with respect thereto.</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“Permitted Refinancing Indebtedness” means any Indebtedness of Spectrum Brands or any of its Restricted Subsidiaries issued in exchange for, or the net proceeds of which are used to extend, refinance, renew, replace,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defease or refund other Indebtedness of Spectrum Brands or any of its Restricted Subsidiaries (other than intercompany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37" w:lineRule="exact"/>
        <w:rPr>
          <w:sz w:val="20"/>
          <w:szCs w:val="20"/>
          <w:color w:val="auto"/>
        </w:rPr>
      </w:pPr>
    </w:p>
    <w:p>
      <w:pPr>
        <w:ind w:right="180" w:firstLine="464"/>
        <w:spacing w:after="0" w:line="259" w:lineRule="auto"/>
        <w:tabs>
          <w:tab w:leader="none" w:pos="7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so extended, refinanced, renewed, replaced, defeased or refunded (plus all accrued interest thereon and the amount of any reasonably determined premium necessary to accomplish such refinancing (including tender premiums) and such reasonable expenses, defeasance costs and fees incurred in connection therewith);</w:t>
      </w:r>
    </w:p>
    <w:p>
      <w:pPr>
        <w:spacing w:after="0" w:line="186" w:lineRule="exact"/>
        <w:rPr>
          <w:rFonts w:ascii="Arial" w:cs="Arial" w:eastAsia="Arial" w:hAnsi="Arial"/>
          <w:sz w:val="18"/>
          <w:szCs w:val="18"/>
          <w:color w:val="auto"/>
        </w:rPr>
      </w:pPr>
    </w:p>
    <w:p>
      <w:pPr>
        <w:ind w:right="40" w:firstLine="464"/>
        <w:spacing w:after="0" w:line="342" w:lineRule="auto"/>
        <w:tabs>
          <w:tab w:leader="none" w:pos="71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23" w:lineRule="exact"/>
        <w:rPr>
          <w:rFonts w:ascii="Arial" w:cs="Arial" w:eastAsia="Arial" w:hAnsi="Arial"/>
          <w:sz w:val="16"/>
          <w:szCs w:val="16"/>
          <w:color w:val="auto"/>
        </w:rPr>
      </w:pPr>
    </w:p>
    <w:p>
      <w:pPr>
        <w:jc w:val="both"/>
        <w:ind w:firstLine="464"/>
        <w:spacing w:after="0" w:line="259" w:lineRule="auto"/>
        <w:tabs>
          <w:tab w:leader="none" w:pos="7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2024 notes or the Note Guarantees, such Permitted Refinancing Indebtedness is subordinated in right of payment to, the 2024 notes or such Note Guarantees on terms at least as favorable to the Holders of 2024 notes as those contained in the documentation governing the Indebtedness being extended, refinanced, renewed, replaced, defeased or refunded; and</w:t>
      </w:r>
    </w:p>
    <w:p>
      <w:pPr>
        <w:spacing w:after="0" w:line="186"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no event may Indebtedness of Spectrum Brands or any Guarantor be refinanced by means of Indebtedness of a Restricted Subsidiary that is not a Guarantor.</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“Person”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“preferred stock” means, with respect to any Person, any Capital Stock of such Person that has preferential rights to any other Capital Stock of such Person with respect to dividends or redemption upon liquidation.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“Qualified Equity Interests” means all Equity Interests of a person other than Disqualified Stock.</w:t>
      </w:r>
    </w:p>
    <w:p>
      <w:pPr>
        <w:spacing w:after="0" w:line="225"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 xml:space="preserve">“Rating Agencies” means S&amp;P and Moody’s;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S&amp;P or Moody’s (or both) shall cease issuing a rating on the 2024 notes for reasons outside the control of Spectrum Brands, Spectrum Brands may select a nationally recognized statistical rating agency to substitute for S&amp;P or Moody’s (or both).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means an office or agency where 2024 notes may be presented for registration of transfer or for exchange.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“Replacement Assets” means (1) non-current assets (other than securities of any Person) that will be used or useful in a Permitted Business or (2) all or substantially all of the assets of a Permitted Business or Voting Stock of any Person engaged in a Permitted Business that will become on the date of acquisition thereof a Restricted Subsidiary.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Investment” means an Investment other than a Permitted Investment.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“Restricted Subsidiary” of a Person means any Subsidiary of the referent Person that is not an Unrestricted Subsidiary. Unless the context otherwise requires, “Restricted Subsidiary” refers to a Restricted Subsidiary of Spectrum Brands.</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“Revolving Credit Agreement” means the revolving credit agreement dated June 16, 2010 among Spectrum Brands, the lenders party thereto and Bank of America NA, as agent, together with any related documents (including any security documents and guarantees) as such agreement, in whole or in part, in one or more instances, may be amended, renewed, extended, substituted, refinanced, restructured, replaced, supplemented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otherwise modified from time to time (including any successive renewals, extensions, substitutions, refinancings, restructurings, replacements, supplementations or other modifications of the foregoing and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institutional lenders)), including into one or more debt facilities, commercial paper facilities or other debt instruments, indentures or agreements (including by means of sales of debt securities (including Additional Notes)), providing for revolving credit loans, term loans, letters of credit or other debt obligations, whether any such extension, replacement or refinancing (1) occurs simultaneously or not with the termination or repayment of a prior credit agreement or (2) occurs on one or more separate occasions.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Ratings Group, a division of McGraw Hill, Inc. and its successors.</w:t>
      </w:r>
    </w:p>
    <w:p>
      <w:pPr>
        <w:spacing w:after="0" w:line="22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“Secured Leverage Ratio” means, on any date of determination (the “transaction date”), the ratio of (x) the aggregate amount of all Consolidated Total Indebtedness secured (or deemed secured pursuant to clause (1)(y) of the second paragraph of the covenant described under “—Certain Covenants— Incurrence of Indebtedness and issuance of Preferred Stock”) by a Lien on an any asset of Spectrum Brands or any of its Restricted Subsidiaries (other than liens described in clauses (2), (8), (25) and (27) of the definition of “Permitted Liens”) of Spectrum Brands and its Restricted Subsidiaries, determined on a consolidated basis (with any Indebtedness incurred pursuant to clause (1)(y) of the second paragraph of the covenant described under “—Certain Covenants —Incurrence of Indebtedness and issuance of Preferred Stock” deemed to be secured Indebtedness for this purpose in connection with any measurement of the Secured Leverage Ratio pursuant to such clause)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unrestricted cash and Cash Equivalents owned by Spectrum Brands and its Restricted Subsidiaries on a consolidated basis to (y) the aggregate amount of Consolidated Cash Flow of Spectrum Brands and its Restricted Subsidiaries for the four fiscal quarters immediately prior to the transaction date for which internal financial statements are available in each case with such pro forma adjustments to Indebtedness and Consolidated Cash Flow as are consistent with the pro forma adjustment provisions of the Fixed Charges Coverage Ratio.</w:t>
      </w:r>
    </w:p>
    <w:p>
      <w:pPr>
        <w:spacing w:after="0" w:line="16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“Significant Subsidiary” means any Subsidiary that would constitute a “significant subsidiary” within the meaning of Article 1 of Regulation S-X of the Securities Act.</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 means, with respect to any specified Person:</w:t>
      </w:r>
    </w:p>
    <w:p>
      <w:pPr>
        <w:spacing w:after="0" w:line="225" w:lineRule="exact"/>
        <w:rPr>
          <w:sz w:val="20"/>
          <w:szCs w:val="20"/>
          <w:color w:val="auto"/>
        </w:rPr>
      </w:pPr>
    </w:p>
    <w:p>
      <w:pPr>
        <w:ind w:right="160" w:firstLine="464"/>
        <w:spacing w:after="0" w:line="286" w:lineRule="auto"/>
        <w:tabs>
          <w:tab w:leader="none" w:pos="711"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165" w:lineRule="exact"/>
        <w:rPr>
          <w:rFonts w:ascii="Arial" w:cs="Arial" w:eastAsia="Arial" w:hAnsi="Arial"/>
          <w:sz w:val="17"/>
          <w:szCs w:val="17"/>
          <w:color w:val="auto"/>
        </w:rPr>
      </w:pPr>
    </w:p>
    <w:p>
      <w:pPr>
        <w:ind w:right="200" w:firstLine="464"/>
        <w:spacing w:after="0" w:line="277" w:lineRule="auto"/>
        <w:tabs>
          <w:tab w:leader="none" w:pos="71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“Term Loan Agreement” means the term loan credit agreement dated as of December 17, 2012, as amended pursuant to amendment no. 1 to credit agreement dated as of August 13, 2013, as further amended pursuant to new term loan commitment agreement no. 1 dated as of August 13, 2013 and effective as of September 4, 2013, as amended and restated pursuant to the restatement agreement dated as of December 18, 2013, as amended pursuant to amendment no. 2 to credit agreement dated as of January 31, 2014 and as further amended pursuant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the New Term Loan Commitment Agreement among Holdings, Spectrum Brands, as lead borrower, Spectrum Brands Canada, Inc. as Canadian borrower, Spectrum Brands Europe GmbH, as German borrower, the lenders party thereto and Deutsche Bank AG New York Branch, as agent, together with any related documents, including any related notes, guarantees, collateral documents, instruments and agreements executed in connection therewith, in each case as such term loan credit agreement, in whole or in part, in one or more instances, may be further amended, renewed, extended, substituted, refinanced, restructured, replaced, supplemented or otherwise modified from time to time (including any successive renewals, extensions, substitutions, refinancings, restructurings, replacements, supplementations or other modifications of the foregoing and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institutional lenders)), including into one or more debt facilities, commercial paper facilities or other debt instruments, indentures or agreements (including by means of sales of debt securities (including Additional Notes) to institutional investors), providing for revolving credit loans, term loans, letters of credit or other debt obligations, whether any such extension, replacement or refinancing (1) occurs simultaneously or not with the termination or repayment of a prior term loan credit agreement or (2) occurs on one or more separate occasions.</w:t>
      </w:r>
    </w:p>
    <w:p>
      <w:pPr>
        <w:spacing w:after="0" w:line="18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“Transaction Expenses” means fees and expenses payable or otherwise borne by Spectrum Brands and its Restricted Subsidiaries in connection with the Transactions, including the costs of legal and financial advisors to Spectrum Brands and the lenders under the New Term Loan Commitment Agreement.</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“Transactions” means, collectively, (a) the execution, delivery and performance by Spectrum Brands and the other parties thereto of the New Term Loan Commitment Agreement and the making of the borrowings thereunder, (b) the issuance of the 2024 notes and (c) the consummation of the acquisition and any other transactions described under “Summary—Recent Developments—Pet Care Europe Acquisition” and “Summary—Recent Developments—Tell Acquisition.”</w:t>
      </w:r>
    </w:p>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“Treasury Rate” means, as of any redemption date, the yield to maturity as of such redemption date of United States Treasury securities with a constant maturity (as compiled and published in the most recent Federal Reserve Statistical Release H.15(519) that has become publicly available at least two business days prior to the redemption date (or, if such Statistical Release is no longer published, any publicly available source of similar market data)) most nearly equal to the period from the redemption date to December 15,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period from the redemption date to December 15, 2019 is less than one year, the weekly average yield on actually traded United States Treasury securities adjusted to a constant maturity of one year will be used.</w:t>
      </w:r>
    </w:p>
    <w:p>
      <w:pPr>
        <w:spacing w:after="0" w:line="15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“Trustee” means the party named as such in the preamble to the 2024 notes indenture until a successor replaces it in accordance with the 2024 notes indenture and thereafter means the successor serving 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 Indenture Act” means the Trust Indenture Act of 1939, as amended.</w:t>
      </w:r>
    </w:p>
    <w:p>
      <w:pPr>
        <w:spacing w:after="0" w:line="225"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“Unrestricted Subsidiary” means any Subsidiary of Spectrum Brands that is designated by the Board of Directors as an Unrestricted Subsidiary pursuant to a resolution of the Board of Directors in compliance with the covenant described under the caption “—Certain Covenants—Designation of Restricted and Unrestricted Subsidiaries,” and any Subsidiary of such Subsidiary.</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“Voting Stock” of any Person as of any date means the Capital Stock of such Person that is at the time entitled to vote in the election of the Board of Directors of such Person.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 Average Life to Maturity” means, when applied to any Indebtedness at any date, the number of years obtained by dividing:</w:t>
      </w:r>
    </w:p>
    <w:p>
      <w:pPr>
        <w:spacing w:after="0" w:line="225" w:lineRule="exact"/>
        <w:rPr>
          <w:sz w:val="20"/>
          <w:szCs w:val="20"/>
          <w:color w:val="auto"/>
        </w:rPr>
      </w:pPr>
    </w:p>
    <w:p>
      <w:pPr>
        <w:ind w:firstLine="464"/>
        <w:spacing w:after="0" w:line="264" w:lineRule="auto"/>
        <w:tabs>
          <w:tab w:leader="none" w:pos="71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“Wholly Owned” means, with respect to any Restricted Subsidiary, a Restricted Subsidiary all of the outstanding Capital Stock of which (other than any director’s qualifying shares) is owned by Spectrum Brands and one or more Wholly Owned Restricted Subsidiaries (or a combination thereof).</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00"/>
          </w:cols>
          <w:pgMar w:left="24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2025 NOTES</w:t>
      </w:r>
    </w:p>
    <w:p>
      <w:pPr>
        <w:spacing w:after="0" w:line="229"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In this Description of 2025 Notes, (i) “Spectrum Brands” refers only to Spectrum Brands, Inc. and any successor obligor on the 2025 notes, and not to any of its subsidiaries, affiliates or direct or indirect parent companies and (ii) the terms “we,” “our” and “us” refer to Spectrum Brands and the Guarantors. You can find the definitions of certain terms used in this description of 2025 notes under “—Certain Definitions.”</w:t>
      </w:r>
    </w:p>
    <w:p>
      <w:pPr>
        <w:spacing w:after="0" w:line="166"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Spectrum Brands issued $1,000.0 million aggregate principal amount of 2025 notes under the 2025 notes indenture among Spectrum Brands, the guarantors named therein and U.S. Bank National Association, as Trustee, as supplemented by the supplemental indenture dated as of June 23, 2015.</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following is a summary of the material provisions of the 2025 notes indenture. Because this is a summary, it may not contain all the information that is important to you. You should read the 2025 notes indenture in its entirety because it, and not this description, defines your rights as holders of the 2025 notes. Copies of the 2025 notes indenture are available at the address described under “Where You Can Find More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2025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2025 notes will:</w:t>
      </w:r>
    </w:p>
    <w:p>
      <w:pPr>
        <w:spacing w:after="0" w:line="131" w:lineRule="exact"/>
        <w:rPr>
          <w:sz w:val="20"/>
          <w:szCs w:val="20"/>
          <w:color w:val="auto"/>
        </w:rPr>
      </w:pPr>
    </w:p>
    <w:p>
      <w:pPr>
        <w:ind w:left="900" w:right="760" w:hanging="325"/>
        <w:spacing w:after="0" w:line="277" w:lineRule="auto"/>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be general unsecured obligations of Spectrum Brands, ranking equally in right of payment with all existing and future unsecured senior Indebtedness of Spectrum Brands;</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be guaranteed by Spectrum Brands’ direct parent, SB/RH Holdings, LLC (“Holdings”), and each of Spectrum Brands’ existing and future Domestic Subsidiaries, which guaranty in each case shall be a senior unsecured obligation of such Guarantor, ranking equally in right of payment with all existing and future senior Indebtedness of such Guarantor;</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rank senior in right of payment to all of Spectrum Brands’ and the Guarantors’ existing and future Indebtedness that expressly provides for its subordination to the 2025 notes and the Note Guarantees;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be effectively subordinated to any secured Indebtedness of Spectrum Brands, including all Indebtedness under the Term Loan Agreement and the Revolving Credit Agreement, to the extent of the value of the assets securing such Indebtedness;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be structurally subordinated to all Indebtedness and other liabilities of Spectrum Brands’ subsidiaries that do not guarantee the 2025 notes.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2025 notes will mature on July 15, 2025. Spectrum Brands will pay interest on the 2025 notes semi-annually in arrears on July 15 and January 15 of each year to holders of record on the immediately preceding July 1 and January 1. Interest on the 2025 notes will accrue from the most recent date to which interest has been paid or, if no interest has been paid, from the Issue Date. Interest will be computed on the basis of a 360-day year comprised of twelve 30-day months.</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Spectrum Brands will pay interest on overdue principal of the 2025 notes at a rate equal to 1.0% per annum in excess of 5.750% per annum and will pay interest on overdue installments of interest at such higher rate, in each case to the extent lawful.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covenants described below, Spectrum Brands may issue additional 2025 notes (“Additional Notes”) under the 2025 notes indenture in an unlimited aggregate principal amount, having the same terms in all respects as the 2025 notes, or in all respects except with respect to issue price and interest accrued on or prior to the issue date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required by applicable tax regulations, if Additional Notes are not fungible with other 2025 notes for U.S. federal income tax purposes, the Additional Notes will trade under a separate CUSIP number and will be treated as a separate class for purposes of transfer and exchange. Nevertheless, the 2025 notes and any Additional Notes may, at our election, be treated as a single class for all purposes under the 2025 notes indenture and vote together as one class on all matters with respect to the 2025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2025 Notes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Holder has given wire transfer instructions to Spectrum Brands at least ten Business Days prior to the applicable payment or redemption date, Spectrum Brands will pay all principal, interest and premium, if any, on that Holder’s 2025 notes in accordance with those instructions. All other payments on 2025 notes will be made at the office or agency of the Paying Agent and Registrar unless Spectrum Brands elects to make interest payments by check mailed to the Holders at their addresses set forth in the register of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2025 Notes</w:t>
      </w:r>
    </w:p>
    <w:p>
      <w:pPr>
        <w:spacing w:after="0" w:line="121"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The Trustee is acting as Paying Agent and Registrar. Under the 2025 notes indenture, Spectrum Brands reserves the right to change the Paying Agent or Registrar without prior notice to the Holders, and Spectrum Brands or any of its Subsidiaries may act as Paying Agent or Registrar.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A Holder may transfer or exchange 2025 notes in accordance with the 2025 notes indenture. The Registrar and the Trustee may require a Holder, among other things, to furnish appropriate endorsements and transfer documents and Spectrum Brands may require a Holder to pay any taxes and fees required by law or permitted by the 2025 notes indenture. Spectrum Brands is not required to transfer or exchange any 2025 notes selected for redemption. Also, Spectrum Brands is not required to transfer or exchange any 2025 note for a period of 15 days before a selection of the 2025 notes to be redeemed.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2025 note will be treated as the owner of such 2025 note for all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Spectrum Brands’ obligations under the 2025 notes and the 2025 notes indenture will be guaranteed, jointly and severally, on a senior unsecured basis, by Holdings and all of the Domestic Subsidiaries of Spectrum Brands. Each Note Guarantee will:</w:t>
      </w:r>
    </w:p>
    <w:p>
      <w:pPr>
        <w:spacing w:after="0" w:line="76" w:lineRule="exact"/>
        <w:rPr>
          <w:sz w:val="20"/>
          <w:szCs w:val="20"/>
          <w:color w:val="auto"/>
        </w:rPr>
      </w:pPr>
    </w:p>
    <w:p>
      <w:pPr>
        <w:ind w:left="900" w:hanging="325"/>
        <w:spacing w:after="0"/>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be a general, unsecured obligation of the Guarantor;</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rank equally in right of payment with all existing and future unsecured senior Indebtedness of the Guarantor, including the guaranty of the Existing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rank senior in right of payment to all existing and any future subordinated Indebtedness of the Guarantor;</w:t>
      </w:r>
    </w:p>
    <w:p>
      <w:pPr>
        <w:spacing w:after="0" w:line="130" w:lineRule="exact"/>
        <w:rPr>
          <w:rFonts w:ascii="Arial" w:cs="Arial" w:eastAsia="Arial" w:hAnsi="Arial"/>
          <w:sz w:val="18"/>
          <w:szCs w:val="18"/>
          <w:color w:val="auto"/>
        </w:rPr>
      </w:pPr>
    </w:p>
    <w:p>
      <w:pPr>
        <w:ind w:left="900" w:right="380" w:hanging="325"/>
        <w:spacing w:after="0" w:line="308" w:lineRule="auto"/>
        <w:tabs>
          <w:tab w:leader="none" w:pos="9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be effectively subordinated to any secured Indebtedness of the Guarantor, including all Indebtedness of each Guarantor under the Term Loan Agreement and the Revolving Credit Agreement, to the extent of the value of the assets securing such Indebtedness; and</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be structurally subordinated to all Indebtedness and other liabilities of any of Spectrum Brands’ subsidiaries that do not guarantee the 2025 notes.</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2025 notes indenture will provide that the obligations of each Guarantor under its Note Guarantee will be limited as necessary to prevent that Note Guarantee from constituting a fraudulent conveyance 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applicable law. If Spectrum Brands or any of its Restricted Subsidiaries acquires or creates another Domestic Subsidiary on or after the Issue Date, then that newly acquired or created Domestic Subsidiary must promptly become a Guarantor, execute a supplemental indenture and deliver an opinion of counsel to the Trustee.</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None of Spectrum Brands’ Foreign Subsidiaries will guarantee the 2025 notes. Spectrum Brands’ Subsidiaries that will not be guaranteeing the 2025 notes had, as of September 30, 2015, approximately 19% of total liabilities and generated 54% of Spectrum’s revenue for the twelve month period ended September 30, 2015. See “Risk Factors—Risks Related to the Notes— The notes will be effectively subordinated to all liabilities of and claims of creditors of all of our foreign subsidiaries.” Under the circumstances described below under the caption “—Certain Covenants—Designation of Restricted and Unrestricted Subsidiaries,” we will be permitted to designate certain of our Subsidiaries as “Unrestricted Subsidiaries.” Spectrum Brands’ Unrestricted Subsidiaries will not be subject to the restrictive covenants in the 2025 notes indenture and will not guarantee the 2025 notes.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At any time prior to July 15, 2020, Spectrum Brands may redeem the 2025 notes at its option, in whole at any time or in part from time to time, at a redemption price equal to 100% of the principal amount of the 2025 notes redeemed plus the Applicable Premium as of, and accrued and unpaid interest, if any, to, the applicable redemption date.</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At any time on or after July 15, 2020, Spectrum Brands may redeem all or a part of the 2025 notes, from time to time, at the redemption prices (expressed as percentages of principal amount) set forth below plus accrued and unpaid interest, if any, to the applicable redemption date, in cash, if redeemed during the twelve-month period beginning on July 15 in the years indicated below:</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84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2020</w:t>
            </w:r>
          </w:p>
        </w:tc>
        <w:tc>
          <w:tcPr>
            <w:tcW w:w="3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102.875%</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2021</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101.917%</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3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100.958%</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At any time and from time to time prior to July 15, 2018, Spectrum Brands may redeem the 2025 notes with an amount of cash equal to the net cash proceeds received by Spectrum Brands from one or more Equity Offerings at a redemption price equal to 105.750% of the principal amount plus accrued and unpaid interest to the redemption date, in an aggregate principal amount for all such redemptions not to exceed 35% of the aggregate principal amount of the 2025 notes (calculated after giving effect to any issuance of Additional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1" w:lineRule="exact"/>
        <w:rPr>
          <w:sz w:val="20"/>
          <w:szCs w:val="20"/>
          <w:color w:val="auto"/>
        </w:rPr>
      </w:pPr>
    </w:p>
    <w:p>
      <w:pPr>
        <w:ind w:left="720" w:hanging="256"/>
        <w:spacing w:after="0"/>
        <w:tabs>
          <w:tab w:leader="none" w:pos="7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each case the redemption takes place not later than 90 days after the closing of the related Equity Offering, and</w:t>
      </w:r>
    </w:p>
    <w:p>
      <w:pPr>
        <w:spacing w:after="0" w:line="225"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 less than 65% of the aggregate principal amount of the 2025 notes (calculated after giving effect to any issuance of Additional Notes) issued under the 2025 notes indenture remains outstanding immediately thereafter.</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Notice of any redemption upon any Equity Offering may be given prior to the completion of the related Equity Offering, and any such redemption or notice may, at Spectrum Brands’ discretion, be subject to one or more conditions precedent, including, but not limited to, completion of the related Equity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less than all of the 2025 notes are to be redeemed at any time, the Trustee will select 2025 notes for redemption as follows:</w:t>
      </w:r>
    </w:p>
    <w:p>
      <w:pPr>
        <w:spacing w:after="0" w:line="225" w:lineRule="exact"/>
        <w:rPr>
          <w:sz w:val="20"/>
          <w:szCs w:val="20"/>
          <w:color w:val="auto"/>
        </w:rPr>
      </w:pPr>
    </w:p>
    <w:p>
      <w:pPr>
        <w:ind w:left="720" w:hanging="256"/>
        <w:spacing w:after="0"/>
        <w:tabs>
          <w:tab w:leader="none" w:pos="7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if the 2025 notes are listed, in compliance with the requirements of the principal national securities exchange on which the 2025 notes are listed; or</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the 2025 notes are not so listed, on a pro rata basis, by lot or by such method as the Trustee shall deem fair and appropriate.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2025 notes of less than $2,000 shall be redeemed in part. Notices of redemption shall be mailed by first class mail, or delivered electronically if held by DTC, at least 30 but not more than 60 days before the redemption date to each Holder of the 2025 notes to be redeemed at its registered address, except that redemption notices may be delivered more than 60 days prior to the redemption date if the notice is issued in connection with the defeasance of the 2025 notes or a satisfaction and discharge of the 2025 notes indenture.</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If any 2025 note is to be redeemed in part only, the notice of redemption that relates to that 2025 note shall state the portion of the principal amount thereof to be redeemed. A new 2025 note in principal amount equal to the unredeemed portion of the original 2025 note will be issued in the name of the Holder thereof upon cancellation of the original 2025 note. The 2025 notes called for redemption become due on the date fixed for redemption. On and after the redemption date, interest ceases to accrue on the 2025 notes or portions of them called for redemption.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Open Market Purchases and Other Purchases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Spectrum Brands is not required to make mandatory redemption or sinking fund payments with respect to the 2025 notes.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From time to time, Spectrum Brands, its Restricted Subsidiaries, its direct or indirect parents or its Affiliates may acquire the 2025 notes through open market purchases, privately negotiated transactions, tender offers, exchange offers, redemptions or otherwise, upon such terms and at such prices as Spectrum Brands, its Restricted Subsidiaries, its direct or indirect parents or its Affiliates (as applicable) may determine (or as may be provided for in the 2025 notes indenture), which may be more or less than the consideration for which the 2025 notes are being sold and may be less than the redemption price in effect and could be for cash or other consideration, in accordance with applicable securities laws, so long as such acquisition does not otherwise violate the terms of the 2025 notes indenture. There can be no assurance as to which, if any, of these alternatives or combinations thereof Spectrum Brands, its Restricted Subsidiaries, its direct or indirect parents or its Affiliates may choose to pursue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If a Change of Control occurs, each Holder of 2025 notes will have the right to require Spectrum Brands to repurchase all or any part (equal to $2,000 or a higher multiple of $1,000) of that Holder’s 2025 notes pursuant to a Change of Control Offer on the terms set forth in the 2025 notes indenture. In the Change of Control Offer, Spectrum Brands will offer a payment (such payment, a “Change of Control Payment”) in cash equal to 101% of the aggregate principal amount of 2025 notes repurchased, plus accrued and unpaid interest thereon, to the date of purchase. Within 30 days following any Change of Control, Spectrum Brands will mail, or deliver electronically if held by DTC, a notice to each Holder describing the transaction or transactions that constitute the Change of Control and offering to repurchase 2025 notes on the date specified in such notice (the “Change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Control Payment Date”), which date shall be no earlier than 30 days and no later than 60 days from the date such notice is delivered, pursuant to the procedures required by the 2025 notes indenture and described in such notice. Spectrum Brands will comply with the requirements of Rule 14e-1 under the Exchange Act and any other securities laws and regulations thereunder to the extent such laws and regulations are applicable in connection with the repurchase of the 2025 notes as a result of a Change of Control. To the extent that the provisions of any securities laws or regulations conflict with the Change of Control provisions of the 2025 notes indenture, Spectrum Brands will comply with the applicable securities laws and regulations and will not be deemed to have breached its obligations under the Change of Control provisions of the 2025 notes indenture by virtue of such compliance.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or before the Change of Control Payment Date, Spectrum Brands will, to the extent lawful:</w:t>
      </w:r>
    </w:p>
    <w:p>
      <w:pPr>
        <w:spacing w:after="0" w:line="225" w:lineRule="exact"/>
        <w:rPr>
          <w:sz w:val="20"/>
          <w:szCs w:val="20"/>
          <w:color w:val="auto"/>
        </w:rPr>
      </w:pPr>
    </w:p>
    <w:p>
      <w:pPr>
        <w:ind w:left="720" w:hanging="256"/>
        <w:spacing w:after="0"/>
        <w:tabs>
          <w:tab w:leader="none" w:pos="7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accept for payment all 2025 notes or portions thereof properly tendered pursuant to the Change of Control Offer;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2025 notes or portions thereof properly tendered;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firstLine="464"/>
        <w:spacing w:after="0" w:line="277" w:lineRule="auto"/>
        <w:tabs>
          <w:tab w:leader="none" w:pos="71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2025 notes so accepted together with an officer’s certificate stating the aggregate principal amount of 2025 notes or portions thereof being purchased by Spectrum Brands.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The Paying Agent will promptly mail or wire transfer to each Holder of 2025 notes properly tendered the Change of Control Payment for such 2025 notes, and the Trustee will promptly authenticate and mail (or cause to be transferred by book entry) to each Holder a new Note equal in principal amount to any unpurchased portion of the 2025 notes surrendered,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new 2025 note will be in a principal amount of $2,000 or a higher integral multiple of $1,000.</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Spectrum Brands’ senior credit facilities provide that certain change of control events with respect to Spectrum Brands would constitute a default under these agreements. Any future credit agreements or other agreements to which Spectrum Brands becomes a party may contain similar provisions. Spectrum Brands’ ability to pay cash to the Noteholders following the occurrence of a Change of Control may be limited by Spectrum Brands’ then existing financial resources. Moreover, the exercise by the Noteholders of their right to require Spectrum Brands to purchase the 2025 notes could cause a default under other debt, even if the Change of Control itself does not, due to the financial effect of the purchase on Spectrum Brands. There can be no assurance that sufficient funds will be available when necessary to make the required purchase of the 2025 notes. See “Risk Factors—Risks Related to the Notes—We may not be able to make the change of control offer required by the indenture.”</w:t>
      </w:r>
    </w:p>
    <w:p>
      <w:pPr>
        <w:spacing w:after="0" w:line="17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Spectrum Brands will not be required to make a Change of Control Offer upon a Change of Control if (1) a third party makes the Change of Control Offer in the manner, at the times and otherwise in compliance with the requirements set forth in the 2025 notes indenture applicable to a Change of Control Offer made by Spectrum Brands and purchases all 2025 notes validly tendered and not withdrawn under such Change of Control Offer or (2) notice of redemption has been given pursuant to the 2025 notes indenture as described above under the caption “—Optional Redemption,” unless and until there is a default in payment of the applicable redemption price.</w:t>
      </w:r>
    </w:p>
    <w:p>
      <w:pPr>
        <w:spacing w:after="0" w:line="188"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If holders of not less than 90% in aggregate principal amount of the outstanding 2025 notes validly tender and do not withdraw such 2025 notes in a Change of Control Offer and Spectrum Brands, or any third party making a Change of Control Offer in lieu of Spectrum Brands as described above, purchases all of the 2025 notes validly tendered and not withdrawn by such holders, Spectrum Brands or such third party will have the right, upon not less than 30 nor more than 60 days’ prior notice, given not more than 30 days following such purchase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Change of Control Offer described above, to redeem all 2025 notes that remain outstanding following such purchase at a price in cash equal to 101% of the principal amount thereof plus accrued and unpaid interest to but excluding the date of redemption.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2025 notes repurchased by Spectrum Brands pursuant to a Change of Control Offer will have the status of 2025 notes issued but not outstanding or will be retired and canceled at the option of Spectrum Brands. 2025 notes purchased by a third party pursuant to the preceding paragraphs will have the status of 2025 notes issued and outstanding.</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Change of Control Offer may be made in advance of a Change of Control, conditional upon such Change of Control or other events, if a definitive agreement is in place for the Change of Control at the time of making of the Change of Control Offer.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provisions under the 2025 notes indenture relative to Spectrum Brand’s obligation to make a Change of Control Offer may be waived or modified with the written consent of the holders of a majority in principal amount of the 2025 notes then outstanding.</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the properties or assets of Spectrum Brands and its Subsidiaries taken as a whole. Although there is a limited body of case law interpreting the phrase “substantially all,” there is no precise established definition of the phrase under applicable law. Accordingly, the ability of a Holder of the 2025 notes to require Spectrum Brands to repurchase such 2025 notes as a result of a sale, lease, transfer, conveyance or other disposition of less than all of the assets of Spectrum Brands and its Subsidiaries taken as a whole to another Person or group may be uncertain.</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a Delaware Chancery Court interpretation of a change of control repurchase requirement with a continuing director provision, a board of directors may approve a slate of shareholder-nominated directors without endorsing them or while simultaneously recommending and endorsing its own slate instead. The foregoing interpretation would permit Spectrum Brands’ board of directors to approve a slate of directors that included a majority of dissident directors nominated pursuant to a proxy contest, and the ultimate election of such directors would not constitute a “Change of Control” under the 2025 notes indenture that would trigger the rights of a holder of 2025 notes to require a repurchase of the 2025 notes pursuant to this covenant.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Suspension of Certain Covenants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If at any time after the Issue Date that (i) the 2025 notes are rated Investment Grade by each of S&amp;P and Moody’s (or, if either (or both) of S&amp;P and Moody’s have been substituted in accordance with the definition of “Rating Agencies,” by each of the then applicable Rating Agencies) and (ii) no Default has occurred and is continuing under the 2025 notes indenture, Spectrum Brands and its Restricted Subsidiaries will not be subject to the covenants in the 2025 notes indenture specifically listed under the following captions in this “Description of 2025 Notes” section of this prospectus (the “Suspended Covenants”):</w:t>
      </w:r>
    </w:p>
    <w:p>
      <w:pPr>
        <w:spacing w:after="0" w:line="188" w:lineRule="exact"/>
        <w:rPr>
          <w:sz w:val="20"/>
          <w:szCs w:val="20"/>
          <w:color w:val="auto"/>
        </w:rPr>
      </w:pPr>
    </w:p>
    <w:p>
      <w:pPr>
        <w:ind w:left="720" w:hanging="256"/>
        <w:spacing w:after="0"/>
        <w:tabs>
          <w:tab w:leader="none" w:pos="7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“—Certain Covenants—Incurrence of Indebtedness and Issuance of Preferred Stock”;</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“—Certain Covenants—Restricted Payments”;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“—Certain Covenants—Dividend and Other Payment Restrictions Affecting Restricted Subsidiaries”;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“—Certain Covenants—Transactions with Affiliates”;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“—Certain Covenants—Asset Sales”;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380"/>
          </w:cols>
          <w:pgMar w:left="240" w:top="460" w:right="2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clause (3) under “—Certain Covenants—Merger, Consolidation or Sale of Assets.”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Additionally, during such time as the above referenced covenants are suspended (a “Suspension Period”), Spectrum Brands will not be permitted to designate any Restricted Subsidiary as an Unrestricted Subsidiary.</w:t>
      </w:r>
    </w:p>
    <w:p>
      <w:pPr>
        <w:spacing w:after="0" w:line="170"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In the event that Spectrum Brands and its Restricted Subsidiaries are not subject to the Suspended Covenants for any period of time as a result of the foregoing, and on any subsequent date (the “Reversion Date”) the condition set forth in clause (i) of the first paragraph of this section is no longer satisfied, then Spectrum Brands and its Restricted Subsidiaries will thereafter again be subject to the Suspended Covenant with respect to future events.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each Reversion Date, all Debt incurred during the Suspension Period prior to such Reversion Date will be deemed to be Debt incurred pursuant to clause (b)(2) under “—Incurrence of Indebtedness and Issuance of Preferred Stock.” For purposes of calculating the amount available to be made as Restricted Payments under clause (3) of clause (A) of “—Restricted Payments,” calculations under such covenant shall be made as though such covenant had been in effect since the Issue Date and prior, but not during, the Suspension Period. Accordingly, Restricted Payments made during the Suspension Period will not reduce the amount available to be made as Restricted Payments under the first paragraph of “Restricted Payments.” For purposes of the “Asset Sales” covenant, on the Reversion Date, the amount of unutilized Excess Proceeds will be reset to zero. Notwithstanding that the Suspended Covenants may be reinstated, no Default or Event of Default shall be deemed to have occurred as a result of a failure to comply with the Suspended Covenants during a Suspension Period (or on the Reversion Date after a Suspension Period based solely on events that occurred during the Suspension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can be no assurance that the 2025 notes will ever achieve or maintain a rating of Investment Grade from the Rating Agencies.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Spectrum Brands will not, and will not permit any of its Restricted Subsidiaries to, directly or indirectly:</w:t>
      </w:r>
    </w:p>
    <w:p>
      <w:pPr>
        <w:spacing w:after="0" w:line="225" w:lineRule="exact"/>
        <w:rPr>
          <w:sz w:val="20"/>
          <w:szCs w:val="20"/>
          <w:color w:val="auto"/>
        </w:rPr>
      </w:pPr>
    </w:p>
    <w:p>
      <w:pPr>
        <w:ind w:firstLine="464"/>
        <w:spacing w:after="0" w:line="288" w:lineRule="auto"/>
        <w:tabs>
          <w:tab w:leader="none" w:pos="711" w:val="left"/>
        </w:tabs>
        <w:numPr>
          <w:ilvl w:val="1"/>
          <w:numId w:val="275"/>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Spectrum Brands’ or any of its Restricted Subsidiaries’ Equity Interests (including, without limitation, any payment in connection with any merger or consolidation involving Spectrum Brands or any of its Restricted Subsidiaries) or to the direct or indirect holders of Spectrum Brands’ or any of its Restricted Subsidiaries’ Equity Interests in their capacity as such (other than</w:t>
      </w:r>
    </w:p>
    <w:p>
      <w:pPr>
        <w:ind w:right="240" w:firstLine="8"/>
        <w:spacing w:after="0" w:line="253" w:lineRule="auto"/>
        <w:tabs>
          <w:tab w:leader="none" w:pos="29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dividends, payments or distributions payable in Equity Interests (other than Disqualified Stock) of Spectrum Brands or to Spectrum Brands or a Restricted Subsidiary of Spectrum Brands; and (B) dividends, payments or distributions by a Restricted Subsidiary so long as, in the case of any dividends, payments or distributions payable on or in respect of any class or series of securities issued by a Restricted Subsidiary that is not Wholly Owned, Spectrum Brands or a Restricted Subsidiary receives at least its pro rata share of such dividends, payments or distributions in accordance with its Equity Interests in such class or series of securities);</w:t>
      </w:r>
    </w:p>
    <w:p>
      <w:pPr>
        <w:spacing w:after="0" w:line="191" w:lineRule="exact"/>
        <w:rPr>
          <w:rFonts w:ascii="Arial" w:cs="Arial" w:eastAsia="Arial" w:hAnsi="Arial"/>
          <w:sz w:val="18"/>
          <w:szCs w:val="18"/>
          <w:color w:val="auto"/>
        </w:rPr>
      </w:pPr>
    </w:p>
    <w:p>
      <w:pPr>
        <w:ind w:right="220" w:firstLine="464"/>
        <w:spacing w:after="0" w:line="308" w:lineRule="auto"/>
        <w:tabs>
          <w:tab w:leader="none" w:pos="711" w:val="left"/>
        </w:tabs>
        <w:numPr>
          <w:ilvl w:val="1"/>
          <w:numId w:val="276"/>
        </w:numPr>
        <w:rPr>
          <w:rFonts w:ascii="Arial" w:cs="Arial" w:eastAsia="Arial" w:hAnsi="Arial"/>
          <w:sz w:val="17"/>
          <w:szCs w:val="17"/>
          <w:color w:val="auto"/>
        </w:rPr>
      </w:pPr>
      <w:r>
        <w:rPr>
          <w:rFonts w:ascii="Arial" w:cs="Arial" w:eastAsia="Arial" w:hAnsi="Arial"/>
          <w:sz w:val="17"/>
          <w:szCs w:val="17"/>
          <w:color w:val="auto"/>
        </w:rPr>
        <w:t>purchase, redeem or otherwise acquire or retire for value (including, without limitation, in connection with any merger or consolidation involving Spectrum Brands) any Equity Interests of Spectrum Brands or any direct or indirect parent of Spectrum Brands, including Holdings;</w:t>
      </w:r>
    </w:p>
    <w:p>
      <w:pPr>
        <w:spacing w:after="0" w:line="146" w:lineRule="exact"/>
        <w:rPr>
          <w:rFonts w:ascii="Arial" w:cs="Arial" w:eastAsia="Arial" w:hAnsi="Arial"/>
          <w:sz w:val="17"/>
          <w:szCs w:val="17"/>
          <w:color w:val="auto"/>
        </w:rPr>
      </w:pPr>
    </w:p>
    <w:p>
      <w:pPr>
        <w:ind w:right="60" w:firstLine="464"/>
        <w:spacing w:after="0" w:line="264" w:lineRule="auto"/>
        <w:tabs>
          <w:tab w:leader="none" w:pos="71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make any payment on or with respect to, or purchase, redeem, defease or otherwise acquire or retire for value any Indebtedness that is contractually subordinated in right of payment to the 2025 notes or the Note Guarantees, except (a) payments of interest on or after Stated Maturity thereof, (b) payments, purchases,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redemptions, defeasances or other acquisitions or retirements for value of principal on or after the date that is one year prior to the Stated Maturity thereof or</w:t>
      </w:r>
    </w:p>
    <w:p>
      <w:pPr>
        <w:spacing w:after="0" w:line="46" w:lineRule="exact"/>
        <w:rPr>
          <w:sz w:val="20"/>
          <w:szCs w:val="20"/>
          <w:color w:val="auto"/>
        </w:rPr>
      </w:pPr>
    </w:p>
    <w:p>
      <w:pPr>
        <w:ind w:right="900" w:firstLine="8"/>
        <w:spacing w:after="0" w:line="261" w:lineRule="auto"/>
        <w:tabs>
          <w:tab w:leader="none" w:pos="24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payments on Indebtedness permitted to be incurred pursuant to clause (6) of the covenant described below under the caption “—Incurrence of Indebtedness and Issuance of Preferred Stock,” or</w:t>
      </w:r>
    </w:p>
    <w:p>
      <w:pPr>
        <w:spacing w:after="0" w:line="183" w:lineRule="exact"/>
        <w:rPr>
          <w:rFonts w:ascii="Arial" w:cs="Arial" w:eastAsia="Arial" w:hAnsi="Arial"/>
          <w:sz w:val="18"/>
          <w:szCs w:val="18"/>
          <w:color w:val="auto"/>
        </w:rPr>
      </w:pPr>
    </w:p>
    <w:p>
      <w:pPr>
        <w:ind w:left="720" w:hanging="256"/>
        <w:spacing w:after="0"/>
        <w:tabs>
          <w:tab w:leader="none" w:pos="7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such payments and other actions set forth in clauses (1) through (4) above being collectively referred to as “Restricted Payments”), unless, at the time of and after giving effect to such Restricted Payment:</w:t>
      </w:r>
    </w:p>
    <w:p>
      <w:pPr>
        <w:spacing w:after="0" w:line="170" w:lineRule="exact"/>
        <w:rPr>
          <w:sz w:val="20"/>
          <w:szCs w:val="20"/>
          <w:color w:val="auto"/>
        </w:rPr>
      </w:pPr>
    </w:p>
    <w:p>
      <w:pPr>
        <w:ind w:left="720" w:hanging="256"/>
        <w:spacing w:after="0"/>
        <w:tabs>
          <w:tab w:leader="none" w:pos="7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 and</w:t>
      </w:r>
    </w:p>
    <w:p>
      <w:pPr>
        <w:spacing w:after="0" w:line="225" w:lineRule="exact"/>
        <w:rPr>
          <w:rFonts w:ascii="Arial" w:cs="Arial" w:eastAsia="Arial" w:hAnsi="Arial"/>
          <w:sz w:val="18"/>
          <w:szCs w:val="18"/>
          <w:color w:val="auto"/>
        </w:rPr>
      </w:pPr>
    </w:p>
    <w:p>
      <w:pPr>
        <w:ind w:right="100" w:firstLine="464"/>
        <w:spacing w:after="0" w:line="259" w:lineRule="auto"/>
        <w:tabs>
          <w:tab w:leader="none" w:pos="71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Spectrum Brands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186" w:lineRule="exact"/>
        <w:rPr>
          <w:rFonts w:ascii="Arial" w:cs="Arial" w:eastAsia="Arial" w:hAnsi="Arial"/>
          <w:sz w:val="18"/>
          <w:szCs w:val="18"/>
          <w:color w:val="auto"/>
        </w:rPr>
      </w:pPr>
    </w:p>
    <w:p>
      <w:pPr>
        <w:ind w:firstLine="464"/>
        <w:spacing w:after="0" w:line="259" w:lineRule="auto"/>
        <w:tabs>
          <w:tab w:leader="none" w:pos="71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Spectrum Brands and its Restricted Subsidiaries after December 4, 2014 (excluding Restricted Payments permitted by clauses (2), (3), (4) (to the extent such dividends are paid to Spectrum Brands or any of its Restricted Subsidiaries) and (5), (6), (8), (9)(i), (ii) or (iv), (10), (11), (12) and (13) of the next succeeding paragraph (B)), is less than the sum, without duplication, of:</w:t>
      </w:r>
    </w:p>
    <w:p>
      <w:pPr>
        <w:spacing w:after="0" w:line="78" w:lineRule="exact"/>
        <w:rPr>
          <w:rFonts w:ascii="Arial" w:cs="Arial" w:eastAsia="Arial" w:hAnsi="Arial"/>
          <w:sz w:val="18"/>
          <w:szCs w:val="18"/>
          <w:color w:val="auto"/>
        </w:rPr>
      </w:pPr>
    </w:p>
    <w:p>
      <w:pPr>
        <w:jc w:val="both"/>
        <w:ind w:left="460" w:right="60" w:firstLine="443"/>
        <w:spacing w:after="0" w:line="264" w:lineRule="auto"/>
        <w:tabs>
          <w:tab w:leader="none" w:pos="114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50% of the Consolidated Net Income of Spectrum Brands for the period (taken as one accounting period) from October 1, 2014 to the end of Spectrum Brands’ most recently ended fiscal quarter for which internal financial statements are available at the time of such Restricted Payment (or, if such Consolidated Net Income for such period is a deficit, less 100% of such deficit); plus</w:t>
      </w:r>
    </w:p>
    <w:p>
      <w:pPr>
        <w:spacing w:after="0" w:line="73" w:lineRule="exact"/>
        <w:rPr>
          <w:rFonts w:ascii="Arial" w:cs="Arial" w:eastAsia="Arial" w:hAnsi="Arial"/>
          <w:sz w:val="18"/>
          <w:szCs w:val="18"/>
          <w:color w:val="auto"/>
        </w:rPr>
      </w:pPr>
    </w:p>
    <w:p>
      <w:pPr>
        <w:ind w:left="460" w:firstLine="443"/>
        <w:spacing w:after="0" w:line="257" w:lineRule="auto"/>
        <w:tabs>
          <w:tab w:leader="none" w:pos="115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100% of the aggregate net cash proceeds (and fair market value of marketable securities or other property) received by Spectrum Brands after December 4, 2014 as a contribution to its common equity capital or from the issue or sale of Equity Interests (other than Disqualified Stock) of Spectrum Brands or from the issue or sale of convertible or exchangeable Disqualified Stock or convertible or exchangeable debt securities of Spectrum Brands that have been converted into or exchanged for such Equity Interests (other than Equity Interests (or Disqualified Stock or debt securities) sold to a Subsidiary of Spectrum Brands); plus</w:t>
      </w:r>
    </w:p>
    <w:p>
      <w:pPr>
        <w:spacing w:after="0" w:line="80" w:lineRule="exact"/>
        <w:rPr>
          <w:rFonts w:ascii="Arial" w:cs="Arial" w:eastAsia="Arial" w:hAnsi="Arial"/>
          <w:sz w:val="18"/>
          <w:szCs w:val="18"/>
          <w:color w:val="auto"/>
        </w:rPr>
      </w:pPr>
    </w:p>
    <w:p>
      <w:pPr>
        <w:ind w:left="460" w:right="80" w:firstLine="443"/>
        <w:spacing w:after="0" w:line="272" w:lineRule="auto"/>
        <w:tabs>
          <w:tab w:leader="none" w:pos="1143" w:val="left"/>
        </w:tabs>
        <w:numPr>
          <w:ilvl w:val="1"/>
          <w:numId w:val="278"/>
        </w:numPr>
        <w:rPr>
          <w:rFonts w:ascii="Arial" w:cs="Arial" w:eastAsia="Arial" w:hAnsi="Arial"/>
          <w:sz w:val="17"/>
          <w:szCs w:val="17"/>
          <w:color w:val="auto"/>
        </w:rPr>
      </w:pPr>
      <w:r>
        <w:rPr>
          <w:rFonts w:ascii="Arial" w:cs="Arial" w:eastAsia="Arial" w:hAnsi="Arial"/>
          <w:sz w:val="17"/>
          <w:szCs w:val="17"/>
          <w:color w:val="auto"/>
        </w:rPr>
        <w:t>with respect to Restricted Investments made by Spectrum Brands and its Restricted Subsidiaries after December 4, 2014, an amount equal to the net reduction in Investments (other than reductions in Permitted Investments) in any Person resulting from repayments of loans or advances, or other transfers of assets, in each case to Spectrum Brands or any Restricted Subsidiary or from the net cash proceeds from the sale of any such Investment (except, in each case, to the extent any such payment or proceeds are included in the calculation of Consolidated Net Income) from the release of any Guarantee (except to the extent any amounts are paid under such Guarantee) or from redesignations of Unrestricted Subsidiaries as Restricted Subsidiaries, not to exceed, in each case, the amount of Investments previously made by Spectrum Brands or any Restricted Subsidiary in such Person or Unrestricted Subsidiary; plus</w:t>
      </w:r>
    </w:p>
    <w:p>
      <w:pPr>
        <w:spacing w:after="0" w:line="69" w:lineRule="exact"/>
        <w:rPr>
          <w:rFonts w:ascii="Arial" w:cs="Arial" w:eastAsia="Arial" w:hAnsi="Arial"/>
          <w:sz w:val="17"/>
          <w:szCs w:val="17"/>
          <w:color w:val="auto"/>
        </w:rPr>
      </w:pPr>
    </w:p>
    <w:p>
      <w:pPr>
        <w:ind w:left="1160" w:hanging="257"/>
        <w:spacing w:after="0"/>
        <w:tabs>
          <w:tab w:leader="none" w:pos="11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$350.0 million.</w:t>
      </w:r>
    </w:p>
    <w:p>
      <w:pPr>
        <w:spacing w:after="0" w:line="225" w:lineRule="exact"/>
        <w:rPr>
          <w:sz w:val="20"/>
          <w:szCs w:val="20"/>
          <w:color w:val="auto"/>
        </w:rPr>
      </w:pPr>
    </w:p>
    <w:p>
      <w:pPr>
        <w:ind w:right="80" w:firstLine="464"/>
        <w:spacing w:after="0" w:line="277" w:lineRule="auto"/>
        <w:tabs>
          <w:tab w:leader="none" w:pos="74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So long as, in the case of clauses (7), (8) and (15), no Default has occurred and is continuing or would be caused thereby, the preceding provisions will not prohibit:</w:t>
      </w:r>
    </w:p>
    <w:p>
      <w:pPr>
        <w:spacing w:after="0" w:line="170" w:lineRule="exact"/>
        <w:rPr>
          <w:sz w:val="20"/>
          <w:szCs w:val="20"/>
          <w:color w:val="auto"/>
        </w:rPr>
      </w:pPr>
    </w:p>
    <w:p>
      <w:pPr>
        <w:ind w:right="180" w:firstLine="464"/>
        <w:spacing w:after="0" w:line="264" w:lineRule="auto"/>
        <w:tabs>
          <w:tab w:leader="none" w:pos="71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payment of any dividend or distribution or consummation of a redemption within 60 days after the date of declaration thereof or the giving of the redemption notice, as applicable, if at said date of declaration or notice such payment would have complied with the provisions of the 2025 notes indenture;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360"/>
          </w:cols>
          <w:pgMar w:left="240" w:top="460" w:right="2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93" w:lineRule="auto"/>
        <w:tabs>
          <w:tab w:leader="none" w:pos="711" w:val="left"/>
        </w:tabs>
        <w:numPr>
          <w:ilvl w:val="1"/>
          <w:numId w:val="281"/>
        </w:numPr>
        <w:rPr>
          <w:rFonts w:ascii="Arial" w:cs="Arial" w:eastAsia="Arial" w:hAnsi="Arial"/>
          <w:sz w:val="16"/>
          <w:szCs w:val="16"/>
          <w:color w:val="auto"/>
        </w:rPr>
      </w:pPr>
      <w:r>
        <w:rPr>
          <w:rFonts w:ascii="Arial" w:cs="Arial" w:eastAsia="Arial" w:hAnsi="Arial"/>
          <w:sz w:val="16"/>
          <w:szCs w:val="16"/>
          <w:color w:val="auto"/>
        </w:rPr>
        <w:t xml:space="preserve">the redemption, repurchase, retirement, defeasance or other acquisition of any subordinated Indebtedness of Spectrum Brands or any Guarantor or of any Equity Interests (including Disqualified Stock) of Spectrum Brands or any Restricted Subsidiary in exchange for, or out of the net cash proceeds of a contribution to the common equity of Spectrum Brands or sale (other than to a Subsidiary of Spectrum Brands) of, Equity Interests of Spectrum Brands or any direct or indirect parent of Spectrum Brands (other than Disqualified Stock) contributed to the equity of Spectrum Brands, in each case, within 60 days of such redemption, repurchase, retirement, defeasance or other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such net cash proceeds that are utilized for any such redemption, repurchase, retirement, defeasance or other acquisition shall be excluded from clause (3)(b) of the preceding paragraph (A);</w:t>
      </w:r>
    </w:p>
    <w:p>
      <w:pPr>
        <w:spacing w:after="0" w:line="164" w:lineRule="exact"/>
        <w:rPr>
          <w:rFonts w:ascii="Arial" w:cs="Arial" w:eastAsia="Arial" w:hAnsi="Arial"/>
          <w:sz w:val="16"/>
          <w:szCs w:val="16"/>
          <w:color w:val="auto"/>
        </w:rPr>
      </w:pPr>
    </w:p>
    <w:p>
      <w:pPr>
        <w:ind w:right="20" w:firstLine="464"/>
        <w:spacing w:after="0" w:line="277" w:lineRule="auto"/>
        <w:tabs>
          <w:tab w:leader="none" w:pos="711"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defeasance, repayment, redemption, repurchase or other acquisition of subordinated Indebtedness of Spectrum Brands or any Guarantor with the net cash proceeds from an incurrence of Permitted Refinancing Indebtedness;</w:t>
      </w:r>
    </w:p>
    <w:p>
      <w:pPr>
        <w:spacing w:after="0" w:line="170" w:lineRule="exact"/>
        <w:rPr>
          <w:rFonts w:ascii="Arial" w:cs="Arial" w:eastAsia="Arial" w:hAnsi="Arial"/>
          <w:sz w:val="18"/>
          <w:szCs w:val="18"/>
          <w:color w:val="auto"/>
        </w:rPr>
      </w:pPr>
    </w:p>
    <w:p>
      <w:pPr>
        <w:ind w:right="220" w:firstLine="464"/>
        <w:spacing w:after="0" w:line="277" w:lineRule="auto"/>
        <w:tabs>
          <w:tab w:leader="none" w:pos="711"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payment of any dividend or distribution by a Restricted Subsidiary of Spectrum Brands to the holders of its common Equity Interests on a pro rata basis;</w:t>
      </w:r>
    </w:p>
    <w:p>
      <w:pPr>
        <w:spacing w:after="0" w:line="170" w:lineRule="exact"/>
        <w:rPr>
          <w:rFonts w:ascii="Arial" w:cs="Arial" w:eastAsia="Arial" w:hAnsi="Arial"/>
          <w:sz w:val="18"/>
          <w:szCs w:val="18"/>
          <w:color w:val="auto"/>
        </w:rPr>
      </w:pPr>
    </w:p>
    <w:p>
      <w:pPr>
        <w:ind w:right="240" w:firstLine="464"/>
        <w:spacing w:after="0" w:line="259" w:lineRule="auto"/>
        <w:tabs>
          <w:tab w:leader="none" w:pos="711" w:val="left"/>
        </w:tabs>
        <w:numPr>
          <w:ilvl w:val="1"/>
          <w:numId w:val="281"/>
        </w:numPr>
        <w:rPr>
          <w:rFonts w:ascii="Arial" w:cs="Arial" w:eastAsia="Arial" w:hAnsi="Arial"/>
          <w:sz w:val="18"/>
          <w:szCs w:val="18"/>
          <w:color w:val="auto"/>
        </w:rPr>
      </w:pPr>
      <w:r>
        <w:rPr>
          <w:rFonts w:ascii="Arial" w:cs="Arial" w:eastAsia="Arial" w:hAnsi="Arial"/>
          <w:sz w:val="18"/>
          <w:szCs w:val="18"/>
          <w:color w:val="auto"/>
        </w:rPr>
        <w:t xml:space="preserve">Investments acquired as a capital contribution to, or in exchange for, or out of the net cash proceeds of an offering of, Equity Interests (other than Disqualified Stock) of Spectrum Brands or other contributions to the common equity capital of Spectrum Brands, in each case within 60 days of the acquisition of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such net cash proceeds that are utilized for any such acquisition or exchange shall be excluded from clause (3)(b) of the preceding paragraph (A);</w:t>
      </w:r>
    </w:p>
    <w:p>
      <w:pPr>
        <w:spacing w:after="0" w:line="186" w:lineRule="exact"/>
        <w:rPr>
          <w:rFonts w:ascii="Arial" w:cs="Arial" w:eastAsia="Arial" w:hAnsi="Arial"/>
          <w:sz w:val="18"/>
          <w:szCs w:val="18"/>
          <w:color w:val="auto"/>
        </w:rPr>
      </w:pPr>
    </w:p>
    <w:p>
      <w:pPr>
        <w:ind w:right="400" w:firstLine="464"/>
        <w:spacing w:after="0" w:line="264" w:lineRule="auto"/>
        <w:tabs>
          <w:tab w:leader="none" w:pos="711"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repurchase of Capital Stock deemed to occur upon the exercise of options, warrants or other convertible or exchangeable securities or the vesting of restricted stock, restricted stock units or similar instruments if such Capital Stock represents fractional shares or all or a portion of the exercise price thereof or withholding taxes payable in connection with the exercise thereof;</w:t>
      </w:r>
    </w:p>
    <w:p>
      <w:pPr>
        <w:spacing w:after="0" w:line="181" w:lineRule="exact"/>
        <w:rPr>
          <w:rFonts w:ascii="Arial" w:cs="Arial" w:eastAsia="Arial" w:hAnsi="Arial"/>
          <w:sz w:val="18"/>
          <w:szCs w:val="18"/>
          <w:color w:val="auto"/>
        </w:rPr>
      </w:pPr>
    </w:p>
    <w:p>
      <w:pPr>
        <w:ind w:right="100" w:firstLine="464"/>
        <w:spacing w:after="0" w:line="284" w:lineRule="auto"/>
        <w:tabs>
          <w:tab w:leader="none" w:pos="711" w:val="left"/>
        </w:tabs>
        <w:numPr>
          <w:ilvl w:val="1"/>
          <w:numId w:val="281"/>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(or payments to Holdings to fund any such repurchase, redemption or other acquisition of value) any Equity Interests of Holdings (or any direct or indirect parent of Holdings) or Spectrum Brands held by any employee, former employee, director or former director of Spectrum Brands (or any of its Restricted Subsidiaries) or Holdings (or any direct or indirect parent of Holdings) or any permitted transferee of any of the foregoing pursuant to the terms of any employee equity subscription agreement, stock option agreement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price paid for all such repurchased, redeemed, acquired or retired Equity Interests in any fiscal year, and any payment by Spectrum Brands to Holdings to enable Holdings (or any direct or indirect parent of Holdings) to make such payments, shall not exceed the sum of</w:t>
      </w:r>
    </w:p>
    <w:p>
      <w:pPr>
        <w:spacing w:after="0" w:line="4" w:lineRule="exact"/>
        <w:rPr>
          <w:rFonts w:ascii="Arial" w:cs="Arial" w:eastAsia="Arial" w:hAnsi="Arial"/>
          <w:sz w:val="16"/>
          <w:szCs w:val="16"/>
          <w:color w:val="auto"/>
        </w:rPr>
      </w:pPr>
    </w:p>
    <w:p>
      <w:pPr>
        <w:ind w:right="40" w:firstLine="8"/>
        <w:spacing w:after="0" w:line="255" w:lineRule="auto"/>
        <w:tabs>
          <w:tab w:leader="none" w:pos="25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$5.0 million and (y) the amount of Restricted Payments permitted but not made pursuant to this clause (7) in prior fiscal years;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$10.0 million may be carried forward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in any calendar year may be increased by an amount not to exceed:</w:t>
      </w:r>
    </w:p>
    <w:p>
      <w:pPr>
        <w:spacing w:after="0" w:line="82" w:lineRule="exact"/>
        <w:rPr>
          <w:rFonts w:ascii="Arial" w:cs="Arial" w:eastAsia="Arial" w:hAnsi="Arial"/>
          <w:sz w:val="18"/>
          <w:szCs w:val="18"/>
          <w:color w:val="auto"/>
        </w:rPr>
      </w:pPr>
    </w:p>
    <w:p>
      <w:pPr>
        <w:ind w:left="460" w:right="100" w:firstLine="443"/>
        <w:spacing w:after="0" w:line="297" w:lineRule="auto"/>
        <w:tabs>
          <w:tab w:leader="none" w:pos="1143" w:val="left"/>
        </w:tabs>
        <w:numPr>
          <w:ilvl w:val="2"/>
          <w:numId w:val="282"/>
        </w:numPr>
        <w:rPr>
          <w:rFonts w:ascii="Arial" w:cs="Arial" w:eastAsia="Arial" w:hAnsi="Arial"/>
          <w:sz w:val="16"/>
          <w:szCs w:val="16"/>
          <w:color w:val="auto"/>
        </w:rPr>
      </w:pPr>
      <w:r>
        <w:rPr>
          <w:rFonts w:ascii="Arial" w:cs="Arial" w:eastAsia="Arial" w:hAnsi="Arial"/>
          <w:sz w:val="16"/>
          <w:szCs w:val="16"/>
          <w:color w:val="auto"/>
        </w:rPr>
        <w:t>the cash proceeds received by Spectrum Brands or any of its Restricted Subsidiaries from the sale of Equity Interests (other than Disqualified Stock) of Spectrum Brands or any direct or indirect parent of Spectrum Brands (to the extent contributed to Spectrum Brands) to members of management, directors, employees or consultants of Spectrum Brands, its Restricted Subsidiaries or any direct or indirect parent of Spectrum Brands that occurs after December 4, 2014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cash proceeds utilized for any such repurchase, redemption or other acquisition or dividend will not increase the amount available for Restricted Payments under clause (3)(b) of the preceding paragraph (A)); plus</w:t>
      </w:r>
    </w:p>
    <w:p>
      <w:pPr>
        <w:spacing w:after="0" w:line="50" w:lineRule="exact"/>
        <w:rPr>
          <w:rFonts w:ascii="Arial" w:cs="Arial" w:eastAsia="Arial" w:hAnsi="Arial"/>
          <w:sz w:val="16"/>
          <w:szCs w:val="16"/>
          <w:color w:val="auto"/>
        </w:rPr>
      </w:pPr>
    </w:p>
    <w:p>
      <w:pPr>
        <w:ind w:left="460" w:right="120" w:firstLine="443"/>
        <w:spacing w:after="0" w:line="277" w:lineRule="auto"/>
        <w:tabs>
          <w:tab w:leader="none" w:pos="1153" w:val="left"/>
        </w:tabs>
        <w:numPr>
          <w:ilvl w:val="2"/>
          <w:numId w:val="282"/>
        </w:numPr>
        <w:rPr>
          <w:rFonts w:ascii="Arial" w:cs="Arial" w:eastAsia="Arial" w:hAnsi="Arial"/>
          <w:sz w:val="18"/>
          <w:szCs w:val="18"/>
          <w:color w:val="auto"/>
        </w:rPr>
      </w:pPr>
      <w:r>
        <w:rPr>
          <w:rFonts w:ascii="Arial" w:cs="Arial" w:eastAsia="Arial" w:hAnsi="Arial"/>
          <w:sz w:val="18"/>
          <w:szCs w:val="18"/>
          <w:color w:val="auto"/>
        </w:rPr>
        <w:t>the cash proceeds of key man life insurance policies received by Spectrum Brands or any direct or indirect parent of Spectrum Brands (to the extent contributed to Spectrum Brands) or the Restricted Subsidiaries after December 4,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cancellation of Indebtedness owing to Spectrum Brands or any Restricted Subsidiary from any present or former employees, directors, officers or consultants of Spectrum Brands, any Restricted Subsidiary or the direct or indirect parents of Spectrum Brands in connection with a repurchase of Equity Interests of Spectrum Brands or any of its direct or indirect parents will not be deemed to constitute a Restricted Payment for purposes of this covenant or any other provision of the 2025 notes indenture;</w:t>
      </w:r>
    </w:p>
    <w:p>
      <w:pPr>
        <w:spacing w:after="0" w:line="187" w:lineRule="exact"/>
        <w:rPr>
          <w:sz w:val="20"/>
          <w:szCs w:val="20"/>
          <w:color w:val="auto"/>
        </w:rPr>
      </w:pPr>
    </w:p>
    <w:p>
      <w:pPr>
        <w:ind w:right="120" w:firstLine="464"/>
        <w:spacing w:after="0" w:line="259" w:lineRule="auto"/>
        <w:tabs>
          <w:tab w:leader="none" w:pos="71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the payment, repurchase, redemption, defeasance or other acquisition or retirement for value of any subordinated Indebtedness required in accordance with provisions applicable thereto similar to those described under the “Asset Sales” and “Change of Control” covenants;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2025 notes tendered by Holders in connection with a Change of Control Offer or Asset Sale Offer, as applicable, have been repurchased, redeemed or acquired for value;</w:t>
      </w:r>
    </w:p>
    <w:p>
      <w:pPr>
        <w:spacing w:after="0" w:line="186" w:lineRule="exact"/>
        <w:rPr>
          <w:rFonts w:ascii="Arial" w:cs="Arial" w:eastAsia="Arial" w:hAnsi="Arial"/>
          <w:sz w:val="18"/>
          <w:szCs w:val="18"/>
          <w:color w:val="auto"/>
        </w:rPr>
      </w:pPr>
    </w:p>
    <w:p>
      <w:pPr>
        <w:ind w:right="580" w:firstLine="464"/>
        <w:spacing w:after="0" w:line="291" w:lineRule="auto"/>
        <w:tabs>
          <w:tab w:leader="none" w:pos="71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payments made to Holdings (i) to allow Holdings (or any direct or indirect parent of Holdings) to pay administrative expenses and corporate overhead, franchise fees, public company costs (including SEC and auditing fees) and customary director fees in an aggregate amount not to exceed</w:t>
      </w:r>
    </w:p>
    <w:p>
      <w:pPr>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$5.0 million in any calendar year; (ii) to allow Holdings to pay premiums and deductibles in respect of directors and officers insurance policies and umbrella excess insurance policies obtained from third-party insurers and indemnities for the benefit of its directors, officers and employees; (iii) to allow Holdings or such other parent of Spectrum Brands to pay reasonable fees and expenses incurred in connection with any unsuccessful debt or equity offering or any unsuccessful acquisition or strategic transaction by such direct or indirect parent company of Spectrum Brands; and (iv) to allow Holdings (or any direct or indirect parent of Holdings) to pay income taxes attributable to Spectrum Brands and its Subsidiaries in an amount not to exceed the amount of such taxes that would be payable by Spectrum Brands and its Subsidiaries on a stand-alone basis (if Spectrum Brands were a corporation and parent of a consolidated group including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payments pursuant to this clause (iv) in any period not otherwise deducted in calculating Consolidated Net Income shall be deducted in calculating Consolidated Net Income for such period (and shall be deemed to be a provision for taxes for purposes of calculating Consolidated Cash Flow for such period);</w:t>
      </w:r>
    </w:p>
    <w:p>
      <w:pPr>
        <w:spacing w:after="0" w:line="182" w:lineRule="exact"/>
        <w:rPr>
          <w:rFonts w:ascii="Arial" w:cs="Arial" w:eastAsia="Arial" w:hAnsi="Arial"/>
          <w:sz w:val="16"/>
          <w:szCs w:val="16"/>
          <w:color w:val="auto"/>
        </w:rPr>
      </w:pPr>
    </w:p>
    <w:p>
      <w:pPr>
        <w:ind w:left="800" w:hanging="336"/>
        <w:spacing w:after="0"/>
        <w:tabs>
          <w:tab w:leader="none" w:pos="8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Restricted Payments not otherwise permitted hereby in an aggregate amount not to exceed the greater of 17.5% of Consolidated Cash Flow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$175.0 million;</w:t>
      </w:r>
    </w:p>
    <w:p>
      <w:pPr>
        <w:spacing w:after="0" w:line="211" w:lineRule="exact"/>
        <w:rPr>
          <w:sz w:val="20"/>
          <w:szCs w:val="20"/>
          <w:color w:val="auto"/>
        </w:rPr>
      </w:pPr>
    </w:p>
    <w:p>
      <w:pPr>
        <w:ind w:right="60" w:firstLine="464"/>
        <w:spacing w:after="0" w:line="284" w:lineRule="auto"/>
        <w:tabs>
          <w:tab w:leader="none" w:pos="795"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(A) the declaration and payment of dividends to holders of any class or series of Disqualified Stock of Spectrum Brands or any Restricted Subsidiary or preferred stock of any Restricted Subsidiary issued in accordance with the covenant described under “—Incurrence of Indebtedness and Issuance of Preferred Stock” to the extent such dividends are included in the definition of Fixed Charges and payment of any redemption price or liquidation value of any such Disqualified Stock or preferred stock when due at final maturity in accordance with its terms and (B) the declaration and payment of dividends to a direct or indirect parent company of Spectrum Brands, the proceeds of which will be used to fund the payment of dividends to holders of any class or series of preferred stock (other than Disqualified Stock) of such parent company issued after December 4, 2014;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dividends paid pursuant to this clause (B) shall not exceed the aggregate amount of cash actually contributed to Spectrum Brands from the sale of such preferred stock and (ii) the amount of cash used to make any payments pursuant to this clause (B) shall be excluded from calculations pursuant to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of the first paragraph above and shall not be used for the purpose of any other Restricted Payment;</w:t>
      </w:r>
    </w:p>
    <w:p>
      <w:pPr>
        <w:spacing w:after="0" w:line="210" w:lineRule="exact"/>
        <w:rPr>
          <w:rFonts w:ascii="Arial" w:cs="Arial" w:eastAsia="Arial" w:hAnsi="Arial"/>
          <w:sz w:val="18"/>
          <w:szCs w:val="18"/>
          <w:color w:val="auto"/>
        </w:rPr>
      </w:pPr>
    </w:p>
    <w:p>
      <w:pPr>
        <w:ind w:right="40" w:firstLine="464"/>
        <w:spacing w:after="0" w:line="308" w:lineRule="auto"/>
        <w:tabs>
          <w:tab w:leader="none" w:pos="801" w:val="left"/>
        </w:tabs>
        <w:numPr>
          <w:ilvl w:val="1"/>
          <w:numId w:val="285"/>
        </w:numPr>
        <w:rPr>
          <w:rFonts w:ascii="Arial" w:cs="Arial" w:eastAsia="Arial" w:hAnsi="Arial"/>
          <w:sz w:val="17"/>
          <w:szCs w:val="17"/>
          <w:color w:val="auto"/>
        </w:rPr>
      </w:pPr>
      <w:r>
        <w:rPr>
          <w:rFonts w:ascii="Arial" w:cs="Arial" w:eastAsia="Arial" w:hAnsi="Arial"/>
          <w:sz w:val="17"/>
          <w:szCs w:val="17"/>
          <w:color w:val="auto"/>
        </w:rPr>
        <w:t>(a) any Restricted Payments used to fund the Transactions and the fees and expenses related thereto, including those owed to Affiliates and (b) any Restricted Payments used to fund the Prior Transactions and the fees and expenses related thereto, including those owed to Affiliates;</w:t>
      </w:r>
    </w:p>
    <w:p>
      <w:pPr>
        <w:spacing w:after="0" w:line="146" w:lineRule="exact"/>
        <w:rPr>
          <w:rFonts w:ascii="Arial" w:cs="Arial" w:eastAsia="Arial" w:hAnsi="Arial"/>
          <w:sz w:val="17"/>
          <w:szCs w:val="17"/>
          <w:color w:val="auto"/>
        </w:rPr>
      </w:pPr>
    </w:p>
    <w:p>
      <w:pPr>
        <w:ind w:right="20" w:firstLine="464"/>
        <w:spacing w:after="0" w:line="264" w:lineRule="auto"/>
        <w:tabs>
          <w:tab w:leader="none" w:pos="801"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“deemed dividend” resulting under the tax laws from, or in connection with, the filing of a consolidated or combined tax return by Holdings or any direct or indirect parent of Spectrum Brands (and not involving any cash distribution from Spectrum Brands or any Restricted Subsidiary except as permitted by clause (9)(iv)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64"/>
        <w:spacing w:after="0" w:line="259" w:lineRule="auto"/>
        <w:tabs>
          <w:tab w:leader="none" w:pos="80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payment of dividends to Holdings to fund a payment of dividends on Holdings’ common stock (or the common stock of any direct or indirect parent of Holdings) of up to 6% per annum of the net cash proceeds received by or contributed to Spectrum Brands as a contribution to equity in or from any public offering of common stock of Holdings (or the common stock of any direct or indirect parent of Holdings) other than public offerings registered on Form S-4 or Form S-8 (or their successor or equivalent forms); and</w:t>
      </w:r>
    </w:p>
    <w:p>
      <w:pPr>
        <w:spacing w:after="0" w:line="186" w:lineRule="exact"/>
        <w:rPr>
          <w:rFonts w:ascii="Arial" w:cs="Arial" w:eastAsia="Arial" w:hAnsi="Arial"/>
          <w:sz w:val="18"/>
          <w:szCs w:val="18"/>
          <w:color w:val="auto"/>
        </w:rPr>
      </w:pPr>
    </w:p>
    <w:p>
      <w:pPr>
        <w:ind w:right="160" w:firstLine="464"/>
        <w:spacing w:after="0" w:line="277" w:lineRule="auto"/>
        <w:tabs>
          <w:tab w:leader="none" w:pos="80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Restricted Payment if, at the time of making of such payment and after giving effect thereto (including the incurrence of any Indebtedness to finance such payments), the Consolidated Total Debt Ratio shall be no greater than 4.0 to 1.0.</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amount of all Restricted Payments (other than cash) shall be the fair market value on the date of the Restricted Payment of the asset(s) or securities proposed to be transferred or issued to or by Spectrum Brands or such Subsidiary, as the case may be, pursuant to the Restricted Payment. The fair market value of any assets or securities in excess of $10.0 million that are required to be valued by this covenant shall be determined by the Board of Directors.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purposes of determining compliance with this covenant, in the event that a proposed Restricted Payment (or portion thereof) meets the criteria of more than one of the categories of Restricted Payments described in clauses (1) through (15) above, or is entitled to be incurred pursuant to the first paragraph of this covenant, Spectrum Brands will be entitled to divide, classify or re-classify (based on circumstances existing on the date of such reclassification) such restricted payment or portion thereof in any manner that complies with this covenant and such Restricted Payment will be treated as having been made pursuant to only such clause or clauses or the first paragraph of this covenant.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117" w:lineRule="exact"/>
        <w:rPr>
          <w:sz w:val="20"/>
          <w:szCs w:val="20"/>
          <w:color w:val="auto"/>
        </w:rPr>
      </w:pPr>
    </w:p>
    <w:p>
      <w:pPr>
        <w:ind w:right="60" w:firstLine="464"/>
        <w:spacing w:after="0" w:line="287" w:lineRule="auto"/>
        <w:tabs>
          <w:tab w:leader="none" w:pos="70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Spectrum Brands will not, and will not permit any of its Restricted Subsidiaries to, directly or indirectly, incur any Indebtedness (including Acquired Debt), and Spectrum Brands will not permit any of its Restricted Subsidiaries to issue any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Spectrum Brands or any Restricted Subsidiaries may incur Indebtedness, if the Fixed Charge Coverage Ratio for Spectrum Brands’ most recently ended four full fiscal quarters for which internal financial statements are available immediately preceding the date on which such additional Indebtedness is incurred would have been at least 2.0 to 1.0, determined on a pro forma basis (including a pro forma application of the net proceeds therefrom), as if the additional Indebtedness had been incurred at the beginning of such four-quarter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Restricted Subsidiary that is not a Guarantor may not incur Indebtedness or issue shares of Disqualified Stock or Preferred Stock in a principal amount (or accreted value, as applicable) that, when aggregated with the principal amount (or accreted value, as applicable) of all Indebtedness then outstanding and incurred by such non-Guarantor Restricted Subsidiaries under this clause (a), together with all Permitted Refinancing Indebtedness incurred to refund, refinance or replace any such Indebtedness, exceeds the greater of $500 million and 50% of the Consolidated Cash Flows of Spectrum Brands for the most recently ended four full fiscal quarters for which internal financial statements are available immediately preceding such date on which such additional Indebtedness is incurred and after giving pro forma effect thereto (including a pro forma application of the net proceeds therefrom) as if such indebtedness had been incurred at the beginning of such four fiscal quarters.</w:t>
      </w:r>
    </w:p>
    <w:p>
      <w:pPr>
        <w:spacing w:after="0" w:line="168" w:lineRule="exact"/>
        <w:rPr>
          <w:rFonts w:ascii="Arial" w:cs="Arial" w:eastAsia="Arial" w:hAnsi="Arial"/>
          <w:sz w:val="16"/>
          <w:szCs w:val="16"/>
          <w:color w:val="auto"/>
        </w:rPr>
      </w:pPr>
    </w:p>
    <w:p>
      <w:pPr>
        <w:ind w:left="720" w:hanging="256"/>
        <w:spacing w:after="0"/>
        <w:tabs>
          <w:tab w:leader="none" w:pos="72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Paragraph (a) of this covenant will not prohibit the incurrence of any of the following items of Indebtedness (collectively, “Permitted Debt”):</w:t>
      </w:r>
    </w:p>
    <w:p>
      <w:pPr>
        <w:spacing w:after="0" w:line="237" w:lineRule="exact"/>
        <w:rPr>
          <w:sz w:val="20"/>
          <w:szCs w:val="20"/>
          <w:color w:val="auto"/>
        </w:rPr>
      </w:pPr>
    </w:p>
    <w:p>
      <w:pPr>
        <w:ind w:right="140" w:firstLine="464"/>
        <w:spacing w:after="0" w:line="259" w:lineRule="auto"/>
        <w:tabs>
          <w:tab w:leader="none" w:pos="71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incurrence by Spectrum Brands or any Restricted Subsidiaries of Indebtedness (including Indebtedness under the Revolving Credit Agreement and the Term Loan Agreement) under Credit Facilities (and the incurrence of Guarantees thereof) in an aggregate principal amount at any one time outstanding pursuant to this clause (1) (with letters of credit being deemed to have a principal amount equal to the maximum potential liability of Spectrum Brands and its Restricted Subsidiaries thereunder) not to exceed the sum of (A) the greater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of $1,000 million and the Borrowing Base; and (B) the greater of (x) $2,800 million and (y) an amount such that, on a pro forma basis after giving effect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incurrence of such Indebtedness (and application of the net proceeds therefrom), the Secured Leverage Ratio would be no greater than 3.25 to 1.0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Indebtedness incurred under clause (B)(y), whether or not secured, shall be included when calculating the Secured Leverage Ratio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purposes of this clause (B)(y)); less the aggregate amount of all Net Proceeds of Asset Sales applied by Spectrum Brands or any Restricted Subsidiary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permanently repay any such Indebtedness (and, in the case of any revolving credit Indebtedness, to effect a corresponding commitment reduction thereunder)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covenant “—Repurchase at the Option of Holders—Asset Sales”;</w:t>
      </w:r>
    </w:p>
    <w:p>
      <w:pPr>
        <w:spacing w:after="0" w:line="211" w:lineRule="exact"/>
        <w:rPr>
          <w:sz w:val="20"/>
          <w:szCs w:val="20"/>
          <w:color w:val="auto"/>
        </w:rPr>
      </w:pPr>
    </w:p>
    <w:p>
      <w:pPr>
        <w:ind w:left="720" w:hanging="256"/>
        <w:spacing w:after="0"/>
        <w:tabs>
          <w:tab w:leader="none" w:pos="7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incurrence of Existing Indebtedness;</w:t>
      </w:r>
    </w:p>
    <w:p>
      <w:pPr>
        <w:spacing w:after="0" w:line="225" w:lineRule="exact"/>
        <w:rPr>
          <w:rFonts w:ascii="Arial" w:cs="Arial" w:eastAsia="Arial" w:hAnsi="Arial"/>
          <w:sz w:val="18"/>
          <w:szCs w:val="18"/>
          <w:color w:val="auto"/>
        </w:rPr>
      </w:pPr>
    </w:p>
    <w:p>
      <w:pPr>
        <w:ind w:right="340" w:firstLine="464"/>
        <w:spacing w:after="0" w:line="277" w:lineRule="auto"/>
        <w:tabs>
          <w:tab w:leader="none" w:pos="71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incurrence by Spectrum Brands and the Guarantors of Indebtedness represented by the 2025 notes offered hereby (excluding any Additional Notes) and the related Note Guarantees;</w:t>
      </w:r>
    </w:p>
    <w:p>
      <w:pPr>
        <w:spacing w:after="0" w:line="170" w:lineRule="exact"/>
        <w:rPr>
          <w:rFonts w:ascii="Arial" w:cs="Arial" w:eastAsia="Arial" w:hAnsi="Arial"/>
          <w:sz w:val="18"/>
          <w:szCs w:val="18"/>
          <w:color w:val="auto"/>
        </w:rPr>
      </w:pPr>
    </w:p>
    <w:p>
      <w:pPr>
        <w:ind w:right="40" w:firstLine="464"/>
        <w:spacing w:after="0" w:line="284" w:lineRule="auto"/>
        <w:tabs>
          <w:tab w:leader="none" w:pos="71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incurrence by Spectrum Brands or any Restricted Subsidiary of Spectrum Brands of Indebtedness (including Capital Lease Obligations, mortgage financings or purchase money obligations), incurred for the purpose of financing or reimbursing all or any part of the purchase price or cost of the acquisition, development, construction, purchase, lease, repair, addition or improvement of property (real or personal), plant, equipment or other fixed or capital assets that are used or useful in the Permitted Business, whether through the direct purchase of assets or the purchase of Equity Interests of any Person owning such assets (in each case, incurred within 365 days of such acquisition, development, construction, purchase, lease, repair, addition or improvement), in a principal amount that, when aggregated with the principal amount of all Indebtedness then outstanding under this clause (4), together with all Permitted Refinancing Indebtedness incurred to refund, refinance or replace any such Indebtedness incurred under this clause (4), does not exceed the greater of</w:t>
      </w:r>
    </w:p>
    <w:p>
      <w:pPr>
        <w:spacing w:after="0" w:line="2" w:lineRule="exact"/>
        <w:rPr>
          <w:rFonts w:ascii="Arial" w:cs="Arial" w:eastAsia="Arial" w:hAnsi="Arial"/>
          <w:sz w:val="16"/>
          <w:szCs w:val="16"/>
          <w:color w:val="auto"/>
        </w:rPr>
      </w:pPr>
    </w:p>
    <w:p>
      <w:pPr>
        <w:ind w:firstLine="8"/>
        <w:spacing w:after="0" w:line="255" w:lineRule="auto"/>
        <w:tabs>
          <w:tab w:leader="none" w:pos="24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$300.0 million and (b) 30% of Consolidated Cash Flow of Spectrum Brands for the most recently ended four full fiscal quarters for which internal financial statements are available immediately preceding such date on which such additional Indebtedness is incurred and after giving pro forma effect thereto as if such event occurred at the beginning of such four fiscal quarters;</w:t>
      </w:r>
    </w:p>
    <w:p>
      <w:pPr>
        <w:spacing w:after="0" w:line="190" w:lineRule="exact"/>
        <w:rPr>
          <w:rFonts w:ascii="Arial" w:cs="Arial" w:eastAsia="Arial" w:hAnsi="Arial"/>
          <w:sz w:val="18"/>
          <w:szCs w:val="18"/>
          <w:color w:val="auto"/>
        </w:rPr>
      </w:pPr>
    </w:p>
    <w:p>
      <w:pPr>
        <w:ind w:right="60" w:firstLine="464"/>
        <w:spacing w:after="0" w:line="286" w:lineRule="auto"/>
        <w:tabs>
          <w:tab w:leader="none" w:pos="711"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incurrence by Spectrum Brands or any Restricted Subsidiary of Spectrum Brands of Permitted Refinancing Indebtedness in exchange for, or the net proceeds of which are used to refund, refinance or replace Indebtedness (other than intercompany Indebtedness) that was permitted by the 2025 notes indenture to be incurred under the first paragraph of this covenant or clauses (2), (3), (4), (5), (8), (10), (11) or (16) of this paragraph;</w:t>
      </w:r>
    </w:p>
    <w:p>
      <w:pPr>
        <w:spacing w:after="0" w:line="165" w:lineRule="exact"/>
        <w:rPr>
          <w:rFonts w:ascii="Arial" w:cs="Arial" w:eastAsia="Arial" w:hAnsi="Arial"/>
          <w:sz w:val="17"/>
          <w:szCs w:val="17"/>
          <w:color w:val="auto"/>
        </w:rPr>
      </w:pPr>
    </w:p>
    <w:p>
      <w:pPr>
        <w:ind w:right="260" w:firstLine="464"/>
        <w:spacing w:after="0" w:line="277" w:lineRule="auto"/>
        <w:tabs>
          <w:tab w:leader="none" w:pos="71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the incurrence by Spectrum Brands or any of its Restricted Subsidiaries of intercompany Indebtedness owing to and held by Spectrum Brands or any of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jc w:val="both"/>
        <w:ind w:left="460" w:right="20" w:firstLine="443"/>
        <w:spacing w:after="0" w:line="264" w:lineRule="auto"/>
        <w:tabs>
          <w:tab w:leader="none" w:pos="1143" w:val="left"/>
        </w:tabs>
        <w:numPr>
          <w:ilvl w:val="2"/>
          <w:numId w:val="290"/>
        </w:numPr>
        <w:rPr>
          <w:rFonts w:ascii="Arial" w:cs="Arial" w:eastAsia="Arial" w:hAnsi="Arial"/>
          <w:sz w:val="18"/>
          <w:szCs w:val="18"/>
          <w:color w:val="auto"/>
        </w:rPr>
      </w:pPr>
      <w:r>
        <w:rPr>
          <w:rFonts w:ascii="Arial" w:cs="Arial" w:eastAsia="Arial" w:hAnsi="Arial"/>
          <w:sz w:val="18"/>
          <w:szCs w:val="18"/>
          <w:color w:val="auto"/>
        </w:rPr>
        <w:t>if Spectrum Brands or any Guarantor is the obligor on such Indebtedness, such Indebtedness must be unsecured and expressly subordinated to the prior payment in full in cash of all Obligations with respect to the 2025 notes, in the case of Spectrum Brands, or the Note Guarantee, in the case of a Guarantor; and</w:t>
      </w:r>
    </w:p>
    <w:p>
      <w:pPr>
        <w:spacing w:after="0" w:line="73" w:lineRule="exact"/>
        <w:rPr>
          <w:rFonts w:ascii="Arial" w:cs="Arial" w:eastAsia="Arial" w:hAnsi="Arial"/>
          <w:sz w:val="18"/>
          <w:szCs w:val="18"/>
          <w:color w:val="auto"/>
        </w:rPr>
      </w:pPr>
    </w:p>
    <w:p>
      <w:pPr>
        <w:ind w:left="460" w:right="40" w:firstLine="443"/>
        <w:spacing w:after="0" w:line="259" w:lineRule="auto"/>
        <w:tabs>
          <w:tab w:leader="none" w:pos="1153" w:val="left"/>
        </w:tabs>
        <w:numPr>
          <w:ilvl w:val="2"/>
          <w:numId w:val="290"/>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that results in any such Indebtedness being held by a Person other than Spectrum Brands or a Restricted Subsidiary thereof and (ii) any sale or other transfer of any such Indebtedness to a Person that is not either Spectrum Brands or a Restricted Subsidiary thereof, shall be deemed, in each case, to constitute an incurrence of such Indebtedness by Spectrum Brands or such Restricted Subsidiary, as the case may be, that was not permitted by this clause (6);</w:t>
      </w:r>
    </w:p>
    <w:p>
      <w:pPr>
        <w:spacing w:after="0" w:line="186" w:lineRule="exact"/>
        <w:rPr>
          <w:rFonts w:ascii="Arial" w:cs="Arial" w:eastAsia="Arial" w:hAnsi="Arial"/>
          <w:sz w:val="18"/>
          <w:szCs w:val="18"/>
          <w:color w:val="auto"/>
        </w:rPr>
      </w:pPr>
    </w:p>
    <w:p>
      <w:pPr>
        <w:ind w:right="20" w:firstLine="464"/>
        <w:spacing w:after="0" w:line="277" w:lineRule="auto"/>
        <w:tabs>
          <w:tab w:leader="none" w:pos="71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Guarantee by Spectrum Brands or any Restricted Subsidiary of Indebtedness of Spectrum Brands or a Restricted Subsidiary of Spectrum Brands that was permitted to be incurred by another provision of this covenant;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64"/>
        <w:spacing w:after="0" w:line="288" w:lineRule="auto"/>
        <w:tabs>
          <w:tab w:leader="none" w:pos="711"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incurrence by Spectrum Brands or any Restricted Subsidiary of Spectrum Brands of other Indebtedness in a principal amount (or accreted amount as applicable) that, when aggregated with the principal amount of all Indebtedness then outstanding under this clause (8), together with all Permitted Refinancing Indebtedness incurred to refund, refinance or replace any such Indebtedness incurred under this clause (8), does not exceed the greater of</w:t>
      </w:r>
    </w:p>
    <w:p>
      <w:pPr>
        <w:ind w:right="20" w:firstLine="8"/>
        <w:spacing w:after="0" w:line="255" w:lineRule="auto"/>
        <w:tabs>
          <w:tab w:leader="none" w:pos="24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$400.0 million and (b) 40% of Consolidated Cash Flow of Spectrum Brands for the most recently ended four full fiscal quarters for which internal financial statements are available immediately preceding such date on which such additional Indebtedness is incurred and after giving pro forma effect thereto as if such event occurred at the beginning of such four fiscal quarters;</w:t>
      </w:r>
    </w:p>
    <w:p>
      <w:pPr>
        <w:spacing w:after="0" w:line="190" w:lineRule="exact"/>
        <w:rPr>
          <w:rFonts w:ascii="Arial" w:cs="Arial" w:eastAsia="Arial" w:hAnsi="Arial"/>
          <w:sz w:val="18"/>
          <w:szCs w:val="18"/>
          <w:color w:val="auto"/>
        </w:rPr>
      </w:pPr>
    </w:p>
    <w:p>
      <w:pPr>
        <w:ind w:right="160" w:firstLine="464"/>
        <w:spacing w:after="0" w:line="264" w:lineRule="auto"/>
        <w:tabs>
          <w:tab w:leader="none" w:pos="71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the incurrence of Indebtedness by Spectrum Brands or any Restricted Subsidiary of Spectrum Brands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extinguished within five Business Days of incurrence;</w:t>
      </w:r>
    </w:p>
    <w:p>
      <w:pPr>
        <w:spacing w:after="0" w:line="181" w:lineRule="exact"/>
        <w:rPr>
          <w:rFonts w:ascii="Arial" w:cs="Arial" w:eastAsia="Arial" w:hAnsi="Arial"/>
          <w:sz w:val="18"/>
          <w:szCs w:val="18"/>
          <w:color w:val="auto"/>
        </w:rPr>
      </w:pPr>
    </w:p>
    <w:p>
      <w:pPr>
        <w:ind w:right="380" w:firstLine="464"/>
        <w:spacing w:after="0" w:line="264" w:lineRule="auto"/>
        <w:tabs>
          <w:tab w:leader="none" w:pos="80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Acquired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thereof, Spectrum Brands either (x) could incur $1.00 of indebtedness under paragraph (a) above or (y) would have had a Fixed Charge Coverage Ratio equal to or greater than the actual Fixed Charge Coverage Ratio of Spectrum Brands for the four-quarter period immediately prior to such transaction;</w:t>
      </w:r>
    </w:p>
    <w:p>
      <w:pPr>
        <w:spacing w:after="0" w:line="181" w:lineRule="exact"/>
        <w:rPr>
          <w:rFonts w:ascii="Arial" w:cs="Arial" w:eastAsia="Arial" w:hAnsi="Arial"/>
          <w:sz w:val="18"/>
          <w:szCs w:val="18"/>
          <w:color w:val="auto"/>
        </w:rPr>
      </w:pPr>
    </w:p>
    <w:p>
      <w:pPr>
        <w:jc w:val="both"/>
        <w:ind w:right="220" w:firstLine="464"/>
        <w:spacing w:after="0" w:line="279" w:lineRule="auto"/>
        <w:tabs>
          <w:tab w:leader="none" w:pos="795" w:val="left"/>
        </w:tabs>
        <w:numPr>
          <w:ilvl w:val="1"/>
          <w:numId w:val="292"/>
        </w:numPr>
        <w:rPr>
          <w:rFonts w:ascii="Arial" w:cs="Arial" w:eastAsia="Arial" w:hAnsi="Arial"/>
          <w:sz w:val="17"/>
          <w:szCs w:val="17"/>
          <w:color w:val="auto"/>
        </w:rPr>
      </w:pPr>
      <w:r>
        <w:rPr>
          <w:rFonts w:ascii="Arial" w:cs="Arial" w:eastAsia="Arial" w:hAnsi="Arial"/>
          <w:sz w:val="17"/>
          <w:szCs w:val="17"/>
          <w:color w:val="auto"/>
        </w:rPr>
        <w:t xml:space="preserve">the incurrence of Indebtedness by Foreign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principal amount (or accreted value, as applicable) incurred under this clause (11), when aggregated with the principal amount (or accreted value, as applicable) of all other Indebtedness then outstanding and incurred under this clause (11), together with all Permitted Refinancing Indebtedness incurred to refund, refinance or replace any Indebtedness incurred pursuant to this clause (11), does not exceed $600.0 million, and Guarantees thereof by any Foreign Subsidiary;</w:t>
      </w:r>
    </w:p>
    <w:p>
      <w:pPr>
        <w:spacing w:after="0" w:line="171" w:lineRule="exact"/>
        <w:rPr>
          <w:rFonts w:ascii="Arial" w:cs="Arial" w:eastAsia="Arial" w:hAnsi="Arial"/>
          <w:sz w:val="17"/>
          <w:szCs w:val="17"/>
          <w:color w:val="auto"/>
        </w:rPr>
      </w:pPr>
    </w:p>
    <w:p>
      <w:pPr>
        <w:ind w:firstLine="464"/>
        <w:spacing w:after="0" w:line="297" w:lineRule="auto"/>
        <w:tabs>
          <w:tab w:leader="none" w:pos="801" w:val="left"/>
        </w:tabs>
        <w:numPr>
          <w:ilvl w:val="1"/>
          <w:numId w:val="292"/>
        </w:numPr>
        <w:rPr>
          <w:rFonts w:ascii="Arial" w:cs="Arial" w:eastAsia="Arial" w:hAnsi="Arial"/>
          <w:sz w:val="16"/>
          <w:szCs w:val="16"/>
          <w:color w:val="auto"/>
        </w:rPr>
      </w:pPr>
      <w:r>
        <w:rPr>
          <w:rFonts w:ascii="Arial" w:cs="Arial" w:eastAsia="Arial" w:hAnsi="Arial"/>
          <w:sz w:val="16"/>
          <w:szCs w:val="16"/>
          <w:color w:val="auto"/>
        </w:rPr>
        <w:t>(A) Indebtedness in respect of bid, performance or surety bonds, workers’ compensation claims, self-insurance obligations or health, disability or other benefits to employees or former employees or their families, and Indebtedness incurred in connection with the maintenance of, or pursuant to the requirements of, environmental or other permits or licenses from governmental authorities, in each case incurred in the ordinary course of business, including guarantees or obligations of Spectrum Brands or any Restricted Subsidiary with respect to letters of credit supporting such obligations (in each case other than for an obligation for money borrowed); and (B) Indebtedness consisting of the financing of insurance premiums, in the ordinary course of business;</w:t>
      </w:r>
    </w:p>
    <w:p>
      <w:pPr>
        <w:spacing w:after="0" w:line="158" w:lineRule="exact"/>
        <w:rPr>
          <w:rFonts w:ascii="Arial" w:cs="Arial" w:eastAsia="Arial" w:hAnsi="Arial"/>
          <w:sz w:val="16"/>
          <w:szCs w:val="16"/>
          <w:color w:val="auto"/>
        </w:rPr>
      </w:pPr>
    </w:p>
    <w:p>
      <w:pPr>
        <w:ind w:left="800" w:hanging="336"/>
        <w:spacing w:after="0"/>
        <w:tabs>
          <w:tab w:leader="none" w:pos="8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25" w:lineRule="exact"/>
        <w:rPr>
          <w:rFonts w:ascii="Arial" w:cs="Arial" w:eastAsia="Arial" w:hAnsi="Arial"/>
          <w:sz w:val="18"/>
          <w:szCs w:val="18"/>
          <w:color w:val="auto"/>
        </w:rPr>
      </w:pPr>
    </w:p>
    <w:p>
      <w:pPr>
        <w:ind w:right="340" w:firstLine="464"/>
        <w:spacing w:after="0" w:line="308" w:lineRule="auto"/>
        <w:tabs>
          <w:tab w:leader="none" w:pos="801" w:val="left"/>
        </w:tabs>
        <w:numPr>
          <w:ilvl w:val="1"/>
          <w:numId w:val="292"/>
        </w:numPr>
        <w:rPr>
          <w:rFonts w:ascii="Arial" w:cs="Arial" w:eastAsia="Arial" w:hAnsi="Arial"/>
          <w:sz w:val="17"/>
          <w:szCs w:val="17"/>
          <w:color w:val="auto"/>
        </w:rPr>
      </w:pPr>
      <w:r>
        <w:rPr>
          <w:rFonts w:ascii="Arial" w:cs="Arial" w:eastAsia="Arial" w:hAnsi="Arial"/>
          <w:sz w:val="17"/>
          <w:szCs w:val="17"/>
          <w:color w:val="auto"/>
        </w:rPr>
        <w:t>Indebtedness of Spectrum Brands or any Restricted Subsidiary incurred in the ordinary course of business under guarantees of Indebtedness of suppliers, licensees, franchisees or customers in an aggregate amount not to exceed $10.0 million at any time outstanding;</w:t>
      </w:r>
    </w:p>
    <w:p>
      <w:pPr>
        <w:spacing w:after="0" w:line="146" w:lineRule="exact"/>
        <w:rPr>
          <w:rFonts w:ascii="Arial" w:cs="Arial" w:eastAsia="Arial" w:hAnsi="Arial"/>
          <w:sz w:val="17"/>
          <w:szCs w:val="17"/>
          <w:color w:val="auto"/>
        </w:rPr>
      </w:pPr>
    </w:p>
    <w:p>
      <w:pPr>
        <w:ind w:right="60" w:firstLine="464"/>
        <w:spacing w:after="0" w:line="277" w:lineRule="auto"/>
        <w:tabs>
          <w:tab w:leader="none" w:pos="80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incurrence by Spectrum Brands or any of its Restricted Subsidiaries of Indebtedness solely in respect of premium financing or similar deferred payment obligations with respect to insurance policies purchased in the ordinary course of business;</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Contribution Indebtedness; and</w:t>
      </w:r>
    </w:p>
    <w:p>
      <w:pPr>
        <w:spacing w:after="0" w:line="225" w:lineRule="exact"/>
        <w:rPr>
          <w:rFonts w:ascii="Arial" w:cs="Arial" w:eastAsia="Arial" w:hAnsi="Arial"/>
          <w:sz w:val="18"/>
          <w:szCs w:val="18"/>
          <w:color w:val="auto"/>
        </w:rPr>
      </w:pPr>
    </w:p>
    <w:p>
      <w:pPr>
        <w:ind w:firstLine="464"/>
        <w:spacing w:after="0" w:line="312" w:lineRule="auto"/>
        <w:tabs>
          <w:tab w:leader="none" w:pos="801"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Indebtedness incurred on behalf of, or representing Guarantees of Indebtedness of, joint ventures of Spectrum Brands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Indebtedness incurred under this clause (17), when aggregated with the principal amount of all other Indebtedness then outstanding and incurred pursuant to this clause (17) does not exceed the greater of $100.0 million and 10.0% of Consolidated Cash Flow.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For purposes of determining compliance with this “Incurrence of Indebtedness and Issuance of Preferred Stock” covenant, in the event that any proposed Indebtedness meets the criteria of more than one of the categories of Permitted Debt described in clauses (1) through (17) above, or is entitled to be incurred pursuant to paragraph (a) of this covenant, Spectrum Brands will be permitted to divide, classify or reclassify at the time of its incurrence such item of Indebtedness in any manner that complies with this covenant. In addition, any Indebtedness originally classified as incurred pursuant to paragraph (a) or clauses (1) through (17) above may later be reclassified by Spectrum Brands such that it will be deemed as having been incurred pursuant to another of such clauses or paragraph (a) above to the extent that such reclassified Indebtedness could be incurred pursuant to such new clause or paragraph (a) at the time of such reclassification (based on circumstances existing at the time of such reclassification). If any Contribution Debt is designated as incurred under any provision other than clause (16) under paragraph (b), the related issuance of Equity Interests may be included in any calculation under paragraph (A)(3)(b) of “Restricted Payments.”</w:t>
      </w:r>
    </w:p>
    <w:p>
      <w:pPr>
        <w:spacing w:after="0" w:line="18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the foregoing, any Indebtedness incurred pursuant to clause (1) above shall be deemed for purposes of this covenant to have been incurred on the date such Indebtedness was first incurred until such Indebtedness is actually repaid, other than pursuant to “cash sweep” provisions or any similar provisions under any Credit Facility that provides that such Indebtedness is deemed to be repaid daily (or otherwise periodically).</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amount of Indebtedness incurred in any foreign currency for purposes of the 2025 notes indenture shall be converted into U.S. dollars at the time of first incurrence, in the case of term debt, or first committed or first incurred (whichever yields the lower U.S. dollar equivalent), in the case of revolving credit debt, and the amount of such Indebtedness outstanding will not be deemed to change as a result of fluctuations in currency exchange rates after such date of incurrence. However, if the Indebtedness is incurred to refinance other Indebtedness denominated in a foreign currency, and the refinancing would cause the applicable U.S. dollar-denominated restriction to be exceeded if calculated at the relevant currency exchange rate in effect on the date of the refinancing, the U.S. dollar-denominated restriction will be deemed not to have been exceeded so long as the principal amount of the refinancing Indebtedness does not exceed the principal amount of the Indebtedness being refinanced.</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Spectrum Brands shall not incur any Indebtedness that is subordinated or junior in right of payment to any Indebtedness of Spectrum Brands unless it is subordinated in right of payment to the 2025 notes at least to the same extent. No Guarantor shall incur any Indebtedness that is subordinated or junior in right of payment to the Indebtedness of such Guarantor unless it is subordinated in right of payment to such Guarantor’s Note Guarantee at least to the same extent. For purposes of the foregoing, no Indebtedness will be deemed to be subordinated or junior in right of payment to any other Indebtedness of Spectrum Brands or any Guarantor, as applicable, solely by reason of any Liens or Guarantees arising or created in respect thereof or by virtue of the fact that the holders of any secured Indebtedness have entered into intercreditor agreements giving one or more of such holders priority over the other holders in the collateral held by them.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Spectrum Brands will not, and will not permit any of its Restricted Subsidiaries to, create, incur, assume or otherwise cause or suffer to exist or become effective any Lien of any kind (other than Permitted Liens) upon any of their property or assets, now owned or hereafter acquired, without effectively providing that the 2025 notes are secured equally and ratably with (or, if the obligation to be secured by the Lien is subordinated in right of payment to the 2025 notes or any Note Guarantee, prior to) the obligations so secured for so long as such obligations are so secured.</w:t>
      </w:r>
    </w:p>
    <w:p>
      <w:pPr>
        <w:spacing w:after="0" w:line="17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purposes of determining compliance with this covenant, (A) a Lien securing an item of Indebtedness need not be permitted solely by reference to one category of permitted Liens described in clauses (1) through (27) of the definition of “Permitted Liens” or pursuant to the first paragraph of this covenant but may be permitted in part under any combination thereof and (B) in the event that a Lien securing an item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Indebtedness, Disqualified Stock or preferred stock (or any portion thereof) meets the criteria of one or more of the categories of permitted Liens described in clauses (1) through (27) of the definition of “Permitted Liens” or pursuant to the first paragraph of this covenant, Spectrum Brands shall, in its sole discretion, classify or reclassify, or later divide, classify or reclassify, such Lien securing such item of Indebtedness (or any portion thereof) in any manner that complies with this covenant and will only be required to include the amount and type of such Lien or such item of Indebtedness secured by such Lien in one of the clauses of the definition of “Permitted Liens” and such Lien securing such item of Indebtedness will be treated as being incurred or existing pursuant to only one of such clauses or pursuant to the first paragraph hereof.</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the payment of dividends on preferred stock in the form of additional shares of preferred stock of the same class, accretion of original issue discount or liquidation preference and increases in the amount of Indebtedness outstanding solely as a result of fluctuations in the exchange rate of currencies or increases in the value of property securing Indebtedness described in subclause (x) of the second paragraph of the definition of “Indebtedness.”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Restricted Subsidiaries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Spectrum Brands will not, and will not permit any of its Restricted Subsidiaries to, directly or indirectly, create or permit to exist or become effective any consensual encumbrance or restriction on the ability of any Restricted Subsidiary to:</w:t>
      </w:r>
    </w:p>
    <w:p>
      <w:pPr>
        <w:spacing w:after="0" w:line="170" w:lineRule="exact"/>
        <w:rPr>
          <w:sz w:val="20"/>
          <w:szCs w:val="20"/>
          <w:color w:val="auto"/>
        </w:rPr>
      </w:pPr>
    </w:p>
    <w:p>
      <w:pPr>
        <w:ind w:right="500" w:firstLine="464"/>
        <w:spacing w:after="0" w:line="342" w:lineRule="auto"/>
        <w:tabs>
          <w:tab w:leader="none" w:pos="711" w:val="left"/>
        </w:tabs>
        <w:numPr>
          <w:ilvl w:val="0"/>
          <w:numId w:val="293"/>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(or with respect to any other interest or participation in, or measured by, its profits) to Spectrum Brands or any of its Restricted Subsidiaries or pay any liabilities owed to Spectrum Brands or any of its Restricted Subsidiaries;</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make loans or advances to Spectrum Brands or any of its Restricted Subsidiaries;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transfer any of its properties or assets to Spectrum Brands or any of its Restricted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 or with respect to:</w:t>
      </w:r>
    </w:p>
    <w:p>
      <w:pPr>
        <w:spacing w:after="0" w:line="225" w:lineRule="exact"/>
        <w:rPr>
          <w:sz w:val="20"/>
          <w:szCs w:val="20"/>
          <w:color w:val="auto"/>
        </w:rPr>
      </w:pPr>
    </w:p>
    <w:p>
      <w:pPr>
        <w:ind w:left="720" w:hanging="256"/>
        <w:spacing w:after="0"/>
        <w:tabs>
          <w:tab w:leader="none" w:pos="72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Revolving Credit Agreement, the Term Loan Agreement, Existing Indebtedness or any other agreements as in effect on the Issue Date;</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225" w:lineRule="exact"/>
        <w:rPr>
          <w:rFonts w:ascii="Arial" w:cs="Arial" w:eastAsia="Arial" w:hAnsi="Arial"/>
          <w:sz w:val="18"/>
          <w:szCs w:val="18"/>
          <w:color w:val="auto"/>
        </w:rPr>
      </w:pPr>
    </w:p>
    <w:p>
      <w:pPr>
        <w:ind w:right="200" w:firstLine="464"/>
        <w:spacing w:after="0" w:line="286" w:lineRule="auto"/>
        <w:tabs>
          <w:tab w:leader="none" w:pos="711"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any Person or the property or assets of a Person acquired by Spectrum Brands or any of its Restricted Subsidiaries existing at the time of such acquisition and not incurred in connection with or in contemplation of such acquisition, which encumbrance or restriction is not applicable to any Person or the properties or assets of any Person, other than the Person, or the property or assets of the Person, so acquired;</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the case of clause (3) of the first paragraph of this covenant:</w:t>
      </w:r>
    </w:p>
    <w:p>
      <w:pPr>
        <w:spacing w:after="0" w:line="117" w:lineRule="exact"/>
        <w:rPr>
          <w:rFonts w:ascii="Arial" w:cs="Arial" w:eastAsia="Arial" w:hAnsi="Arial"/>
          <w:sz w:val="18"/>
          <w:szCs w:val="18"/>
          <w:color w:val="auto"/>
        </w:rPr>
      </w:pPr>
    </w:p>
    <w:p>
      <w:pPr>
        <w:ind w:left="460" w:right="880" w:firstLine="443"/>
        <w:spacing w:after="0" w:line="277" w:lineRule="auto"/>
        <w:tabs>
          <w:tab w:leader="none" w:pos="114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provisions that restrict in a customary manner the subletting, assignment or transfer of any property or asset that is a lease, license, conveyance or contract or similar property or asset;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firstLine="443"/>
        <w:spacing w:after="0" w:line="277" w:lineRule="auto"/>
        <w:tabs>
          <w:tab w:leader="none" w:pos="115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restrictions existing by virtue of any transfer of, agreement to transfer, option or right with respect to, or Lien on, any property or assets of Spectrum Brands or any Restricted Subsidiary not otherwise prohibited by the 2025 notes indenture; or</w:t>
      </w:r>
    </w:p>
    <w:p>
      <w:pPr>
        <w:spacing w:after="0" w:line="62" w:lineRule="exact"/>
        <w:rPr>
          <w:rFonts w:ascii="Arial" w:cs="Arial" w:eastAsia="Arial" w:hAnsi="Arial"/>
          <w:sz w:val="18"/>
          <w:szCs w:val="18"/>
          <w:color w:val="auto"/>
        </w:rPr>
      </w:pPr>
    </w:p>
    <w:p>
      <w:pPr>
        <w:ind w:left="460" w:right="120" w:firstLine="443"/>
        <w:spacing w:after="0" w:line="264" w:lineRule="auto"/>
        <w:tabs>
          <w:tab w:leader="none" w:pos="114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restrictions arising or agreed to in the ordinary course of business, not relating to any Indebtedness, and that do not, individually or in the aggregate, detract from the value of property or assets of Spectrum Brands or any Restricted Subsidiary in any manner material to Spectrum Brands or any Restricted Subsidiary;</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customary provisions with respect to the disposition or distribution of assets or property in joint venture agreements and other agreements;</w:t>
      </w:r>
    </w:p>
    <w:p>
      <w:pPr>
        <w:spacing w:after="0" w:line="236" w:lineRule="exact"/>
        <w:rPr>
          <w:rFonts w:ascii="Arial" w:cs="Arial" w:eastAsia="Arial" w:hAnsi="Arial"/>
          <w:sz w:val="17"/>
          <w:szCs w:val="17"/>
          <w:color w:val="auto"/>
        </w:rPr>
      </w:pPr>
    </w:p>
    <w:p>
      <w:pPr>
        <w:ind w:right="20" w:firstLine="464"/>
        <w:spacing w:after="0" w:line="277" w:lineRule="auto"/>
        <w:tabs>
          <w:tab w:leader="none" w:pos="71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all or substantially all of the capital stock of, or property and assets of, a Restricted Subsidiary that restricts distributions by that Restricted Subsidiary pending such sale or other disposition;</w:t>
      </w:r>
    </w:p>
    <w:p>
      <w:pPr>
        <w:spacing w:after="0" w:line="170" w:lineRule="exact"/>
        <w:rPr>
          <w:rFonts w:ascii="Arial" w:cs="Arial" w:eastAsia="Arial" w:hAnsi="Arial"/>
          <w:sz w:val="18"/>
          <w:szCs w:val="18"/>
          <w:color w:val="auto"/>
        </w:rPr>
      </w:pPr>
    </w:p>
    <w:p>
      <w:pPr>
        <w:ind w:right="180" w:firstLine="464"/>
        <w:spacing w:after="0" w:line="259" w:lineRule="auto"/>
        <w:tabs>
          <w:tab w:leader="none" w:pos="71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Indebtedness of a Foreign Subsidiary permitted to be incurred under the 2025 notes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encumbrances or restrictions are ordinary and customary with respect to the type of Indebtedness being incurred and (b) such encumbrances or restrictions will not materially (in good faith by the Board of Directors of Spectrum Brands) impair Spectrum Brands’ ability to make principal and interest payments on the 2025 notes, as determined;</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2025 notes indenture, the 2025 notes, any Additional Notes or the Guarantees;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 of business;</w:t>
      </w:r>
    </w:p>
    <w:p>
      <w:pPr>
        <w:spacing w:after="0" w:line="236" w:lineRule="exact"/>
        <w:rPr>
          <w:rFonts w:ascii="Arial" w:cs="Arial" w:eastAsia="Arial" w:hAnsi="Arial"/>
          <w:sz w:val="17"/>
          <w:szCs w:val="17"/>
          <w:color w:val="auto"/>
        </w:rPr>
      </w:pPr>
    </w:p>
    <w:p>
      <w:pPr>
        <w:ind w:firstLine="464"/>
        <w:spacing w:after="0" w:line="259" w:lineRule="auto"/>
        <w:tabs>
          <w:tab w:leader="none" w:pos="80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other Indebtedness, Disqualified Stock or preferred stock of Restricted Subsidiaries permitted to be incurred after the Issue Date pursuant to the provisions of the covenant described under “—Incurrence of Indebtedness and Issuance of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will not materially (in the good faith judgment of the Board of Directors of Spectrum Brands) impair Spectrum Brands’ ability to make principal and interest payments on the 2025 notes;</w:t>
      </w:r>
    </w:p>
    <w:p>
      <w:pPr>
        <w:spacing w:after="0" w:line="186" w:lineRule="exact"/>
        <w:rPr>
          <w:rFonts w:ascii="Arial" w:cs="Arial" w:eastAsia="Arial" w:hAnsi="Arial"/>
          <w:sz w:val="18"/>
          <w:szCs w:val="18"/>
          <w:color w:val="auto"/>
        </w:rPr>
      </w:pPr>
    </w:p>
    <w:p>
      <w:pPr>
        <w:ind w:firstLine="464"/>
        <w:spacing w:after="0" w:line="257" w:lineRule="auto"/>
        <w:tabs>
          <w:tab w:leader="none" w:pos="79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restrictions or conditions contained in any trading, netting, operating, construction, service, supply, purchase or other agreement to which Spectrum Brands or any of its Restricted Subsidiaries is a party and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prohibits the encumbrance of solely the property or assets of Spectrum Brands or such Restricted Subsidiary that are the subject of such agreement, the payment rights arising thereunder or the proceeds thereof and does not extend to any other asset or property of Spectrum Brands or such Restricted Subsidiary or the assets or property of any other Restricted Subsidiary;</w:t>
      </w:r>
    </w:p>
    <w:p>
      <w:pPr>
        <w:spacing w:after="0" w:line="188" w:lineRule="exact"/>
        <w:rPr>
          <w:rFonts w:ascii="Arial" w:cs="Arial" w:eastAsia="Arial" w:hAnsi="Arial"/>
          <w:sz w:val="18"/>
          <w:szCs w:val="18"/>
          <w:color w:val="auto"/>
        </w:rPr>
      </w:pPr>
    </w:p>
    <w:p>
      <w:pPr>
        <w:ind w:firstLine="464"/>
        <w:spacing w:after="0" w:line="276" w:lineRule="auto"/>
        <w:tabs>
          <w:tab w:leader="none" w:pos="80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any instrument governing any Indebtedness or Capital Stock of a Person that is an Unrestricted Subsidiary as in effect on the date that such Person becomes a Restricted Subsidiary, which encumbrance or restriction is not applicable to any Person, or the properties or assets of any Person, other than the Person who became a Restricted Subsidiary, or the property or assets of the Person who became a Restricted Subsidiary and was not entered into in contemplation of the designation of such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Indebtedness, the incurrence of such Indebtedness as a result of such Person becoming a Restricted Subsidiary was permitted by the terms of the 2025 notes indenture;</w:t>
      </w:r>
    </w:p>
    <w:p>
      <w:pPr>
        <w:spacing w:after="0" w:line="172" w:lineRule="exact"/>
        <w:rPr>
          <w:rFonts w:ascii="Arial" w:cs="Arial" w:eastAsia="Arial" w:hAnsi="Arial"/>
          <w:sz w:val="17"/>
          <w:szCs w:val="17"/>
          <w:color w:val="auto"/>
        </w:rPr>
      </w:pPr>
    </w:p>
    <w:p>
      <w:pPr>
        <w:ind w:right="140" w:firstLine="464"/>
        <w:spacing w:after="0" w:line="277" w:lineRule="auto"/>
        <w:tabs>
          <w:tab w:leader="none" w:pos="80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purchase money obligations for property acquired and Capital Lease Obligations in the ordinary course of business that impose restrictions of the nature discussed in clause (3) of the first paragraph of this covenant on the property so acquired;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64"/>
        <w:spacing w:after="0" w:line="255" w:lineRule="auto"/>
        <w:tabs>
          <w:tab w:leader="none" w:pos="80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of the type referred to in clauses (1), (2) and (3) of the first paragraph of this covenant imposed by any amendments, modifications, restatements, renewals, increases, supplements, refundings, replacements or refinancings of the contracts, instruments or obligations referred to in clauses (1) through (13)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in the good faith judgment of Spectrum Brands’ Board of Directors, not materially more restrictive with respect to such encumbrance and other restrictions than those prior to such amendment, modification, restatement, renewal, increase, supplement, refunding, replacement or refinancing.</w:t>
      </w:r>
    </w:p>
    <w:p>
      <w:pPr>
        <w:spacing w:after="0" w:line="193"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purposes of determining compliance with this covenant,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Spectrum Brands or a Restricted Subsidiary of Spectrum Brands to other Indebtedness incurred by Spectrum Brands or any such Restricted Subsidiary shall not be deemed a restriction on the ability to make loans or advances.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Spectrum Brands will not, directly or indirectly: (1) consolidate or merge with or into another Person (whether or not Spectrum Brands is the surviving corporation) or (2) sell, assign, transfer, convey or otherwise dispose of all or substantially all of the properties and assets of Spectrum Brands and its Restricted Subsidiaries taken as a whole, in one or more related transactions, to another Person or Persons, unless:</w:t>
      </w:r>
    </w:p>
    <w:p>
      <w:pPr>
        <w:spacing w:after="0" w:line="181" w:lineRule="exact"/>
        <w:rPr>
          <w:sz w:val="20"/>
          <w:szCs w:val="20"/>
          <w:color w:val="auto"/>
        </w:rPr>
      </w:pPr>
    </w:p>
    <w:p>
      <w:pPr>
        <w:ind w:firstLine="464"/>
        <w:spacing w:after="0" w:line="257" w:lineRule="auto"/>
        <w:tabs>
          <w:tab w:leader="none" w:pos="71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either: (a) Spectrum Brands is the surviving corporation; or (b) the Person formed by or surviving any such consolidation or merger (if other than Spectrum Brands) or to which such sale, assignment, transfer, conveyance or other disposition shall have been made (i) is a corporation or limited liability company organized or existing under the laws of the United States, any state thereof or the District of Columbia and (ii) assumes all the obligations of Spectrum Brands under the 2025 notes, the 2025 notes indenture, and the Registration Rights Agreement pursuant to agreements reasonably satisfactory to the Trustee;</w:t>
      </w:r>
    </w:p>
    <w:p>
      <w:pPr>
        <w:spacing w:after="0" w:line="188" w:lineRule="exact"/>
        <w:rPr>
          <w:rFonts w:ascii="Arial" w:cs="Arial" w:eastAsia="Arial" w:hAnsi="Arial"/>
          <w:sz w:val="18"/>
          <w:szCs w:val="18"/>
          <w:color w:val="auto"/>
        </w:rPr>
      </w:pPr>
    </w:p>
    <w:p>
      <w:pPr>
        <w:ind w:left="720" w:hanging="256"/>
        <w:spacing w:after="0"/>
        <w:tabs>
          <w:tab w:leader="none" w:pos="7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225" w:lineRule="exact"/>
        <w:rPr>
          <w:rFonts w:ascii="Arial" w:cs="Arial" w:eastAsia="Arial" w:hAnsi="Arial"/>
          <w:sz w:val="18"/>
          <w:szCs w:val="18"/>
          <w:color w:val="auto"/>
        </w:rPr>
      </w:pPr>
    </w:p>
    <w:p>
      <w:pPr>
        <w:ind w:firstLine="464"/>
        <w:spacing w:after="0" w:line="255" w:lineRule="auto"/>
        <w:tabs>
          <w:tab w:leader="none" w:pos="71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on a pro forma basis, Spectrum Brands or the Person formed by or surviving any such consolidation or merger (if other than Spectrum Brands), or to which such sale, assignment, transfer, conveyance or other disposition shall have been made, will, on the date of such transaction after giving pro forma effect thereto and any related financing transactions as if the same had occurred at the beginning of the applicable four-quarter period, be (i) permitted to incur at least $1.00 of additional Indebtedness pursuant to the Fixed Charge Coverage Ratio test set forth in the first paragraph of the covenant described above under the caption “—Incurrence of Indebtedness and Issuance of Preferred Stock” or (ii) have had a Fixed Charge Coverage Ratio equal to or greater than the actual Fixed Charge Coverage Ratio of Spectrum Brands for the four-quarter period immediately prior to such transaction.</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neither Spectrum Brands nor any Restricted Subsidiary may, directly or indirectly, lease all or substantially all of its properties or assets, in one or more related transactions, to any other Person. Clauses (2) and (3) above of this “Merger, Consolidation or Sale of Assets” covenant will not apply to any merger, consolidation or sale, assignment, transfer, lease, conveyance or other disposition of assets between or among Spectrum Brands and any of its Restricted Subsidiaries.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Spectrum Brands will not, and will not permit any of its Restricted Subsidiaries to, make any payment to, or sell, lease, transfer or otherwise dispose of any of its properties or assets to, or purchase any property or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or enter into, make, amend, renew or extend any transaction, contract, agreement, understanding, loan, advance or Guarantee with, or for the benefit of, any Affiliate (each, an “Affiliate Transaction”) involving payments of consideration in excess of $5.0 million, unless:</w:t>
      </w:r>
    </w:p>
    <w:p>
      <w:pPr>
        <w:spacing w:after="0" w:line="170" w:lineRule="exact"/>
        <w:rPr>
          <w:sz w:val="20"/>
          <w:szCs w:val="20"/>
          <w:color w:val="auto"/>
        </w:rPr>
      </w:pPr>
    </w:p>
    <w:p>
      <w:pPr>
        <w:ind w:right="40" w:firstLine="464"/>
        <w:spacing w:after="0" w:line="264" w:lineRule="auto"/>
        <w:tabs>
          <w:tab w:leader="none" w:pos="71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 less favorable to Spectrum Brands or the relevant Restricted Subsidiary than those that would have been obtained in a comparable arm’s-length transaction by Spectrum Brands or such Restricted Subsidiary with a Person that is not an Affiliate of Spectrum Brands as determined in good faith by a majority of the disinterested members of the Board of Directors; and</w:t>
      </w:r>
    </w:p>
    <w:p>
      <w:pPr>
        <w:spacing w:after="0" w:line="181" w:lineRule="exact"/>
        <w:rPr>
          <w:rFonts w:ascii="Arial" w:cs="Arial" w:eastAsia="Arial" w:hAnsi="Arial"/>
          <w:sz w:val="18"/>
          <w:szCs w:val="18"/>
          <w:color w:val="auto"/>
        </w:rPr>
      </w:pPr>
    </w:p>
    <w:p>
      <w:pPr>
        <w:ind w:right="120" w:firstLine="464"/>
        <w:spacing w:after="0" w:line="259" w:lineRule="auto"/>
        <w:tabs>
          <w:tab w:leader="none" w:pos="71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Spectrum Brands delivers to the Trustee with respect to any Affiliate Transaction or series of related Affiliate Transactions involving aggregate consideration in excess of $50.0 million, a resolution of the Board of Directors set forth in an officer’s certificate certifying that such Affiliate Transaction or series of related Affiliate Transactions complies with clause (1) of this covenant and that such Affiliate Transaction or series of related Affiliate Transactions has been approved by a majority of the disinterested members of the Board of Directors.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items shall not be deemed to be Affiliate Transactions and, therefore, will not be subject to the provisions of the prior paragraph:</w:t>
      </w:r>
    </w:p>
    <w:p>
      <w:pPr>
        <w:spacing w:after="0" w:line="237" w:lineRule="exact"/>
        <w:rPr>
          <w:sz w:val="20"/>
          <w:szCs w:val="20"/>
          <w:color w:val="auto"/>
        </w:rPr>
      </w:pPr>
    </w:p>
    <w:p>
      <w:pPr>
        <w:ind w:left="720" w:hanging="256"/>
        <w:spacing w:after="0"/>
        <w:tabs>
          <w:tab w:leader="none" w:pos="7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transactions between or among Spectrum Brands and/or its Restricted Subsidiaries;</w:t>
      </w:r>
    </w:p>
    <w:p>
      <w:pPr>
        <w:spacing w:after="0" w:line="225"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payment of reasonable and customary fees and compensation to, and reasonable and customary indemnification arrangements and similar payments on behalf of, directors of Spectrum Brands;</w:t>
      </w:r>
    </w:p>
    <w:p>
      <w:pPr>
        <w:spacing w:after="0" w:line="170" w:lineRule="exact"/>
        <w:rPr>
          <w:rFonts w:ascii="Arial" w:cs="Arial" w:eastAsia="Arial" w:hAnsi="Arial"/>
          <w:sz w:val="18"/>
          <w:szCs w:val="18"/>
          <w:color w:val="auto"/>
        </w:rPr>
      </w:pPr>
    </w:p>
    <w:p>
      <w:pPr>
        <w:ind w:firstLine="464"/>
        <w:spacing w:after="0" w:line="277" w:lineRule="auto"/>
        <w:tabs>
          <w:tab w:leader="none" w:pos="71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Restricted Payments that are permitted by the provisions of the 2025 notes indenture described above under the caption “—Restricted Payments,” or any Permitted Investments;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sale of Capital Stock (other than Disqualified Stock) of Spectrum Brands;</w:t>
      </w:r>
    </w:p>
    <w:p>
      <w:pPr>
        <w:spacing w:after="0" w:line="225"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loans and advances to officers and employees of Spectrum Brands or any of its Restricted Subsidiaries or Holdings (or any direct or indirect parent of Holdings) for bona fide business purposes in the ordinary course of business consistent with past practice;</w:t>
      </w:r>
    </w:p>
    <w:p>
      <w:pPr>
        <w:spacing w:after="0" w:line="170" w:lineRule="exact"/>
        <w:rPr>
          <w:rFonts w:ascii="Arial" w:cs="Arial" w:eastAsia="Arial" w:hAnsi="Arial"/>
          <w:sz w:val="18"/>
          <w:szCs w:val="18"/>
          <w:color w:val="auto"/>
        </w:rPr>
      </w:pPr>
    </w:p>
    <w:p>
      <w:pPr>
        <w:ind w:right="240" w:firstLine="464"/>
        <w:spacing w:after="0" w:line="257" w:lineRule="auto"/>
        <w:tabs>
          <w:tab w:leader="none" w:pos="71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employment, consulting, service or termination agreement, or reasonable and customary indemnification arrangements, entered into by Spectrum Brands or any of its Restricted Subsidiaries with officers and employees of Spectrum Brands or any of its Restricted Subsidiaries or Holdings (or any direct or indirect parent of Holdings) and the payment of compensation to officers and employees of Spectrum Brands or any of its Restricted Subsidiaries (including amounts paid pursuant to employee benefit plans, employee stock option or similar plans), in each case in the ordinary course of business;</w:t>
      </w:r>
    </w:p>
    <w:p>
      <w:pPr>
        <w:spacing w:after="0" w:line="188" w:lineRule="exact"/>
        <w:rPr>
          <w:rFonts w:ascii="Arial" w:cs="Arial" w:eastAsia="Arial" w:hAnsi="Arial"/>
          <w:sz w:val="18"/>
          <w:szCs w:val="18"/>
          <w:color w:val="auto"/>
        </w:rPr>
      </w:pPr>
    </w:p>
    <w:p>
      <w:pPr>
        <w:ind w:right="120" w:firstLine="464"/>
        <w:spacing w:after="0" w:line="279" w:lineRule="auto"/>
        <w:tabs>
          <w:tab w:leader="none" w:pos="711"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any agreements or arrangements in effect on the Issue Date, or any amendment, modification, or supplement thereto or any replacement thereof, as long as such agreement or arrangement, as so amended, modified, supplemented or replaced, taken as a whole, is not more disadvantageous to Spectrum Brands and its Restricted Subsidiaries than the original agreement as in effect on the Issue Date, as determined in good faith by Spectrum Brands’ Board of Directors, and any transactions contemplated by any of the foregoing agreements or arrangements;</w:t>
      </w:r>
    </w:p>
    <w:p>
      <w:pPr>
        <w:spacing w:after="0" w:line="171" w:lineRule="exact"/>
        <w:rPr>
          <w:rFonts w:ascii="Arial" w:cs="Arial" w:eastAsia="Arial" w:hAnsi="Arial"/>
          <w:sz w:val="17"/>
          <w:szCs w:val="17"/>
          <w:color w:val="auto"/>
        </w:rPr>
      </w:pPr>
    </w:p>
    <w:p>
      <w:pPr>
        <w:ind w:right="100" w:firstLine="464"/>
        <w:spacing w:after="0" w:line="264" w:lineRule="auto"/>
        <w:tabs>
          <w:tab w:leader="none" w:pos="71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ventures, joint venture partners, Unrestricted Subsidiaries or purchasers or sellers of goods and services, in each case in the ordinary course of business and on terms no less favorable than that available from non-affiliates (as determined by Spectrum Brands) and otherwise not prohibited by the 2025 notes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77" w:lineRule="auto"/>
        <w:tabs>
          <w:tab w:leader="none" w:pos="71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transaction with an Affiliate (i) where the only consideration paid by Spectrum Brands or any Restricted Subsidiary is Qualified Equity Interests or (ii) consisting of the provision of customary registration rights;</w:t>
      </w:r>
    </w:p>
    <w:p>
      <w:pPr>
        <w:spacing w:after="0" w:line="170" w:lineRule="exact"/>
        <w:rPr>
          <w:rFonts w:ascii="Arial" w:cs="Arial" w:eastAsia="Arial" w:hAnsi="Arial"/>
          <w:sz w:val="18"/>
          <w:szCs w:val="18"/>
          <w:color w:val="auto"/>
        </w:rPr>
      </w:pPr>
    </w:p>
    <w:p>
      <w:pPr>
        <w:ind w:right="520" w:firstLine="464"/>
        <w:spacing w:after="0" w:line="277" w:lineRule="auto"/>
        <w:tabs>
          <w:tab w:leader="none" w:pos="80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the payment of all Transaction Expenses by Spectrum Brands and its Restricted Subsidiaries and (b) the payment of all Prior Transaction Expenses by Spectrum Brands and its Restricted Subsidiaries;</w:t>
      </w:r>
    </w:p>
    <w:p>
      <w:pPr>
        <w:spacing w:after="0" w:line="170" w:lineRule="exact"/>
        <w:rPr>
          <w:rFonts w:ascii="Arial" w:cs="Arial" w:eastAsia="Arial" w:hAnsi="Arial"/>
          <w:sz w:val="18"/>
          <w:szCs w:val="18"/>
          <w:color w:val="auto"/>
        </w:rPr>
      </w:pPr>
    </w:p>
    <w:p>
      <w:pPr>
        <w:ind w:right="180" w:firstLine="464"/>
        <w:spacing w:after="0" w:line="286" w:lineRule="auto"/>
        <w:tabs>
          <w:tab w:leader="none" w:pos="79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any merger, consolidation or reorganization of Spectrum Brands (otherwise permitted by the 2025 notes indenture) with an Affiliate of Spectrum Brands solely for the purpose of (a) reorganizing to facilitate an initial public offering of securities of Spectrum Brands or a direct or indirect parent of Spectrum Brands, (b) forming or collapsing a holding company structure or (c) reincorporating Spectrum Brands in a new jurisdiction;</w:t>
      </w:r>
    </w:p>
    <w:p>
      <w:pPr>
        <w:spacing w:after="0" w:line="165" w:lineRule="exact"/>
        <w:rPr>
          <w:rFonts w:ascii="Arial" w:cs="Arial" w:eastAsia="Arial" w:hAnsi="Arial"/>
          <w:sz w:val="17"/>
          <w:szCs w:val="17"/>
          <w:color w:val="auto"/>
        </w:rPr>
      </w:pPr>
    </w:p>
    <w:p>
      <w:pPr>
        <w:ind w:right="300" w:firstLine="464"/>
        <w:spacing w:after="0" w:line="286" w:lineRule="auto"/>
        <w:tabs>
          <w:tab w:leader="none" w:pos="80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transactions between Spectrum Brands or any of its Restricted Subsidiaries and any Person that is an Affiliate solely because one or more of its directors is also a director of Spectrum Brands or any direct or indirect parent of Spectrum Brands;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director abstains from voting as a director of Spectrum Brands or such direct or indirect parent, as the case may be, on any matter involving such other Person;</w:t>
      </w:r>
    </w:p>
    <w:p>
      <w:pPr>
        <w:spacing w:after="0" w:line="165" w:lineRule="exact"/>
        <w:rPr>
          <w:rFonts w:ascii="Arial" w:cs="Arial" w:eastAsia="Arial" w:hAnsi="Arial"/>
          <w:sz w:val="17"/>
          <w:szCs w:val="17"/>
          <w:color w:val="auto"/>
        </w:rPr>
      </w:pPr>
    </w:p>
    <w:p>
      <w:pPr>
        <w:ind w:left="800" w:hanging="336"/>
        <w:spacing w:after="0"/>
        <w:tabs>
          <w:tab w:leader="none" w:pos="8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entering into of any tax sharing agreement or arrangement or any other transactions undertaken in good faith that is consistent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paragraph (b)(9)(iv) of the “—Restricted Payments” covenant;</w:t>
      </w:r>
    </w:p>
    <w:p>
      <w:pPr>
        <w:spacing w:after="0" w:line="211" w:lineRule="exact"/>
        <w:rPr>
          <w:sz w:val="20"/>
          <w:szCs w:val="20"/>
          <w:color w:val="auto"/>
        </w:rPr>
      </w:pPr>
    </w:p>
    <w:p>
      <w:pPr>
        <w:ind w:right="40" w:firstLine="464"/>
        <w:spacing w:after="0" w:line="312" w:lineRule="auto"/>
        <w:tabs>
          <w:tab w:leader="none" w:pos="80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any transaction by Spectrum Brands or any Restricted Subsidiary with any Affiliate for any financial advisory, financing (including the extension of credit or making of loans by any Affiliate), underwriting or placement services or in respect of other investment banking activities, including in connection with acquisitions or divestitures, which payments are approved by a majority of the members of the Board of Directors of Spectrum Brands in good faith; and</w:t>
      </w:r>
    </w:p>
    <w:p>
      <w:pPr>
        <w:spacing w:after="0" w:line="146" w:lineRule="exact"/>
        <w:rPr>
          <w:rFonts w:ascii="Arial" w:cs="Arial" w:eastAsia="Arial" w:hAnsi="Arial"/>
          <w:sz w:val="16"/>
          <w:szCs w:val="16"/>
          <w:color w:val="auto"/>
        </w:rPr>
      </w:pPr>
    </w:p>
    <w:p>
      <w:pPr>
        <w:ind w:right="260" w:firstLine="464"/>
        <w:spacing w:after="0" w:line="264" w:lineRule="auto"/>
        <w:tabs>
          <w:tab w:leader="none" w:pos="80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transactions in which Spectrum Brands or any Restricted Subsidiary, as the case may be, delivers to the Trustee a letter from an independent accounting, appraisal or investment banking firm of national standing stating that such transaction is fair to Spectrum Brands or such Restricted Subsidiary from a financial point of view or meets the requirements of clause (1) of the preceding paragraph.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Spectrum Brands will not, and will not permit any of its Restricted Subsidiaries to, consummate an Asset Sale unless:</w:t>
      </w:r>
    </w:p>
    <w:p>
      <w:pPr>
        <w:spacing w:after="0" w:line="225" w:lineRule="exact"/>
        <w:rPr>
          <w:sz w:val="20"/>
          <w:szCs w:val="20"/>
          <w:color w:val="auto"/>
        </w:rPr>
      </w:pPr>
    </w:p>
    <w:p>
      <w:pPr>
        <w:ind w:right="320" w:firstLine="464"/>
        <w:spacing w:after="0" w:line="277" w:lineRule="auto"/>
        <w:tabs>
          <w:tab w:leader="none" w:pos="71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Spectrum Brands (or the Restricted Subsidiary, as the case may be) receives consideration at the time of such Asset Sale at least equal to the fair market value of the assets or Equity Interests issued or sold or otherwise disposed of; and</w:t>
      </w:r>
    </w:p>
    <w:p>
      <w:pPr>
        <w:spacing w:after="0" w:line="170" w:lineRule="exact"/>
        <w:rPr>
          <w:rFonts w:ascii="Arial" w:cs="Arial" w:eastAsia="Arial" w:hAnsi="Arial"/>
          <w:sz w:val="18"/>
          <w:szCs w:val="18"/>
          <w:color w:val="auto"/>
        </w:rPr>
      </w:pPr>
    </w:p>
    <w:p>
      <w:pPr>
        <w:ind w:right="620" w:firstLine="464"/>
        <w:spacing w:after="0" w:line="277" w:lineRule="auto"/>
        <w:tabs>
          <w:tab w:leader="none" w:pos="71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at least 75% of the consideration therefore received by Spectrum Brands or such Restricted Subsidiary is in the form of Cash Equivalents or Replacement Assets. For purposes of this clause, each of the following shall be deemed to be Cash Equivalents:</w:t>
      </w:r>
    </w:p>
    <w:p>
      <w:pPr>
        <w:spacing w:after="0" w:line="62" w:lineRule="exact"/>
        <w:rPr>
          <w:rFonts w:ascii="Arial" w:cs="Arial" w:eastAsia="Arial" w:hAnsi="Arial"/>
          <w:sz w:val="18"/>
          <w:szCs w:val="18"/>
          <w:color w:val="auto"/>
        </w:rPr>
      </w:pPr>
    </w:p>
    <w:p>
      <w:pPr>
        <w:ind w:left="460" w:right="240" w:firstLine="443"/>
        <w:spacing w:after="0" w:line="257" w:lineRule="auto"/>
        <w:tabs>
          <w:tab w:leader="none" w:pos="114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liabilities (as shown on Spectrum Brands’ or such Restricted Subsidiary’s most recent balance sheet) of Spectrum Brands or any Restricted Subsidiary (other than contingent liabilities, Indebtedness that is by its terms subordinated to the 2025 notes or any Note Guarantee and liabilities to the extent owed to Spectrum Brands or any Affiliate of Spectrum Brands) that are assumed by the transferee of any such assets and with respect to which Spectrum Brands and its Restricted Subsidiaries are unconditionally released from further liability in writing or that are otherwise cancelled or terminated in connection with the transaction with such transferee;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firstLine="443"/>
        <w:spacing w:after="0" w:line="264" w:lineRule="auto"/>
        <w:tabs>
          <w:tab w:leader="none" w:pos="115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Spectrum Brands or any such Restricted Subsidiary from such transferee that are converted by Spectrum Brands or such Restricted Subsidiary into cash (to the extent of the cash received in that conversion) within 360 days of the applicable Asset Sale; and</w:t>
      </w:r>
    </w:p>
    <w:p>
      <w:pPr>
        <w:spacing w:after="0" w:line="73" w:lineRule="exact"/>
        <w:rPr>
          <w:rFonts w:ascii="Arial" w:cs="Arial" w:eastAsia="Arial" w:hAnsi="Arial"/>
          <w:sz w:val="18"/>
          <w:szCs w:val="18"/>
          <w:color w:val="auto"/>
        </w:rPr>
      </w:pPr>
    </w:p>
    <w:p>
      <w:pPr>
        <w:ind w:left="460" w:right="100" w:firstLine="443"/>
        <w:spacing w:after="0" w:line="257" w:lineRule="auto"/>
        <w:tabs>
          <w:tab w:leader="none" w:pos="114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Designated Non-cash Consideration received by Spectrum Brands or any of its Restricted Subsidiaries in such Asset Sale having an aggregate fair market value, taken together with all other Designated Non-cash Consideration received pursuant to this clause (c) that is at that time outstanding, not to exceed the greater of $20.0 million or 2.0% of Consolidated Cash Flow at the time of the receipt of such Designated Non-cash Consideration (with the fair market value of each item of Designated Non-cash Consideration being measured at the time received and without giving effect to subsequent changes in value).</w:t>
      </w:r>
    </w:p>
    <w:p>
      <w:pPr>
        <w:spacing w:after="0" w:line="18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at any time any non-cash consideration received by Spectrum Brands or any Restricted Subsidiary, as the case may be, in connection with any Asset Sale is repaid or converted into or sold or otherwise disposed of for cash (other than interest received with respect to any such non-cash consideration), then the date of such repayment, conversion or disposition shall be deemed to constitute the date of an Asset Sale hereunder and the Net Proceeds thereof shall be applied in accordance with this covenant.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Within 365 days after the receipt of any Net Proceeds from an Asset Sale, Spectrum Brands may apply such Net Proceeds at its option:</w:t>
      </w:r>
    </w:p>
    <w:p>
      <w:pPr>
        <w:spacing w:after="0" w:line="225" w:lineRule="exact"/>
        <w:rPr>
          <w:sz w:val="20"/>
          <w:szCs w:val="20"/>
          <w:color w:val="auto"/>
        </w:rPr>
      </w:pPr>
    </w:p>
    <w:p>
      <w:pPr>
        <w:ind w:right="460" w:firstLine="464"/>
        <w:spacing w:after="0" w:line="264" w:lineRule="auto"/>
        <w:tabs>
          <w:tab w:leader="none" w:pos="71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repay secured Indebtedness or Indebtedness of a non-Guarantor Restricted Subsidiary owed to a Person that is not an Affiliate of Spectrum Brands and, except in the case of Indebtedness under the Revolving Credit Agreement, if the Indebtedness repaid is revolving credit Indebtedness, to correspondingly reduce commitments with respect thereto;</w:t>
      </w:r>
    </w:p>
    <w:p>
      <w:pPr>
        <w:spacing w:after="0" w:line="181" w:lineRule="exact"/>
        <w:rPr>
          <w:rFonts w:ascii="Arial" w:cs="Arial" w:eastAsia="Arial" w:hAnsi="Arial"/>
          <w:sz w:val="18"/>
          <w:szCs w:val="18"/>
          <w:color w:val="auto"/>
        </w:rPr>
      </w:pPr>
    </w:p>
    <w:p>
      <w:pPr>
        <w:ind w:firstLine="464"/>
        <w:spacing w:after="0" w:line="264" w:lineRule="auto"/>
        <w:tabs>
          <w:tab w:leader="none" w:pos="71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prepay, repay or repurchase any Indebtedness of Spectrum Brands or any of its Restricted Subsidiaries which is not expressly subordinated to the prior payment in full in cash of all Obligations with respect to the 2025 notes, in the case of Spectrum Brands, or the Note Guarantee, in the case of a Guarantor; or</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to purchase Replacement Assets or make a capital expenditure in or that is used or useful in a Permitted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during the</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365 day period following the consummation of an Asset Sale, Spectrum Brands or a Restricted Subsidiary enters into a definitive binding agreement committing it to apply the Net Proceeds in accordance with the requirements of this clause (3) after such 365 day period, such 365 day period will be extended with respect to the amount of Net Proceeds so committed until such Net Proceeds are required to be applied in accordance with such agreement (but such extension will in no event be for a period longer than 180 days) or, if earlier, the date of termination of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event such binding commitment is later canceled or terminated for any reason before such Net Proceeds are so applied, then such Net Proceeds shall constitute Excess Proceeds unless Spectrum Brands or such Restricted Subsidiary enters into another binding commitment (a “Second Commitment”) within six months of such cancellation or termination of the prior binding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Spectrum Brands or such Restricted Subsidiary may only enter into a Second Commitment under the foregoing provision one time with respect to each Asset Sale and to the extent such Second Commitment is later cancelled or terminated for any reason before such Net Proceeds are applied or are not applied within 180 days of such Second Commitment, then such Net Proceeds shall constitute Excess Proceeds.</w:t>
      </w:r>
    </w:p>
    <w:p>
      <w:pPr>
        <w:spacing w:after="0" w:line="18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Following the entering into of a binding agreement with respect to an Asset Sale and prior to the consummation thereof, Cash Equivalents (whether or not actual Net Proceeds of such Asset Sale) used for the purposes described in clause (3) that are designated as used in accordance with clause (3), and not previously or subsequently so designated in respect of any other Asset Sale, shall be deemed to be Net Proceeds applied in accordance with clause (3).</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360"/>
          </w:cols>
          <w:pgMar w:left="240" w:top="460" w:right="29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Pending the final application of any such Net Proceeds, Spectrum Brands may temporarily reduce revolving credit borrowings or otherwise invest such Net Proceeds in any manner that is not prohibited by the 2025 notes indenture.</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Any Net Proceeds from Asset Sales that are not applied or invested as provided in clause (1), (2) or (3) of the second preceding paragraph will constitute “Excess Proceeds.” Within 30 days after the aggregate amount of Excess Proceeds exceeds $50.0 million, Spectrum Brands will make an Asset Sale Offer to all Noteholders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2025 notes or any Note Guarantee containing provisions similar to those set forth in the 2025 notes indenture with respect to offers to purchase with the proceeds of sales of assets, to purchase the maximum principal amount of the 2025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Spectrum Brands and its Restricted Subsidiaries may make an Asset Sale Offer under this section using Net Proceeds prior to the time any such Net Proceeds become Excess Proceeds, in which case such Net Proceeds shall be deemed to have been applied within the time frame required by this covenant. The offer price in any Asset Sale Offer will be equal to 100% of the principal amount of the 2025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plus accrued and unpaid interest to the date of purchase, and will be payable in cash. If any Excess Proceeds remain after consummation of an Asset Sale Offer, Spectrum Brands may use such Excess Proceeds for any purpose not otherwise prohibited by the 2025 notes indenture. If the aggregate principal amount of the 2025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2025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shall be purchased on a pro rata basis based on the principal amount of the 2025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Upon completion of each Asset Sale Offer, the amount of Excess Proceeds shall be reset at zero.</w:t>
      </w:r>
    </w:p>
    <w:p>
      <w:pPr>
        <w:spacing w:after="0" w:line="17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Spectrum Brands will comply with the requirements of Rule 14e-1 under the Exchange Act and any other securities laws and regulations thereunder to the extent such laws and regulations are applicable in connection with each repurchase of the 2025 notes pursuant to an Asset Sale Offer. To the extent that the provisions of any securities laws or regulations conflict with the Asset Sales provisions of the 2025 notes indenture, Spectrum Brands will comply with the applicable securities laws and regulations and will not be deemed to have breached its obligations under the Asset Sale provisions of the 2025 notes indenture by virtue of such compliance.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Board of Directors may designate any Restricted Subsidiary to be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5" w:lineRule="exact"/>
        <w:rPr>
          <w:sz w:val="20"/>
          <w:szCs w:val="20"/>
          <w:color w:val="auto"/>
        </w:rPr>
      </w:pPr>
    </w:p>
    <w:p>
      <w:pPr>
        <w:ind w:firstLine="464"/>
        <w:spacing w:after="0" w:line="259" w:lineRule="auto"/>
        <w:tabs>
          <w:tab w:leader="none" w:pos="71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Guarantee by Spectrum Brands or any Restricted Subsidiary of any Indebtedness of the Subsidiary being so designated will be deemed to be an incurrence of Indebtedness by Spectrum Brands or such Restricted Subsidiary (or both, if applicable) at the time of such designation, and such incurrence of Indebtedness would be permitted under the covenant described above under the caption “—Certain Covenants—Incurrence of Indebtedness and Issuance of Preferred Stock”;</w:t>
      </w:r>
    </w:p>
    <w:p>
      <w:pPr>
        <w:spacing w:after="0" w:line="186" w:lineRule="exact"/>
        <w:rPr>
          <w:rFonts w:ascii="Arial" w:cs="Arial" w:eastAsia="Arial" w:hAnsi="Arial"/>
          <w:sz w:val="18"/>
          <w:szCs w:val="18"/>
          <w:color w:val="auto"/>
        </w:rPr>
      </w:pPr>
    </w:p>
    <w:p>
      <w:pPr>
        <w:ind w:firstLine="464"/>
        <w:spacing w:after="0" w:line="259" w:lineRule="auto"/>
        <w:tabs>
          <w:tab w:leader="none" w:pos="71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aggregate fair market value of all outstanding Investments owned by Spectrum Brands and its Restricted Subsidiaries in the Subsidiary being so designated (including any Guarantee by Spectrum Brands or any Restricted Subsidiary of any Indebtedness of such Subsidiary) will be deemed to be a Restricted Investment made as of the time of such designation and that such Investment would be permitted under the covenant described above under the caption “—Certain Covenants—Restricted Payments”;</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such Subsidiary does not own any Equity Interests of, or hold any Liens on any Property of, Spectrum Brands or any Restricted Subsidiary;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360"/>
          </w:cols>
          <w:pgMar w:left="240" w:top="460" w:right="2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Subsidiary being so designated:</w:t>
      </w:r>
    </w:p>
    <w:p>
      <w:pPr>
        <w:spacing w:after="0" w:line="117" w:lineRule="exact"/>
        <w:rPr>
          <w:rFonts w:ascii="Arial" w:cs="Arial" w:eastAsia="Arial" w:hAnsi="Arial"/>
          <w:sz w:val="18"/>
          <w:szCs w:val="18"/>
          <w:color w:val="auto"/>
        </w:rPr>
      </w:pPr>
    </w:p>
    <w:p>
      <w:pPr>
        <w:ind w:left="460" w:firstLine="443"/>
        <w:spacing w:after="0" w:line="277" w:lineRule="auto"/>
        <w:tabs>
          <w:tab w:leader="none" w:pos="1143"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is not party to any agreement, contract, arrangement or understanding with Spectrum Brands or any Restricted Subsidiary of Spectrum Brands that would not be permitted under “Transactions with Affiliates” and;</w:t>
      </w:r>
    </w:p>
    <w:p>
      <w:pPr>
        <w:spacing w:after="0" w:line="62" w:lineRule="exact"/>
        <w:rPr>
          <w:rFonts w:ascii="Arial" w:cs="Arial" w:eastAsia="Arial" w:hAnsi="Arial"/>
          <w:sz w:val="18"/>
          <w:szCs w:val="18"/>
          <w:color w:val="auto"/>
        </w:rPr>
      </w:pPr>
    </w:p>
    <w:p>
      <w:pPr>
        <w:ind w:left="460" w:right="200" w:firstLine="443"/>
        <w:spacing w:after="0" w:line="264" w:lineRule="auto"/>
        <w:tabs>
          <w:tab w:leader="none" w:pos="1153" w:val="left"/>
        </w:tabs>
        <w:numPr>
          <w:ilvl w:val="1"/>
          <w:numId w:val="307"/>
        </w:numPr>
        <w:rPr>
          <w:rFonts w:ascii="Arial" w:cs="Arial" w:eastAsia="Arial" w:hAnsi="Arial"/>
          <w:sz w:val="18"/>
          <w:szCs w:val="18"/>
          <w:color w:val="auto"/>
        </w:rPr>
      </w:pPr>
      <w:r>
        <w:rPr>
          <w:rFonts w:ascii="Arial" w:cs="Arial" w:eastAsia="Arial" w:hAnsi="Arial"/>
          <w:sz w:val="18"/>
          <w:szCs w:val="18"/>
          <w:color w:val="auto"/>
        </w:rPr>
        <w:t>except as permitted under clauses (1) and (2) above is a Person with respect to which neither Spectrum Brands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Default or Event of Default would be in existence following such designation.</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If, at any time, any Unrestricted Subsidiary would fail to meet any of the preceding requirements described in clause (4) above, it shall thereafter cease to be an Unrestricted Subsidiary for purposes of the 2025 notes indenture and any Indebtedness, Investments, or Liens on the property, of such Subsidiary shall be deemed to be incurred by a Restricted Subsidiary of Spectrum Brands as of such date and, if such Indebtedness, Investments or Liens are not permitted to be incurred as of such date under the 2025 notes indenture, Spectrum Brands shall be in default under the 2025 notes indenture.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Board of Directors of Spectrum Brands may at any time designate any Unrestricted Subsidiary to be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37" w:lineRule="exact"/>
        <w:rPr>
          <w:sz w:val="20"/>
          <w:szCs w:val="20"/>
          <w:color w:val="auto"/>
        </w:rPr>
      </w:pPr>
    </w:p>
    <w:p>
      <w:pPr>
        <w:ind w:firstLine="464"/>
        <w:spacing w:after="0" w:line="259" w:lineRule="auto"/>
        <w:tabs>
          <w:tab w:leader="none" w:pos="71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such designation shall be deemed to be an incurrence of Indebtedness by a Restricted Subsidiary of Spectrum Brands of any outstanding Indebtedness of such Unrestricted Subsidiary and such designation shall only be permitted if such Indebtedness is permitted under the covenant described under the caption “—Certain Covenants—Incurrence of Indebtedness and Issuance of Preferred Stock,” calculated on a pro forma basis as if such designation had occurred at the beginning of the four-quarter reference period;</w:t>
      </w:r>
    </w:p>
    <w:p>
      <w:pPr>
        <w:spacing w:after="0" w:line="186" w:lineRule="exact"/>
        <w:rPr>
          <w:rFonts w:ascii="Arial" w:cs="Arial" w:eastAsia="Arial" w:hAnsi="Arial"/>
          <w:sz w:val="18"/>
          <w:szCs w:val="18"/>
          <w:color w:val="auto"/>
        </w:rPr>
      </w:pPr>
    </w:p>
    <w:p>
      <w:pPr>
        <w:ind w:right="180" w:firstLine="464"/>
        <w:spacing w:after="0" w:line="264" w:lineRule="auto"/>
        <w:tabs>
          <w:tab w:leader="none" w:pos="71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outstanding Investments owned by such Unrestricted Subsidiary will be deemed to be made as of the time of such designation and such Investments shall only be permitted if such Investments would be permitted under the covenant described above under the caption “—Certain Covenants— Restricted Payments”;</w:t>
      </w:r>
    </w:p>
    <w:p>
      <w:pPr>
        <w:spacing w:after="0" w:line="181"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Liens upon property or assets of such Unrestricted Subsidiary existing at the time of such designation would be permitted under the caption “— Certain Covenants—Liens”;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Default or Event of Default would be in existence following such designation.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Spectrum Brands or any of its Restricted Subsidiaries acquires or creates another Domestic Subsidiary on or after the Issue Date, then that newly acquired or created Domestic Subsidiary must promptly become a Guarantor and execute a supplemental indenture and deliver an opinion of counsel to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Spectrum Brands or another Guarantor unless:</w:t>
      </w:r>
    </w:p>
    <w:p>
      <w:pPr>
        <w:spacing w:after="0" w:line="211" w:lineRule="exact"/>
        <w:rPr>
          <w:sz w:val="20"/>
          <w:szCs w:val="20"/>
          <w:color w:val="auto"/>
        </w:rPr>
      </w:pPr>
    </w:p>
    <w:p>
      <w:pPr>
        <w:ind w:left="720" w:hanging="256"/>
        <w:spacing w:after="0"/>
        <w:tabs>
          <w:tab w:leader="none" w:pos="7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right="260" w:firstLine="443"/>
        <w:spacing w:after="0" w:line="264" w:lineRule="auto"/>
        <w:tabs>
          <w:tab w:leader="none" w:pos="1143"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(if other than the Guarantor) is a Person organized or existing under the laws of the United States, any state thereof or the District of Columbia and assumes all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380"/>
          </w:cols>
          <w:pgMar w:left="240" w:top="460" w:right="2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obligations of that Guarantor under the 2025 notes indenture, Note Guarantee and the Registration Rights Agreement pursuant to a supplemental indenture satisfactory to the Trustee; or</w:t>
      </w:r>
    </w:p>
    <w:p>
      <w:pPr>
        <w:spacing w:after="0" w:line="62" w:lineRule="exact"/>
        <w:rPr>
          <w:sz w:val="20"/>
          <w:szCs w:val="20"/>
          <w:color w:val="auto"/>
        </w:rPr>
      </w:pPr>
    </w:p>
    <w:p>
      <w:pPr>
        <w:ind w:left="460" w:right="220" w:firstLine="443"/>
        <w:spacing w:after="0" w:line="277" w:lineRule="auto"/>
        <w:tabs>
          <w:tab w:leader="none" w:pos="115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except in the case of Holdings, such sale or other disposition or consolidation or merger complies with the covenant described above under the caption “—Repurchase at the Option of Holders—Asset Sales.”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 Guarantee of a Guarantor (other than Holdings) will be released:</w:t>
      </w:r>
    </w:p>
    <w:p>
      <w:pPr>
        <w:spacing w:after="0" w:line="225" w:lineRule="exact"/>
        <w:rPr>
          <w:sz w:val="20"/>
          <w:szCs w:val="20"/>
          <w:color w:val="auto"/>
        </w:rPr>
      </w:pPr>
    </w:p>
    <w:p>
      <w:pPr>
        <w:ind w:firstLine="464"/>
        <w:spacing w:after="0" w:line="264" w:lineRule="auto"/>
        <w:tabs>
          <w:tab w:leader="none" w:pos="71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a Guarantor to a Person that is not (either before or after giving effect to such transaction) Spectrum Brands or a Restricted Subsidiary, if the sale of all such Capital Stock of that Guarantor does not violate the covenant described above under the caption “—Repurchase at the Option of Holders—Asset Sales”;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if Spectrum Brands designates such Guarantor as an Unrestricted Subsidiary in accordance with the provisions of the 2025 notes indenture;</w:t>
      </w:r>
    </w:p>
    <w:p>
      <w:pPr>
        <w:spacing w:after="0" w:line="236" w:lineRule="exact"/>
        <w:rPr>
          <w:rFonts w:ascii="Arial" w:cs="Arial" w:eastAsia="Arial" w:hAnsi="Arial"/>
          <w:sz w:val="17"/>
          <w:szCs w:val="17"/>
          <w:color w:val="auto"/>
        </w:rPr>
      </w:pPr>
    </w:p>
    <w:p>
      <w:pPr>
        <w:ind w:right="60" w:firstLine="464"/>
        <w:spacing w:after="0" w:line="277" w:lineRule="auto"/>
        <w:tabs>
          <w:tab w:leader="none" w:pos="71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upon legal or covenant defeasance of the 2025 notes or satisfaction and discharge of the 2025 notes indenture as provided below under the captions “—Legal Defeasance and Covenant Defeasance” and “—Satisfaction and Discharge” or;</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upon a sale of Capital Stock which causes such Guarantor to cease to be a Subsidiary if such sale does not violate any of the provisions of the 2025 notes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Guarantor is concurrently released from any other Guarantees of Indebtedness of Spectrum Brands or any of its Restricted Subsidiaries at such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So long as any 2025 notes are outstanding, Spectrum Brands will file with the U.S. Securities and Exchange Commission (“Commission”) and furnish to the Trustee and, upon request, to the Holders:</w:t>
      </w:r>
    </w:p>
    <w:p>
      <w:pPr>
        <w:spacing w:after="0" w:line="170" w:lineRule="exact"/>
        <w:rPr>
          <w:sz w:val="20"/>
          <w:szCs w:val="20"/>
          <w:color w:val="auto"/>
        </w:rPr>
      </w:pPr>
    </w:p>
    <w:p>
      <w:pPr>
        <w:ind w:left="720" w:hanging="256"/>
        <w:spacing w:after="0"/>
        <w:tabs>
          <w:tab w:leader="none" w:pos="7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within 90 days after the end of each fiscal year, an annual report on Form 10-K;</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fiscal quarters of each fiscal year, a quarterly report on Form 10-Q;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promptly from time to time after the occurrence of an event required to be therein reported pursuant to Form 8-K, a current report on Form 8-K.</w:t>
      </w:r>
    </w:p>
    <w:p>
      <w:pPr>
        <w:spacing w:after="0" w:line="24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Spectrum Brands is no longer subject to the periodic reporting requirements of the Exchange Act for any reason, Spectrum Brands will nevertheless continue filing the reports specified in the preceding paragraphs of this covenant with the Commission within the time periods specified above unless the Commission will not accept such a filing. If the Commission will not accept Spectrum Brands’ filings for any reason, Spectrum Brands will furnish the reports referred to in the preceding paragraphs to the Trustee within the time periods that would apply if Spectrum Brands were required to file those reports with the Commission. Spectrum Brands will not take any action for the purpose of causing the Commission not to accept any such filings. Any information filed with, or furnished to, the Commission via EDGAR shall be deemed to have been made available to the Trustee and the registered holders of the 2025 notes.</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Notwithstanding the foregoing, (A) if Holdings or any other direct or indirect parent of Spectrum Brands fully and unconditionally guarantees the 2025 notes, the filing of such reports by such parent within the time periods specified above will satisfy such obligations of Spectrum Brands;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reports shall include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380"/>
          </w:cols>
          <w:pgMar w:left="240" w:top="460" w:right="2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the information required by Rule 3-10 of Regulation S-X with respect to Spectrum Brands and the Guarantors and (B) if neither Spectrum Brands nor Holdings is subject to Section 13 or 15(d) of the Exchange Act, the financial statements, information and other documents required to be provided as described above, may be those of (i) Spectrum Brands or (ii) any direct or indirect parent of Spectrum Brands, so long as in the case of (ii) such direct or indirect parent of Spectrum Brands shall not conduct, transact or otherwise engage, or commit to conduct, transact or otherwise engage, in any business or operations other than its direct or indirect ownership of all of the Equity Interests in, and its management of Spectrum Brands;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financial information so furnished relates to such direct or indirect parent of Spectrum Brands, the same is accompanied by a reasonably detailed description of the quantitative differences between the information relating to such parent, on the one hand, and the information relating to the Spectrum Brands and its Restricted Subsidiaries on a standalone basis, on the other hand.</w:t>
      </w:r>
    </w:p>
    <w:p>
      <w:pPr>
        <w:spacing w:after="0" w:line="17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Spectrum Brands shall distribute such information and such reports to the Trustee, and make them available, upon request, to any Holder and to any such prospective investor or securities analyst. To the extent not satisfied by the foregoing, Spectrum Brands shall also make publicly available the information required to be available pursuant to Rule 144A(d)(4) under the Securities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Activities of Holdings</w:t>
      </w:r>
    </w:p>
    <w:p>
      <w:pPr>
        <w:spacing w:after="0" w:line="117"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Holdings shall not engage in any material activities or hold any material assets other than holding the Capital Stock of Spectrum Brands and those activities incidental thereto and will not incur any material liabilities other than liabilities relating to its Guarantee of the 2025 notes, its Guarantee of any other Indebtedness of Spectrum Brands or any of its Subsidiaries and any other obligations or liabilities incidental to its activities as a holding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225" w:lineRule="exact"/>
        <w:rPr>
          <w:sz w:val="20"/>
          <w:szCs w:val="20"/>
          <w:color w:val="auto"/>
        </w:rPr>
      </w:pPr>
    </w:p>
    <w:p>
      <w:pPr>
        <w:ind w:left="720" w:hanging="256"/>
        <w:spacing w:after="0"/>
        <w:tabs>
          <w:tab w:leader="none" w:pos="7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2025 notes;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default in payment when due (whether at maturity, upon acceleration, redemption or otherwise) of the principal of, or premium, if any, on the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right="20" w:firstLine="464"/>
        <w:spacing w:after="0" w:line="286" w:lineRule="auto"/>
        <w:tabs>
          <w:tab w:leader="none" w:pos="71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failure by Spectrum Brands or any of its Restricted Subsidiaries to comply with the provisions described under the captions “—Repurchase at the Option of Holders—Change of Control,” “—Repurchase at the Option of Holders—Asset Sales” or “—Certain Covenants—Merger, Consolidation or Sale of Assets” or the provisions described in the second paragraph under the caption “—Certain Covenants—Guarantees”;</w:t>
      </w:r>
    </w:p>
    <w:p>
      <w:pPr>
        <w:spacing w:after="0" w:line="165" w:lineRule="exact"/>
        <w:rPr>
          <w:rFonts w:ascii="Arial" w:cs="Arial" w:eastAsia="Arial" w:hAnsi="Arial"/>
          <w:sz w:val="17"/>
          <w:szCs w:val="17"/>
          <w:color w:val="auto"/>
        </w:rPr>
      </w:pPr>
    </w:p>
    <w:p>
      <w:pPr>
        <w:ind w:firstLine="464"/>
        <w:spacing w:after="0" w:line="308" w:lineRule="auto"/>
        <w:tabs>
          <w:tab w:leader="none" w:pos="71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failure by Spectrum Brands or any of its Restricted Subsidiaries for 60 days after written notice by the Trustee or Holders representing 25% or more of the aggregate principal amount of outstanding 2025 notes to comply with any of the other agreements in the 2025 notes indenture;</w:t>
      </w:r>
    </w:p>
    <w:p>
      <w:pPr>
        <w:spacing w:after="0" w:line="146" w:lineRule="exact"/>
        <w:rPr>
          <w:rFonts w:ascii="Arial" w:cs="Arial" w:eastAsia="Arial" w:hAnsi="Arial"/>
          <w:sz w:val="17"/>
          <w:szCs w:val="17"/>
          <w:color w:val="auto"/>
        </w:rPr>
      </w:pPr>
    </w:p>
    <w:p>
      <w:pPr>
        <w:ind w:right="160" w:firstLine="464"/>
        <w:spacing w:after="0" w:line="286" w:lineRule="auto"/>
        <w:tabs>
          <w:tab w:leader="none" w:pos="71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Spectrum Brands or any of its Restricted Subsidiaries (or the payment of which is Guaranteed by Spectrum Brands or any of its Restricted Subsidiaries) whether such Indebtedness or Guarantee now exists, or is created after the Issue Date, if that default:</w:t>
      </w:r>
    </w:p>
    <w:p>
      <w:pPr>
        <w:spacing w:after="0" w:line="57" w:lineRule="exact"/>
        <w:rPr>
          <w:rFonts w:ascii="Arial" w:cs="Arial" w:eastAsia="Arial" w:hAnsi="Arial"/>
          <w:sz w:val="17"/>
          <w:szCs w:val="17"/>
          <w:color w:val="auto"/>
        </w:rPr>
      </w:pPr>
    </w:p>
    <w:p>
      <w:pPr>
        <w:ind w:left="1140" w:hanging="237"/>
        <w:spacing w:after="0"/>
        <w:tabs>
          <w:tab w:leader="none" w:pos="11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is caused by a failure to make any payment of principal at the final maturity of such Indebtedness (a “Payment Default”);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380"/>
          </w:cols>
          <w:pgMar w:left="240" w:top="459" w:right="2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$75.0 million or more;</w:t>
      </w:r>
    </w:p>
    <w:p>
      <w:pPr>
        <w:spacing w:after="0" w:line="170" w:lineRule="exact"/>
        <w:rPr>
          <w:sz w:val="20"/>
          <w:szCs w:val="20"/>
          <w:color w:val="auto"/>
        </w:rPr>
      </w:pPr>
    </w:p>
    <w:p>
      <w:pPr>
        <w:ind w:right="340" w:firstLine="464"/>
        <w:spacing w:after="0" w:line="264" w:lineRule="auto"/>
        <w:tabs>
          <w:tab w:leader="none" w:pos="71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failure by Spectrum Brands or any of its Restricted Subsidiaries to pay final judgments (to the extent such judgments are not paid or covered by insurance provided by a carrier that has acknowledged coverage in writing and has the ability to perform) aggregating in excess of $75.0 million, which judgments are not paid, discharged or stayed for a period of 60 days;</w:t>
      </w:r>
    </w:p>
    <w:p>
      <w:pPr>
        <w:spacing w:after="0" w:line="181"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except as permitted by the 2025 notes indenture, any Note Guarantee shall be held in any judicial proceeding to be unenforceable or invalid or shall cease for any reason to be in full force and effect or any Guarantor, or any authorized Person acting on behalf of any Guarantor, shall deny or disaffirm its obligations under its Note Guarantee; and</w:t>
      </w:r>
    </w:p>
    <w:p>
      <w:pPr>
        <w:spacing w:after="0" w:line="181" w:lineRule="exact"/>
        <w:rPr>
          <w:rFonts w:ascii="Arial" w:cs="Arial" w:eastAsia="Arial" w:hAnsi="Arial"/>
          <w:sz w:val="18"/>
          <w:szCs w:val="18"/>
          <w:color w:val="auto"/>
        </w:rPr>
      </w:pPr>
    </w:p>
    <w:p>
      <w:pPr>
        <w:ind w:right="400" w:firstLine="464"/>
        <w:spacing w:after="0" w:line="277" w:lineRule="auto"/>
        <w:tabs>
          <w:tab w:leader="none" w:pos="71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Spectrum Brands, any Significant Subsidiary of Spectrum Brands (or any Restricted Subsidiaries that together would constitute a Significant Subsidiary).</w:t>
      </w:r>
    </w:p>
    <w:p>
      <w:pPr>
        <w:spacing w:after="0" w:line="17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the case of an Event of Default arising from certain events of bankruptcy or insolvency, with respect to Spectrum Brands, all outstanding 2025 notes will become due and payable immediately without further action or notice. If any other Event of Default occurs and is continuing, the Trustee or the Holders of at least 25% in principal amount of the then outstanding 2025 notes may declare all the 2025 notes to be due and payable immediately by notice in writing to Spectrum Brands specifying the Event of Default.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of the 2025 notes may not enforce the 2025 notes indenture or the 2025 notes except as provided in the 2025 notes indenture. Subject to certain limitations, Holders of a majority in principal amount of the then outstanding 2025 notes may direct the Trustee in its exercise of any trust or power. The Trustee may withhold from Holders of the 2025 notes notice of any Default or Event of Default (except a Default or Event of Default relating to the payment of principal or interest) if it determines that withholding notice is in their interest.</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Holders of a majority in aggregate principal amount the 2025 notes then outstanding by notice to the Trustee may on behalf of the Holders of all of the 2025 notes waive any existing Default or Event of Default and its consequences under the 2025 notes indenture except a continuing Default or Event of Default in the payment of interest on, or the principal of, the 2025 notes. The Holders of a majority in principal amount of the 2025 notes then outstanding will have the right to direct the time, method and place of conducting any proceeding for exercising any remedy available to the Trustee. However, the Trustee may refuse to follow any direction that conflicts with law or the 2025 notes indenture, that may involve the Trustee in personal liability, or that the Trustee determines in good faith may be unduly prejudicial to the rights of Holders not joining in the giving of such direction and may take any other action it deems proper that is not inconsistent with any such direction received from Holders.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Holder may not institute any proceeding, judicial or otherwise, with respect to the 2025 notes indenture or the 2025 notes, or form the appointment of a recipient or a trustee, or pursue any remedy with respect to the 2025 notes indenture or the 2025 notes unless:</w:t>
      </w:r>
    </w:p>
    <w:p>
      <w:pPr>
        <w:spacing w:after="0" w:line="170" w:lineRule="exact"/>
        <w:rPr>
          <w:sz w:val="20"/>
          <w:szCs w:val="20"/>
          <w:color w:val="auto"/>
        </w:rPr>
      </w:pPr>
    </w:p>
    <w:p>
      <w:pPr>
        <w:ind w:left="720" w:hanging="256"/>
        <w:spacing w:after="0"/>
        <w:tabs>
          <w:tab w:leader="none" w:pos="7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outstanding 2025 notes make a written request to the Trustee to pursue the remedy;</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400"/>
          </w:cols>
          <w:pgMar w:left="240" w:top="459" w:right="2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25" w:lineRule="exact"/>
        <w:rPr>
          <w:rFonts w:ascii="Arial" w:cs="Arial" w:eastAsia="Arial" w:hAnsi="Arial"/>
          <w:sz w:val="18"/>
          <w:szCs w:val="18"/>
          <w:color w:val="auto"/>
        </w:rPr>
      </w:pPr>
    </w:p>
    <w:p>
      <w:pPr>
        <w:ind w:firstLine="464"/>
        <w:spacing w:after="0" w:line="277" w:lineRule="auto"/>
        <w:tabs>
          <w:tab w:leader="none" w:pos="71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2025 notes do not give the Trustee a direction that is inconsistent with the request.</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However, such limitations do not apply to the right of any Holder of a 2025 note to receive payment of the principal of, premium, if any, or interest on, such 2025 note or to bring suit for the enforcement of any such payment, on or after the due date expressed in the 2025 notes, which right shall not be impaired or affected without the consent of the Holder.</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Spectrum Brands is required to deliver to the Trustee annually within 120 days after the end of each fiscal year a statement regarding compliance with the 2025 notes indenture. Upon becoming aware of any Default or Event of Default, Spectrum Brands is required to deliver to the Trustee a statement specifying such Default or Event of Default.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director, officer, employee, incorporator, stockholder or controlling person of Spectrum Brands or any Guarantor, as such, shall have any liability for any obligations of Spectrum Brands or the Guarantors under the 2025 notes, the 2025 notes indenture, the Note Guarantees, or for any claim based on, in respect of, or by reason of, such obligations or their creation. Each Holder of 2025 notes by accepting a 2025 note waives and releases all such liability. The waiver and release are part of the consideration for issuance of the 2025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2025 notes indenture will be discharged and will cease to be of further effect as to all 2025 notes issued thereunder, when:</w:t>
      </w:r>
    </w:p>
    <w:p>
      <w:pPr>
        <w:spacing w:after="0" w:line="117" w:lineRule="exact"/>
        <w:rPr>
          <w:sz w:val="20"/>
          <w:szCs w:val="20"/>
          <w:color w:val="auto"/>
        </w:rPr>
      </w:pPr>
    </w:p>
    <w:p>
      <w:pPr>
        <w:ind w:left="720" w:hanging="256"/>
        <w:spacing w:after="0"/>
        <w:tabs>
          <w:tab w:leader="none" w:pos="7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right="300" w:firstLine="443"/>
        <w:spacing w:after="0" w:line="264" w:lineRule="auto"/>
        <w:tabs>
          <w:tab w:leader="none" w:pos="1143"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all 2025 notes that have been authenticated (except lost, stolen or destroyed 2025 notes that have been replaced or paid and 2025 notes for whose payment money has theretofore been deposited in trust and thereafter repaid to Spectrum Brands) have been delivered to the Trustee for cancellation; or</w:t>
      </w:r>
    </w:p>
    <w:p>
      <w:pPr>
        <w:spacing w:after="0" w:line="73" w:lineRule="exact"/>
        <w:rPr>
          <w:rFonts w:ascii="Arial" w:cs="Arial" w:eastAsia="Arial" w:hAnsi="Arial"/>
          <w:sz w:val="18"/>
          <w:szCs w:val="18"/>
          <w:color w:val="auto"/>
        </w:rPr>
      </w:pPr>
    </w:p>
    <w:p>
      <w:pPr>
        <w:ind w:left="460" w:firstLine="443"/>
        <w:spacing w:after="0" w:line="255" w:lineRule="auto"/>
        <w:tabs>
          <w:tab w:leader="none" w:pos="1153"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all 2025 notes that have not been delivered to the Trustee for cancellation have become due and payable by reason of the making of a notice of redemption or otherwise or will become due and payable within one year and Spectrum Brands or any Guarantor has irrevocably deposited or caused to be deposited with the Trustee as trust funds in trust solely for the benefit of the Holders, cash in U.S. dollars, non-callable Government Securities, or a combination thereof, in such amounts, as determined by Spectrum Brands, as will be sufficient without consideration of any reinvestment of interest, to pay and discharge the entire Indebtedness on the 2025 notes not delivered to the Trustee for cancellation for principal, premium, if any, and accrued interest to the date of maturity or redemption;</w:t>
      </w:r>
    </w:p>
    <w:p>
      <w:pPr>
        <w:spacing w:after="0" w:line="193" w:lineRule="exact"/>
        <w:rPr>
          <w:rFonts w:ascii="Arial" w:cs="Arial" w:eastAsia="Arial" w:hAnsi="Arial"/>
          <w:sz w:val="18"/>
          <w:szCs w:val="18"/>
          <w:color w:val="auto"/>
        </w:rPr>
      </w:pPr>
    </w:p>
    <w:p>
      <w:pPr>
        <w:ind w:right="80" w:firstLine="464"/>
        <w:spacing w:after="0" w:line="259" w:lineRule="auto"/>
        <w:tabs>
          <w:tab w:leader="none" w:pos="71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(other than from the borrowing of funds to be applied to such deposit) and such deposit will not result in a breach or violation of, or constitute a default under, any other instrument (other than the 2025 notes indenture) to which Spectrum Brands or any Guarantor is a party or by which Spectrum Brands or any Guarantor is bound;</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Spectrum Brands or any Guarantor has paid or caused to be paid all sums payable by it under the 2025 notes indenture;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64"/>
        <w:spacing w:after="0" w:line="277" w:lineRule="auto"/>
        <w:tabs>
          <w:tab w:leader="none" w:pos="71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Spectrum Brands has delivered irrevocable instructions to the Trustee under the 2025 notes indenture to apply the deposited money toward the payment of the 2025 notes at maturity or the redemption date, as the case may be.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case of satisfaction and discharge, upon any redemption that requires the payment of the Applicable Premium, the amount deposited with the trustee shall be sufficient for purposes of clause (1) above and the 2025 notes indenture to the extent that an amount is deposited with the trustee equal to the Applicable Premium calculated as of the date of such deposit, with any deficit as of the date of redemption (any such amount, the “Applicable Premium Deficit”)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9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addition, Spectrum Brands must deliver an officer’s certificate and an opinion of counsel to the Trustee stating that all conditions precedent to satisfaction and discharge have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Spectrum Brands may, at its option and at any time, elect to have all of its obligations discharged with respect to the outstanding 2025 notes (“Legal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Defeasance”) except for:</w:t>
      </w:r>
    </w:p>
    <w:p>
      <w:pPr>
        <w:spacing w:after="0" w:line="211" w:lineRule="exact"/>
        <w:rPr>
          <w:sz w:val="20"/>
          <w:szCs w:val="20"/>
          <w:color w:val="auto"/>
        </w:rPr>
      </w:pPr>
    </w:p>
    <w:p>
      <w:pPr>
        <w:ind w:right="20" w:firstLine="464"/>
        <w:spacing w:after="0" w:line="277" w:lineRule="auto"/>
        <w:tabs>
          <w:tab w:leader="none" w:pos="71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rights of Holders of outstanding 2025 notes to receive payments in respect of the principal of, or interest or premium, if any, on such 2025 notes when such payments are due from the trust referred to below;</w:t>
      </w:r>
    </w:p>
    <w:p>
      <w:pPr>
        <w:spacing w:after="0" w:line="170" w:lineRule="exact"/>
        <w:rPr>
          <w:rFonts w:ascii="Arial" w:cs="Arial" w:eastAsia="Arial" w:hAnsi="Arial"/>
          <w:sz w:val="18"/>
          <w:szCs w:val="18"/>
          <w:color w:val="auto"/>
        </w:rPr>
      </w:pPr>
    </w:p>
    <w:p>
      <w:pPr>
        <w:ind w:right="540" w:firstLine="464"/>
        <w:spacing w:after="0" w:line="342" w:lineRule="auto"/>
        <w:tabs>
          <w:tab w:leader="none" w:pos="711"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Spectrum Brands’ obligations with respect to the 2025 notes concerning issuing temporary 2025 notes, registration of 2025 notes, mutilated, destroyed, lost or stolen 2025 notes and the maintenance of an office or agency for payment and money for security payments held in trust;</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Spectrum Brands’ and the Guarantor’s obligations in connection therewith; and</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Legal Defeasance provisions of the 2025 notes indenture.</w:t>
      </w:r>
    </w:p>
    <w:p>
      <w:pPr>
        <w:spacing w:after="0" w:line="225"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In addition, Spectrum Brands may, at its option and at any time, elect to have the obligations of Spectrum Brands and the Guarantors released with respect to most covenants that are described in the 2025 notes indenture (“Covenant Defeasance”) and thereafter any omission to comply with those covenants shall not constitute a Default or Event of Default with respect to the 2025 notes. In the event Covenant Defeasance occurs, certain events (not including non-payment, bankruptcy, receivership, rehabilitation and insolvency events) described under “Events of Default and Remedies” will no longer constitute Events of Default with respect the 2025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firstLine="464"/>
        <w:spacing w:after="0" w:line="255" w:lineRule="auto"/>
        <w:tabs>
          <w:tab w:leader="none" w:pos="71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Spectrum Brands must irrevocably deposit with the Trustee, in trust, for the benefit of the Holders of the 2025 notes, cash in U.S. dollars, non-callable Government Securities, or a combination thereof, in such amounts as will be sufficient, in the opinion of a nationally recognized firm of independent public accountants (or, if two or more nationally recognized firms of independent public accountants decline to issue such opinion as a matter of policy, in the opinion of Spectrum Brands’ chief financial officer) to pay the principal of, or interest and premium, if any, on the outstanding 2025 notes on the stated maturity or on the applicable redemption date, as the case may be, and Spectrum Brands must specify whether the 2025 notes are being defeased to maturity or to a particular redemption date;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380"/>
          </w:cols>
          <w:pgMar w:left="240" w:top="460" w:right="2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55" w:lineRule="auto"/>
        <w:tabs>
          <w:tab w:leader="none" w:pos="71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the case of Legal Defeasance, Spectrum Brands shall have delivered to the Trustee an opinion of counsel reasonably acceptable to the Trustee confirming that (a) Spectrum Brands has received from, or there has been published by, the Internal Revenue Service a ruling or (b) since the Issue Date, there has been a change in the applicable federal income tax law, in either case to the effect that, and based thereon such opinion of counsel shall confirm that, the Holders of the outstanding 2025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93" w:lineRule="exact"/>
        <w:rPr>
          <w:rFonts w:ascii="Arial" w:cs="Arial" w:eastAsia="Arial" w:hAnsi="Arial"/>
          <w:sz w:val="18"/>
          <w:szCs w:val="18"/>
          <w:color w:val="auto"/>
        </w:rPr>
      </w:pPr>
    </w:p>
    <w:p>
      <w:pPr>
        <w:jc w:val="both"/>
        <w:ind w:firstLine="464"/>
        <w:spacing w:after="0" w:line="259" w:lineRule="auto"/>
        <w:tabs>
          <w:tab w:leader="none" w:pos="71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the case of Covenant Defeasance, Spectrum Brands shall have delivered to the Trustee an opinion of counsel reasonably acceptable to the Trustee confirming that the Holders of the outstanding 2025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resulting from the borrowing of funds to be applied to such deposit;</w:t>
      </w:r>
    </w:p>
    <w:p>
      <w:pPr>
        <w:spacing w:after="0" w:line="170" w:lineRule="exact"/>
        <w:rPr>
          <w:rFonts w:ascii="Arial" w:cs="Arial" w:eastAsia="Arial" w:hAnsi="Arial"/>
          <w:sz w:val="18"/>
          <w:szCs w:val="18"/>
          <w:color w:val="auto"/>
        </w:rPr>
      </w:pPr>
    </w:p>
    <w:p>
      <w:pPr>
        <w:ind w:right="240" w:firstLine="464"/>
        <w:spacing w:after="0" w:line="342" w:lineRule="auto"/>
        <w:tabs>
          <w:tab w:leader="none" w:pos="711" w:val="left"/>
        </w:tabs>
        <w:numPr>
          <w:ilvl w:val="0"/>
          <w:numId w:val="322"/>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to which Spectrum Brands or any of its Subsidiaries is a party or by which Spectrum Brands or any of its Subsidiaries is bound;</w:t>
      </w:r>
    </w:p>
    <w:p>
      <w:pPr>
        <w:spacing w:after="0" w:line="123" w:lineRule="exact"/>
        <w:rPr>
          <w:rFonts w:ascii="Arial" w:cs="Arial" w:eastAsia="Arial" w:hAnsi="Arial"/>
          <w:sz w:val="16"/>
          <w:szCs w:val="16"/>
          <w:color w:val="auto"/>
        </w:rPr>
      </w:pPr>
    </w:p>
    <w:p>
      <w:pPr>
        <w:ind w:right="220" w:firstLine="464"/>
        <w:spacing w:after="0" w:line="264" w:lineRule="auto"/>
        <w:tabs>
          <w:tab w:leader="none" w:pos="71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Spectrum Brands must deliver to the Trustee an officer’s certificate stating that the deposit was not made by Spectrum Brands with the intent of preferring the Holders of 2025 notes over the other creditors of Spectrum Brands with the intent of defeating, hindering, delaying or defrauding creditors of Spectrum Brands or others;</w:t>
      </w:r>
    </w:p>
    <w:p>
      <w:pPr>
        <w:spacing w:after="0" w:line="181"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if the 2025 notes are to be redeemed prior to their stated maturity, Spectrum Brands must deliver to the Trustee irrevocable instructions to redeem all of the 2025 notes on the specified redemption date; and</w:t>
      </w:r>
    </w:p>
    <w:p>
      <w:pPr>
        <w:spacing w:after="0" w:line="170"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Spectrum Brands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 the case of defeasance, upon any redemption that requires the payment of the Applicable Premium, the amount deposited with the trustee shall be sufficient for purposes of clause (1) above and the 2025 notes indenture to the extent that an amount is deposited with the trustee equal to the Applicable Premium calculated as of the date of such deposit, with the Applicable Premium Deficit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legal or covenant defeasance, all Guarantees and Liens will be released.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Except as provided in the next succeeding paragraphs, the 2025 notes indenture, the 2025 notes or the Guarantees may be amended or supplemented with the consent of the Holders of at least a majority in aggregate principal amount of the 2025 notes then outstanding (including, without limitation, consents obtained in connection with a purchase of, or tender offer or exchange offer for, 2025 notes), and any existing Default or Event of Default or compliance with any provision of the 2025 notes indenture, the 2025 notes or the Guarantees may be waived with the consent of the Holders of a majority in aggregate principal amount of the then outstanding 2025 notes (including, without limitation, consents obtained in connection with a purchase of, or tender offer or exchange offer for, 2025 notes).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Without the consent of each Holder of 2025 notes affected, an amendment, supplement or waiver may not (with respect to any 2025 notes held by a non-consenting Holder):</w:t>
      </w:r>
    </w:p>
    <w:p>
      <w:pPr>
        <w:spacing w:after="0" w:line="170" w:lineRule="exact"/>
        <w:rPr>
          <w:sz w:val="20"/>
          <w:szCs w:val="20"/>
          <w:color w:val="auto"/>
        </w:rPr>
      </w:pPr>
    </w:p>
    <w:p>
      <w:pPr>
        <w:ind w:left="720" w:hanging="256"/>
        <w:spacing w:after="0"/>
        <w:tabs>
          <w:tab w:leader="none" w:pos="7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reduce the principal amount of the 2025 notes whose Holders must consent to an amendment, supplement or waiver;</w:t>
      </w:r>
    </w:p>
    <w:p>
      <w:pPr>
        <w:spacing w:after="0" w:line="225"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2025 note or alter the provisions, or waive any payment, with respect to the redemption of the 2025 notes (other than the notice period with respect to the redemption of the 2025 notes);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2025 notes;</w:t>
      </w:r>
    </w:p>
    <w:p>
      <w:pPr>
        <w:spacing w:after="0" w:line="225" w:lineRule="exact"/>
        <w:rPr>
          <w:rFonts w:ascii="Arial" w:cs="Arial" w:eastAsia="Arial" w:hAnsi="Arial"/>
          <w:sz w:val="18"/>
          <w:szCs w:val="18"/>
          <w:color w:val="auto"/>
        </w:rPr>
      </w:pPr>
    </w:p>
    <w:p>
      <w:pPr>
        <w:ind w:right="480" w:firstLine="464"/>
        <w:spacing w:after="0" w:line="264" w:lineRule="auto"/>
        <w:tabs>
          <w:tab w:leader="none" w:pos="71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2025 notes (except a rescission of acceleration of the 2025 notes by the Holders of at least a majority in aggregate principal amount of the then outstanding 2025 notes and a waiver of the payment default that resulted from such acceleration);</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make any 2025 note payable in money other than U.S. dollars;</w:t>
      </w:r>
    </w:p>
    <w:p>
      <w:pPr>
        <w:spacing w:after="0" w:line="225"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make any change in the provisions of the 2025 notes indenture relating to waivers of past Defaults or the rights of Holders of 2025 notes to receive payments of principal of, or interest or premium, if any, on the 2025 notes;</w:t>
      </w:r>
    </w:p>
    <w:p>
      <w:pPr>
        <w:spacing w:after="0" w:line="170"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2025 notes Guarantee or the 2025 notes indenture, except in accordance with the terms of the 2025 notes indenture;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the 2025 notes or the Note Guarantees;</w:t>
      </w:r>
    </w:p>
    <w:p>
      <w:pPr>
        <w:spacing w:after="0" w:line="225" w:lineRule="exact"/>
        <w:rPr>
          <w:rFonts w:ascii="Arial" w:cs="Arial" w:eastAsia="Arial" w:hAnsi="Arial"/>
          <w:sz w:val="18"/>
          <w:szCs w:val="18"/>
          <w:color w:val="auto"/>
        </w:rPr>
      </w:pPr>
    </w:p>
    <w:p>
      <w:pPr>
        <w:ind w:firstLine="464"/>
        <w:spacing w:after="0" w:line="257" w:lineRule="auto"/>
        <w:tabs>
          <w:tab w:leader="none" w:pos="71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amend, change or modify the obligation of Spectrum Brands to make and consummate an Asset Sale Offer with respect to any Asset Sale in accordance with the “Repurchase at the Option of Holders—Asset Sales” covenant after the obligation to make such Asset Sale Offer has arisen, or the obligation of Spectrum Brands to make and consummate a Change of Control Offer in the event of a Change of Control in accordance with the “Repurchase at the Option of Holders—Change of Control” covenant after such Change of Control has occurred, including, in each case, amending, changing or modifying any definition relating thereto;</w:t>
      </w:r>
    </w:p>
    <w:p>
      <w:pPr>
        <w:spacing w:after="0" w:line="188" w:lineRule="exact"/>
        <w:rPr>
          <w:rFonts w:ascii="Arial" w:cs="Arial" w:eastAsia="Arial" w:hAnsi="Arial"/>
          <w:sz w:val="18"/>
          <w:szCs w:val="18"/>
          <w:color w:val="auto"/>
        </w:rPr>
      </w:pPr>
    </w:p>
    <w:p>
      <w:pPr>
        <w:ind w:right="160" w:firstLine="464"/>
        <w:spacing w:after="0" w:line="277" w:lineRule="auto"/>
        <w:tabs>
          <w:tab w:leader="none" w:pos="80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except as otherwise permitted under the “Merger, Consolidation and Sale of Assets” covenant, consent to the assignment or transfer by Spectrum Brands of any of its rights or obligations under the 2025 notes indenture; or</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Notwithstanding the preceding, without the consent of any Holder of the 2025 notes, Spectrum Brands, the Guarantors and the Trustee may amend or supplement the 2025 notes indenture, the 2025 notes or the Guarantees:</w:t>
      </w:r>
    </w:p>
    <w:p>
      <w:pPr>
        <w:spacing w:after="0" w:line="170" w:lineRule="exact"/>
        <w:rPr>
          <w:sz w:val="20"/>
          <w:szCs w:val="20"/>
          <w:color w:val="auto"/>
        </w:rPr>
      </w:pPr>
    </w:p>
    <w:p>
      <w:pPr>
        <w:ind w:left="720" w:hanging="256"/>
        <w:spacing w:after="0"/>
        <w:tabs>
          <w:tab w:leader="none" w:pos="7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provide for uncertificated 2025 notes in addition or in place of certificated 2025 notes;</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provide for the assumption of Spectrum Brands’ or any Guarantor’s obligations to Holders of 2025 notes in the case of a merger or consolidation or sale of all or substantially all of Spectrum Brands’ or such Guarantor’s assets;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64"/>
        <w:spacing w:after="0" w:line="277" w:lineRule="auto"/>
        <w:tabs>
          <w:tab w:leader="none" w:pos="71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2025 notes indenture of any such Holder;</w:t>
      </w:r>
    </w:p>
    <w:p>
      <w:pPr>
        <w:spacing w:after="0" w:line="170" w:lineRule="exact"/>
        <w:rPr>
          <w:rFonts w:ascii="Arial" w:cs="Arial" w:eastAsia="Arial" w:hAnsi="Arial"/>
          <w:sz w:val="18"/>
          <w:szCs w:val="18"/>
          <w:color w:val="auto"/>
        </w:rPr>
      </w:pPr>
    </w:p>
    <w:p>
      <w:pPr>
        <w:ind w:right="680" w:firstLine="464"/>
        <w:spacing w:after="0" w:line="277" w:lineRule="auto"/>
        <w:tabs>
          <w:tab w:leader="none" w:pos="71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comply with requirements of the Commission in order to effect or maintain the qualification of the 2025 notes indenture under the Trust Indenture Act;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comply with the provision described under “Certain Covenants—Guarantees”;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2025 notes indenture;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conform any provision to this “Description of 2025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Trustee becomes a creditor of Spectrum Brands or any Guarantor, the 2025 notes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2025 notes indenture provides that in case an Event of Default shall occur and be continuing, the Trustee will be required, in the exercise of its power, to use the degree of care of a prudent person in the conduct of such person’s own affairs. Subject to such provisions, the Trustee will be under no obligation to exercise any of its rights or powers under the 2025 notes indenture at the request of any Holder of the 2025 notes, unless such Holder shall have offered to the Trustee security and indemnity satisfactory to it against any loss, liability or expense.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Set forth below are certain defined terms used in the 2025 notes indenture. Reference is made to the 2025 notes indenture for a full disclosure of all such terms, as well as any other capitalized terms used herein for which no definition is provided.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“AAG Acquisition” means the acquisition of all of the equity interests of the Armored AutoGroup Parent Inc. pursuant to the AAG Merger Agreement.</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“AAG Merger Agreement” means the Agreement and Plan of Merger by and among Armored AutoGroup Parent Inc., Spectrum Brands Holdings, Inc., Ignite Merger Sub, Inc. and, solely in its capacity as representative, Avista Capital Partners II GP, LLC, dated as of April 28, 2015, in relation to the AAG Acquisition and as amended from time to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Debt” means, with respect to any specified Person:</w:t>
      </w:r>
    </w:p>
    <w:p>
      <w:pPr>
        <w:spacing w:after="0" w:line="225" w:lineRule="exact"/>
        <w:rPr>
          <w:sz w:val="20"/>
          <w:szCs w:val="20"/>
          <w:color w:val="auto"/>
        </w:rPr>
      </w:pPr>
    </w:p>
    <w:p>
      <w:pPr>
        <w:ind w:firstLine="464"/>
        <w:spacing w:after="0" w:line="264" w:lineRule="auto"/>
        <w:tabs>
          <w:tab w:leader="none" w:pos="71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becomes a Subsidiary of, such specified Person, whether or not such Indebtedness is incurred in connection with, or in contemplation of, such other Person merging with or into, or becoming a Subsidiary of, such specified Person; and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380"/>
          </w:cols>
          <w:pgMar w:left="240" w:top="459" w:right="2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Acquired Debt will be deemed to have been incurred, with respect to clause (1) of the preceding sentence, on the date such Person becomes a Restricted Subsidiary and, with respect to clause (2) of the preceding sentence, on the date of consummation of such acquisition of such assets.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Paula Grundstücksverwaltungsgesellschaft mbH &amp; Co. Vermietungs-KG, Mannheim shall not be deemed an Affiliate of Spectrum Brands or any of its Restricted Subsidiaries solely by virtue of the beneficial ownership by Spectrum Brands or its Restricted Subsidiaries of up to 20% of the Voting Stock of such entity.</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“Applicable Premium” means, with respect to any 2025 note on any redemption date, the greater of 1.0% of the principal amount of such 2025 note; or the excess of:</w:t>
      </w:r>
    </w:p>
    <w:p>
      <w:pPr>
        <w:spacing w:after="0" w:line="170" w:lineRule="exact"/>
        <w:rPr>
          <w:sz w:val="20"/>
          <w:szCs w:val="20"/>
          <w:color w:val="auto"/>
        </w:rPr>
      </w:pPr>
    </w:p>
    <w:p>
      <w:pPr>
        <w:ind w:right="20" w:firstLine="464"/>
        <w:spacing w:after="0" w:line="259" w:lineRule="auto"/>
        <w:tabs>
          <w:tab w:leader="none" w:pos="70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such 2025 note at July 15, 2020 (such redemption price being set forth in the table appearing above under “—Optional Redemption”), plus (ii) all required interest payments due on such 2025 note through July 15, 2020 excluding accrued but unpaid interest to the applicable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principal amount of such 2025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 Sale” means:</w:t>
      </w:r>
    </w:p>
    <w:p>
      <w:pPr>
        <w:spacing w:after="0" w:line="225" w:lineRule="exact"/>
        <w:rPr>
          <w:sz w:val="20"/>
          <w:szCs w:val="20"/>
          <w:color w:val="auto"/>
        </w:rPr>
      </w:pPr>
    </w:p>
    <w:p>
      <w:pPr>
        <w:ind w:right="20" w:firstLine="464"/>
        <w:spacing w:after="0" w:line="257" w:lineRule="auto"/>
        <w:tabs>
          <w:tab w:leader="none" w:pos="71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property or assets of Spectrum Brands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sale, conveyance or other disposition of all or substantially all of the assets of Spectrum Brands and its Restricted Subsidiaries taken as a whole will be governed by the provisions of the 2025 notes indenture described above under the caption “—Repurchase at the Option of Holders—Change of Control” and/or the provisions described above under the caption “—Certain Covenants—Merger, Consolidation or Sale of Assets” and not by the provisions described under “— Repurchase at the Option of Holders—Asset Sale”; and</w:t>
      </w:r>
    </w:p>
    <w:p>
      <w:pPr>
        <w:spacing w:after="0" w:line="188"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issuance of Equity Interests (other than directors’ qualifying shares) by any of Spectrum Brands’ Restricted Subsidiaries or the sale by Spectrum Brands or any Restricted Subsidiary of Equity Interests (other than directors’ qualifying shares) in any of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the following items shall be deemed not to be Asset Sales:</w:t>
      </w:r>
    </w:p>
    <w:p>
      <w:pPr>
        <w:spacing w:after="0" w:line="225" w:lineRule="exact"/>
        <w:rPr>
          <w:sz w:val="20"/>
          <w:szCs w:val="20"/>
          <w:color w:val="auto"/>
        </w:rPr>
      </w:pPr>
    </w:p>
    <w:p>
      <w:pPr>
        <w:ind w:left="720" w:hanging="256"/>
        <w:spacing w:after="0"/>
        <w:tabs>
          <w:tab w:leader="none" w:pos="7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$50.0 million;</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transfer of assets between or among Spectrum Brands and its Restricted Subsidiaries;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Spectrum Brands or to another Restricted Subsidiary;</w:t>
      </w:r>
    </w:p>
    <w:p>
      <w:pPr>
        <w:spacing w:after="0" w:line="225"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sale, lease, assignment or other disposition of equipment, inventory, accounts receivable or other assets in the ordinary course of business or consistent with past business practice and any other non-recourse factoring of accounts receivable pursuant to a factoring program sponsored by a retailer of national standing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partnership with a financial institution or otherwise entered into by Spectrum Brands or any of its subsidiaries with a financial institution;</w:t>
      </w:r>
    </w:p>
    <w:p>
      <w:pPr>
        <w:spacing w:after="0" w:line="225" w:lineRule="exact"/>
        <w:rPr>
          <w:sz w:val="20"/>
          <w:szCs w:val="20"/>
          <w:color w:val="auto"/>
        </w:rPr>
      </w:pPr>
    </w:p>
    <w:p>
      <w:pPr>
        <w:ind w:left="720" w:hanging="256"/>
        <w:spacing w:after="0"/>
        <w:tabs>
          <w:tab w:leader="none" w:pos="7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sale or other disposition of Cash Equivalents;</w:t>
      </w:r>
    </w:p>
    <w:p>
      <w:pPr>
        <w:spacing w:after="0" w:line="225" w:lineRule="exact"/>
        <w:rPr>
          <w:rFonts w:ascii="Arial" w:cs="Arial" w:eastAsia="Arial" w:hAnsi="Arial"/>
          <w:sz w:val="18"/>
          <w:szCs w:val="18"/>
          <w:color w:val="auto"/>
        </w:rPr>
      </w:pPr>
    </w:p>
    <w:p>
      <w:pPr>
        <w:ind w:right="640" w:firstLine="464"/>
        <w:spacing w:after="0" w:line="277" w:lineRule="auto"/>
        <w:tabs>
          <w:tab w:leader="none" w:pos="71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Permitted Investment or Restricted Payment that is permitted by the covenant described above under the caption “—Certain Covenants— Restricted Payments”;</w:t>
      </w:r>
    </w:p>
    <w:p>
      <w:pPr>
        <w:spacing w:after="0" w:line="170" w:lineRule="exact"/>
        <w:rPr>
          <w:rFonts w:ascii="Arial" w:cs="Arial" w:eastAsia="Arial" w:hAnsi="Arial"/>
          <w:sz w:val="18"/>
          <w:szCs w:val="18"/>
          <w:color w:val="auto"/>
        </w:rPr>
      </w:pPr>
    </w:p>
    <w:p>
      <w:pPr>
        <w:ind w:right="360" w:firstLine="464"/>
        <w:spacing w:after="0" w:line="277" w:lineRule="auto"/>
        <w:tabs>
          <w:tab w:leader="none" w:pos="71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sale or disposition of any property or equipment that has become damaged, worn out, obsolete or otherwise unsuitable or no longer used or required for use in the ordinary course of the business of Spectrum Brands or its Restricted Subsidiaries;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licensing of intellectual property in the ordinary course of business;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sale or other disposition deemed to occur with creating or granting a Lien not otherwise prohibited by the 2025 notes indenture;</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any surrender or waiver of contract rights pursuant to a settlement, release, recovery on or surrender of contract, tort or other claims of any kind;</w:t>
      </w:r>
    </w:p>
    <w:p>
      <w:pPr>
        <w:spacing w:after="0" w:line="248" w:lineRule="exact"/>
        <w:rPr>
          <w:rFonts w:ascii="Arial" w:cs="Arial" w:eastAsia="Arial" w:hAnsi="Arial"/>
          <w:sz w:val="16"/>
          <w:szCs w:val="16"/>
          <w:color w:val="auto"/>
        </w:rPr>
      </w:pPr>
    </w:p>
    <w:p>
      <w:pPr>
        <w:ind w:right="560" w:firstLine="464"/>
        <w:spacing w:after="0" w:line="277" w:lineRule="auto"/>
        <w:tabs>
          <w:tab w:leader="none" w:pos="79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foreclosure or any similar action with respect to any property or other asset of Spectrum Brands or any of its Restricted Subsidiaries, which foreclosure or other similar action does not otherwise constitute a Default;</w:t>
      </w:r>
    </w:p>
    <w:p>
      <w:pPr>
        <w:spacing w:after="0" w:line="170" w:lineRule="exact"/>
        <w:rPr>
          <w:rFonts w:ascii="Arial" w:cs="Arial" w:eastAsia="Arial" w:hAnsi="Arial"/>
          <w:sz w:val="18"/>
          <w:szCs w:val="18"/>
          <w:color w:val="auto"/>
        </w:rPr>
      </w:pPr>
    </w:p>
    <w:p>
      <w:pPr>
        <w:ind w:right="120" w:firstLine="464"/>
        <w:spacing w:after="0" w:line="277" w:lineRule="auto"/>
        <w:tabs>
          <w:tab w:leader="none" w:pos="80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Internal Revenue Code of 1986, any exchange of like property (excluding any boot thereon) for use in a Permitted Business; and</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unwinding of any Hedging Obligation.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purposes of this definition, any series of related transactions that, if effected as a single transaction, would constitute an Asset Sale, shall be deemed to be a single Asset Sale effected when the last such transaction which is a part thereof is effected.</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“Beneficial Owner”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shall have a corresponding meaning.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w:t>
      </w:r>
    </w:p>
    <w:p>
      <w:pPr>
        <w:spacing w:after="0" w:line="225" w:lineRule="exact"/>
        <w:rPr>
          <w:sz w:val="20"/>
          <w:szCs w:val="20"/>
          <w:color w:val="auto"/>
        </w:rPr>
      </w:pPr>
    </w:p>
    <w:p>
      <w:pPr>
        <w:ind w:right="360" w:firstLine="464"/>
        <w:spacing w:after="0" w:line="277" w:lineRule="auto"/>
        <w:tabs>
          <w:tab w:leader="none" w:pos="71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direct or indirect parent company of such corporation, or any duly authorized committee thereof having the authority of the full board with respect to the determination to be made;</w:t>
      </w:r>
    </w:p>
    <w:p>
      <w:pPr>
        <w:spacing w:after="0" w:line="170"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with respect to a limited liability company, any managing member thereof or, if managed by managers, the board of managers thereof, or any duly authorized committee thereof having the authority of the full board with respect to the determination to be made;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with respect to any other Person, the board or committee of such Person or any direct or indirect parent company of such Person serving a similar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function.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 Base” means the sum of (A) 80% of the net book value of accounts receivable of Spectrum Brands and its Restricted Subsidiaries and</w:t>
      </w:r>
    </w:p>
    <w:p>
      <w:pPr>
        <w:spacing w:after="0" w:line="35" w:lineRule="exact"/>
        <w:rPr>
          <w:sz w:val="20"/>
          <w:szCs w:val="20"/>
          <w:color w:val="auto"/>
        </w:rPr>
      </w:pPr>
    </w:p>
    <w:p>
      <w:pPr>
        <w:ind w:firstLine="8"/>
        <w:spacing w:after="0" w:line="273" w:lineRule="auto"/>
        <w:tabs>
          <w:tab w:leader="none" w:pos="28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60% of the net book value of inventory of Spectrum Brands and its Restricted Subsidiaries (with accounts receivable and inventory calculated on the basis that all Investments, acquisitions, dispositions, mergers, consolidations and disposed operations that have been made by the Company and its Restricted Subsidiaries prior to or substantially contemporaneous with the date of any calculation shall be included or excluded, as the case may be, on a pro forma basis with such calculations made in good faith by a responsible financial or accounting officer of the Company).</w:t>
      </w:r>
    </w:p>
    <w:p>
      <w:pPr>
        <w:spacing w:after="0" w:line="17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means:</w:t>
      </w:r>
    </w:p>
    <w:p>
      <w:pPr>
        <w:spacing w:after="0" w:line="225" w:lineRule="exact"/>
        <w:rPr>
          <w:sz w:val="20"/>
          <w:szCs w:val="20"/>
          <w:color w:val="auto"/>
        </w:rPr>
      </w:pPr>
    </w:p>
    <w:p>
      <w:pPr>
        <w:ind w:left="720" w:hanging="256"/>
        <w:spacing w:after="0"/>
        <w:tabs>
          <w:tab w:leader="none" w:pos="7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right="500" w:firstLine="464"/>
        <w:spacing w:after="0" w:line="277" w:lineRule="auto"/>
        <w:tabs>
          <w:tab w:leader="none" w:pos="71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225"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Equivalents” means (a) United States dollars, Euros, British Pounds Sterling or any other currencies received in the ordinary course of business;</w:t>
      </w:r>
    </w:p>
    <w:p>
      <w:pPr>
        <w:spacing w:after="0" w:line="46" w:lineRule="exact"/>
        <w:rPr>
          <w:sz w:val="20"/>
          <w:szCs w:val="20"/>
          <w:color w:val="auto"/>
        </w:rPr>
      </w:pPr>
    </w:p>
    <w:p>
      <w:pPr>
        <w:ind w:right="240" w:firstLine="8"/>
        <w:spacing w:after="0" w:line="281" w:lineRule="auto"/>
        <w:tabs>
          <w:tab w:leader="none" w:pos="25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securities issued or directly and fully guaranteed or insured by the United States government or any agency or instrumentality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is pledged in support thereof) having maturities of not more than one year from the date of acquisition; (c) time deposits, certificates of deposit and eurodollar time deposits with maturities of one year or less from the date of acquisition, bankers’ acceptances with maturities not exceeding one year and overnight bank deposits, in each case, with any bank or trust company organized or licensed under the laws of the United States or any state thereof or the District of Columbia whose short-term debt is rated “A-2” or higher by S&amp;P or “P-2” or higher by Moody’s;</w:t>
      </w:r>
    </w:p>
    <w:p>
      <w:pPr>
        <w:spacing w:after="0" w:line="3" w:lineRule="exact"/>
        <w:rPr>
          <w:rFonts w:ascii="Arial" w:cs="Arial" w:eastAsia="Arial" w:hAnsi="Arial"/>
          <w:sz w:val="16"/>
          <w:szCs w:val="16"/>
          <w:color w:val="auto"/>
        </w:rPr>
      </w:pPr>
    </w:p>
    <w:p>
      <w:pPr>
        <w:ind w:right="20" w:firstLine="8"/>
        <w:spacing w:after="0" w:line="288" w:lineRule="auto"/>
        <w:tabs>
          <w:tab w:leader="none" w:pos="25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seven days for underlying securities of the types described in clauses (b) and (c) above entered into with any financial institution meeting the qualifications specified in clause (c) above; (e) commercial paper having at least a “P-1” rating from Moody’s or “A-1” from S&amp;P and in each case maturing within nine months after the date of acquisition; (f) marketable direct obligations issued by any state of the United States of America or any political subdivision of any such state or any public instrumentality thereof having the highest ratings obtainable from Moody’s or S&amp;P and maturing within six months from the date of acquisition thereof; (g) money market funds at least 95% of the assets of which constitute Cash Equivalents of the kinds described in clauses (a) through (f) of this definition; and (h) in the case of a Foreign Subsidiary, substantially similar investments, of comparable credit quality, denominated in local currency held by such Foreign Subsidiary from time to time in the ordinary course of business.</w:t>
      </w:r>
    </w:p>
    <w:p>
      <w:pPr>
        <w:spacing w:after="0" w:line="16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“Cash Management Obligations” means, with respect to any Person, all obligations, whether now owing or hereafter arising, of such Person in respect of overdrafts and related liabilities or arising from (i) services in connection with operating, collections, payroll, trust or other depository or disbursement accounts, including automated clearinghouse, e-payable, electronic funds transfer, wire transfer, controlled disbursement, overdraft,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depository, information reporting, lockbox or stop payment services; (ii) commercial credit card and merchant card services; and (iii) other banking products or services (other than letters of credit and leases).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225" w:lineRule="exact"/>
        <w:rPr>
          <w:sz w:val="20"/>
          <w:szCs w:val="20"/>
          <w:color w:val="auto"/>
        </w:rPr>
      </w:pPr>
    </w:p>
    <w:p>
      <w:pPr>
        <w:ind w:firstLine="464"/>
        <w:spacing w:after="0" w:line="264" w:lineRule="auto"/>
        <w:tabs>
          <w:tab w:leader="none" w:pos="71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Spectrum Brands and its Restricted Subsidiaries, taken as a whole, to any “person” (as that term is used in Section 13(d)(3) of the Exchange Act) other than a Permitted Holder;</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Spectrum Brands;</w:t>
      </w:r>
    </w:p>
    <w:p>
      <w:pPr>
        <w:spacing w:after="0" w:line="225" w:lineRule="exact"/>
        <w:rPr>
          <w:rFonts w:ascii="Arial" w:cs="Arial" w:eastAsia="Arial" w:hAnsi="Arial"/>
          <w:sz w:val="18"/>
          <w:szCs w:val="18"/>
          <w:color w:val="auto"/>
        </w:rPr>
      </w:pPr>
    </w:p>
    <w:p>
      <w:pPr>
        <w:ind w:right="60" w:firstLine="464"/>
        <w:spacing w:after="0" w:line="308" w:lineRule="auto"/>
        <w:tabs>
          <w:tab w:leader="none" w:pos="711" w:val="left"/>
        </w:tabs>
        <w:numPr>
          <w:ilvl w:val="0"/>
          <w:numId w:val="337"/>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becomes the ultimate Beneficial Owner, directly or indirectly, of 50% or more of the voting power of the Voting Stock of Spectrum Brands or Holdings other than a Permitted Holder;</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of Spectrum Brands are not Continuing Directors;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Holdings ceases to directly own all Capital Stock of Spectrum Brands.</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For purposes of this definition, (i) any direct or indirect holding company of Spectrum Brands (including Holdings) shall not itself be considered a Person for purposes of clauses (3) or (5) above or a “person” or “group” for purposes of clauses (3) or (5)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“person” or “group” (other than the Permitted Holders or another such holding company) Beneficially Owns, directly or indirectly, more than 50% of the voting power of the Voting Stock of such company, and a majority of the Voting Stock of such holding company immediately following it becoming the holding company of Spectrum Brands is Beneficially Owned by the Persons who Beneficially Owned the voting power of the Voting Stock of Spectrum Brands immediately prior to it becoming such holding company and (ii) a Person shall not be deemed to have beneficial ownership of securities subject to a stock purchase agreement, merger agreement or similar agreement until the consummation of the transactions contemplated by such agreement. In addition, any foreclosure (but not any sale thereof to a third party) with respect to Equity Interests of Spectrum Brands by the trustee or the holders of HRG Group, Inc.’s (f/k/a Harbinger Group Inc.) outstanding secured notes shall not be deemed a Change of Control.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Offer” has the meaning assigned to that term in the 2025 notes indenture governing the 2025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or any successor statute thereto.</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“Consolidated Cash Flow” means, with respect to any specified Person for any period, the Consolidated Net Income of such Person for such period plus, without duplication:</w:t>
      </w:r>
    </w:p>
    <w:p>
      <w:pPr>
        <w:spacing w:after="0" w:line="170" w:lineRule="exact"/>
        <w:rPr>
          <w:sz w:val="20"/>
          <w:szCs w:val="20"/>
          <w:color w:val="auto"/>
        </w:rPr>
      </w:pPr>
    </w:p>
    <w:p>
      <w:pPr>
        <w:ind w:right="240" w:firstLine="464"/>
        <w:spacing w:after="0" w:line="277" w:lineRule="auto"/>
        <w:tabs>
          <w:tab w:leader="none" w:pos="70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170" w:lineRule="exact"/>
        <w:rPr>
          <w:rFonts w:ascii="Arial" w:cs="Arial" w:eastAsia="Arial" w:hAnsi="Arial"/>
          <w:sz w:val="18"/>
          <w:szCs w:val="18"/>
          <w:color w:val="auto"/>
        </w:rPr>
      </w:pPr>
    </w:p>
    <w:p>
      <w:pPr>
        <w:ind w:firstLine="464"/>
        <w:spacing w:after="0" w:line="277" w:lineRule="auto"/>
        <w:tabs>
          <w:tab w:leader="none" w:pos="71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Fixed Charges of such Person and its Restricted Subsidiaries for such period, to the extent that any such Fixed Charges were deducted in computing such Consolidated Net Income; plus</w:t>
      </w:r>
    </w:p>
    <w:p>
      <w:pPr>
        <w:spacing w:after="0" w:line="170" w:lineRule="exact"/>
        <w:rPr>
          <w:rFonts w:ascii="Arial" w:cs="Arial" w:eastAsia="Arial" w:hAnsi="Arial"/>
          <w:sz w:val="18"/>
          <w:szCs w:val="18"/>
          <w:color w:val="auto"/>
        </w:rPr>
      </w:pPr>
    </w:p>
    <w:p>
      <w:pPr>
        <w:ind w:firstLine="464"/>
        <w:spacing w:after="0" w:line="264" w:lineRule="auto"/>
        <w:tabs>
          <w:tab w:leader="none" w:pos="70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depreciation, amortization (including amortization of goodwill, software and other intangibles but excluding amortization of prepaid cash expenses that were paid in a prior period) and other non-cash expenses (excluding any such non-cash expense to the extent that it represents an accrual of or reserve for cash expenses in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380"/>
          </w:cols>
          <w:pgMar w:left="240" w:top="460" w:right="2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124" w:lineRule="exact"/>
        <w:rPr>
          <w:sz w:val="20"/>
          <w:szCs w:val="20"/>
          <w:color w:val="auto"/>
        </w:rPr>
      </w:pPr>
    </w:p>
    <w:p>
      <w:pPr>
        <w:ind w:right="40" w:firstLine="464"/>
        <w:spacing w:after="0" w:line="259" w:lineRule="auto"/>
        <w:tabs>
          <w:tab w:leader="none" w:pos="71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 unusual or non-recurring charges, (ii) relocation costs and integration costs or reserves (including such items related to proposed and completed acquisitions and Asset Sales and to closure/consolidation of facilities), (iii) Transaction Expenses, (iv) Prior Transaction Expenses and (v) severance costs, including such costs related to proposed and completed Permitted Investments and Asset Sales and to closure/consolidation of facilities, in each case incurred by Spectrum Brands, Inc. and its Restricted Subsidiaries; plus</w:t>
      </w:r>
    </w:p>
    <w:p>
      <w:pPr>
        <w:spacing w:after="0" w:line="186" w:lineRule="exact"/>
        <w:rPr>
          <w:rFonts w:ascii="Arial" w:cs="Arial" w:eastAsia="Arial" w:hAnsi="Arial"/>
          <w:sz w:val="18"/>
          <w:szCs w:val="18"/>
          <w:color w:val="auto"/>
        </w:rPr>
      </w:pPr>
    </w:p>
    <w:p>
      <w:pPr>
        <w:ind w:firstLine="464"/>
        <w:spacing w:after="0" w:line="255" w:lineRule="auto"/>
        <w:tabs>
          <w:tab w:leader="none" w:pos="70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the amount of cost savings, operational expense improvements and synergies projected by such person in good faith to be realized as a result of actions taken during such period or to be taken in connection with a transaction that is being given pro forma effect (calculated on a pro forma basis as though such cost savings, operational expense improvements and synergies had been realized on the first day of such period),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cost savings, operational expense improvements and synergies are reasonably identifiable and factually supportable and (y) such cost savings, operational expense improvements and synergies are expected in good faith to be realized within 18 months of the end of such period; minus</w:t>
      </w:r>
    </w:p>
    <w:p>
      <w:pPr>
        <w:spacing w:after="0" w:line="193" w:lineRule="exact"/>
        <w:rPr>
          <w:rFonts w:ascii="Arial" w:cs="Arial" w:eastAsia="Arial" w:hAnsi="Arial"/>
          <w:sz w:val="18"/>
          <w:szCs w:val="18"/>
          <w:color w:val="auto"/>
        </w:rPr>
      </w:pPr>
    </w:p>
    <w:p>
      <w:pPr>
        <w:ind w:left="680" w:hanging="216"/>
        <w:spacing w:after="0"/>
        <w:tabs>
          <w:tab w:leader="none" w:pos="68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non-cash items increasing such Consolidated Net Income for such period, other than the accrual of revenue consistent with past practice,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“Consolidated Net Income” means, with respect to any specified Person for any period, the aggregate of the Net Income of such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Subsidiaries for such period, on a consolidated basis,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11" w:lineRule="exact"/>
        <w:rPr>
          <w:sz w:val="20"/>
          <w:szCs w:val="20"/>
          <w:color w:val="auto"/>
        </w:rPr>
      </w:pPr>
    </w:p>
    <w:p>
      <w:pPr>
        <w:ind w:right="160" w:firstLine="464"/>
        <w:spacing w:after="0" w:line="308" w:lineRule="auto"/>
        <w:tabs>
          <w:tab w:leader="none" w:pos="711"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Restricted Subsidiary thereof;</w:t>
      </w:r>
    </w:p>
    <w:p>
      <w:pPr>
        <w:spacing w:after="0" w:line="146" w:lineRule="exact"/>
        <w:rPr>
          <w:rFonts w:ascii="Arial" w:cs="Arial" w:eastAsia="Arial" w:hAnsi="Arial"/>
          <w:sz w:val="17"/>
          <w:szCs w:val="17"/>
          <w:color w:val="auto"/>
        </w:rPr>
      </w:pPr>
    </w:p>
    <w:p>
      <w:pPr>
        <w:ind w:right="40" w:firstLine="464"/>
        <w:spacing w:after="0" w:line="259" w:lineRule="auto"/>
        <w:tabs>
          <w:tab w:leader="none" w:pos="71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Net Income of any Restricted Subsidiary (other than a Guarantor)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equityholders;</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Net Income of any Person acquired during the specified period for any period prior to the date of such acquisition shall be excluded;</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25"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notwithstanding clause (1) above, the Net Income (but not loss) of any Unrestricted Subsidiary shall be excluded, whether or not distributed to the specified Person or one of its Subsidiaries;</w:t>
      </w:r>
    </w:p>
    <w:p>
      <w:pPr>
        <w:spacing w:after="0" w:line="170"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 unrealized gains and losses due solely to fluctuations in currency values and the related tax effects according to GAAP shall be excluded (until realized, at which time such gains or losses shall be included); and (b) unrealized gains and losses with respect to Hedging Obligations shall be excluded (until realized, at which time such gains or losses shall be included);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308" w:lineRule="auto"/>
        <w:tabs>
          <w:tab w:leader="none" w:pos="711"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any non-cash charge or expense realized or resulting from stock option plans, employee benefit plans or post-employment benefit plans, or grants or sales of stock, stock appreciation or similar rights, stock options, restricted stock, preferred stock or other rights shall be excluded;</w:t>
      </w:r>
    </w:p>
    <w:p>
      <w:pPr>
        <w:spacing w:after="0" w:line="146" w:lineRule="exact"/>
        <w:rPr>
          <w:rFonts w:ascii="Arial" w:cs="Arial" w:eastAsia="Arial" w:hAnsi="Arial"/>
          <w:sz w:val="17"/>
          <w:szCs w:val="17"/>
          <w:color w:val="auto"/>
        </w:rPr>
      </w:pPr>
    </w:p>
    <w:p>
      <w:pPr>
        <w:ind w:right="80" w:firstLine="464"/>
        <w:spacing w:after="0" w:line="312" w:lineRule="auto"/>
        <w:tabs>
          <w:tab w:leader="none" w:pos="711"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(a)(i) the non-cash portion of “straight-line” rent expense less (ii) the cash portion of “straight-line” rent expense which exceeds the amount expensed in respect of such rent expense shall be excluded and (b) non-cash gains, losses, income and expenses resulting from fair value accounting required by the applicable standard under GAAP and related interpretations shall be excluded (until realized, at which time such gains or losses shall be included);</w:t>
      </w:r>
    </w:p>
    <w:p>
      <w:pPr>
        <w:spacing w:after="0" w:line="146" w:lineRule="exact"/>
        <w:rPr>
          <w:rFonts w:ascii="Arial" w:cs="Arial" w:eastAsia="Arial" w:hAnsi="Arial"/>
          <w:sz w:val="16"/>
          <w:szCs w:val="16"/>
          <w:color w:val="auto"/>
        </w:rPr>
      </w:pPr>
    </w:p>
    <w:p>
      <w:pPr>
        <w:ind w:firstLine="464"/>
        <w:spacing w:after="0" w:line="272" w:lineRule="auto"/>
        <w:tabs>
          <w:tab w:leader="none" w:pos="711"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to the extent covered by insurance and actually reimbursed, or, so long as such Person has made a determination that there exists reasonable evidence that such amount will in fact be reimbursed by the insurer and only to the extent that such amount is (a) approved by the applicable carrier in writing within 180 days and (b) in fact reimbursed within 365 days of the date of such evidence (with a deduction for any amount so added back to the extent not so reimbursed within 365 days), (i) expenses with respect to liability or casualty events or business interruption shall be excluded and (ii) amounts received, or estimated in good faith to be received, from insurance in respect of lost earnings in respect of liability or causality events or business interruption shall be included (with a deduction for (x) amounts actually received up to such estimated amount to the extent included in Net Income in a future period and (y) for estimated amounts in excess of amounts actually received in a future period);</w:t>
      </w:r>
    </w:p>
    <w:p>
      <w:pPr>
        <w:spacing w:after="0" w:line="177" w:lineRule="exact"/>
        <w:rPr>
          <w:rFonts w:ascii="Arial" w:cs="Arial" w:eastAsia="Arial" w:hAnsi="Arial"/>
          <w:sz w:val="17"/>
          <w:szCs w:val="17"/>
          <w:color w:val="auto"/>
        </w:rPr>
      </w:pPr>
    </w:p>
    <w:p>
      <w:pPr>
        <w:ind w:right="220" w:firstLine="464"/>
        <w:spacing w:after="0" w:line="293" w:lineRule="auto"/>
        <w:tabs>
          <w:tab w:leader="none" w:pos="801"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any charges resulting from the application of FASB ASC 350, Intangibles—Goodwill and Other, Accounting Standards Codification Topic 360-10-35-15, Impairment or Disposal of Long-Lived Assets, Accounting Standards Codification Topic 480-10-25-4, Distinguishing Liabilities from Equity— Overall Recognition, or Accounting Standards Codification Topic 820 Fair Value Measurements and Disclosures, the amortization of intangibles arising pursuant to FASB ASC 805, Business Combinations, non-cash interest expense resulting from the application of Accounting Standards Codification Topic 470-20 Debt—Debt with Conversion Options—Recognition, and any non-cash income tax expense that results from the inability to include deferred tax liabilities related to indefinite-lived intangible assets as future reversals of temporary differences under FASB ASC 740-10-30-18, shall be excluded; and</w:t>
      </w:r>
    </w:p>
    <w:p>
      <w:pPr>
        <w:spacing w:after="0" w:line="164" w:lineRule="exact"/>
        <w:rPr>
          <w:rFonts w:ascii="Arial" w:cs="Arial" w:eastAsia="Arial" w:hAnsi="Arial"/>
          <w:sz w:val="16"/>
          <w:szCs w:val="16"/>
          <w:color w:val="auto"/>
        </w:rPr>
      </w:pPr>
    </w:p>
    <w:p>
      <w:pPr>
        <w:ind w:right="200" w:firstLine="464"/>
        <w:spacing w:after="0" w:line="277" w:lineRule="auto"/>
        <w:tabs>
          <w:tab w:leader="none" w:pos="79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restructuring and related charges and acquisition and related integration charges, including but not limited to, restructuring charges related to the Prior Transactions and the Transactions, shall be excluded.</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“Consolidated Total Debt Ratio” means, with respect to any specified Person, as of any date of determination, the ratio of (1) Consolidated Total Indebtedness of such Person and its Restricted Subsidiaries as of the end of the most recent fiscal quarter for which internal financial statements are available immediately preceding the date on which such event for which such calculation is being made shall occur minus Cash Equivalents included on the consolidated balance sheet of such Person as of the end of such most recent fiscal quarter to (2) Consolidated Cash Flow of such Person for the most recently ended four full fiscal quarters for which internal financial statements are available immediately preceding the date on which such event for which such calculation is being made shall occur, in each case with such pro forma adjustments to Consolidated Total Indebtedness, Cash Equivalents and Consolidated Cash Flow as are appropriate and consistent with the pro forma adjustment provisions set forth in the definition of Fixed Charge Coverage Ratio.</w:t>
      </w:r>
    </w:p>
    <w:p>
      <w:pPr>
        <w:spacing w:after="0" w:line="16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“Consolidated Total Indebtedness” means, as of any date of determination, an amount equal to the sum (without duplication) of (1) the aggregate principal amount of all outstanding Indebtedness of Spectrum Brands and its Restricted Subsidiaries (excluding any undrawn letters of credit) consisting of bankers’ acceptances, Obligations in respect of Capital Lease Obligations, debt obligations evidenced by promissory notes and similar instruments and Indebtedness for borrowed money, plus (2) the aggregate amount of all outstanding Disqualified Stock of Spectrum Brands and its Restricted Subsidiaries, with the amount of such Disqualified Stock equal to the greater of their respective voluntary or involuntary liquidation preferences, in each case determined on a consolidated basis in accordance with GAAP.</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“Continuing Directors” means, as of any date of determination, any member of the Board of Directors of Spectrum Brands or Holdings who:</w:t>
      </w:r>
    </w:p>
    <w:p>
      <w:pPr>
        <w:spacing w:after="0" w:line="237" w:lineRule="exact"/>
        <w:rPr>
          <w:sz w:val="20"/>
          <w:szCs w:val="20"/>
          <w:color w:val="auto"/>
        </w:rPr>
      </w:pPr>
    </w:p>
    <w:p>
      <w:pPr>
        <w:ind w:left="720" w:hanging="256"/>
        <w:spacing w:after="0"/>
        <w:tabs>
          <w:tab w:leader="none" w:pos="7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or</w:t>
      </w:r>
    </w:p>
    <w:p>
      <w:pPr>
        <w:spacing w:after="0" w:line="225" w:lineRule="exact"/>
        <w:rPr>
          <w:rFonts w:ascii="Arial" w:cs="Arial" w:eastAsia="Arial" w:hAnsi="Arial"/>
          <w:sz w:val="18"/>
          <w:szCs w:val="18"/>
          <w:color w:val="auto"/>
        </w:rPr>
      </w:pPr>
    </w:p>
    <w:p>
      <w:pPr>
        <w:ind w:right="560" w:firstLine="464"/>
        <w:spacing w:after="0" w:line="277" w:lineRule="auto"/>
        <w:tabs>
          <w:tab w:leader="none" w:pos="71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the Permitted Holders or a majority of the Continuing Directors who were members of such Board of Directors at the time of such nomination or election.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“Contribution Debt” means Indebtedness or Disqualified Stock of Spectrum Brands or any Guarantor in an aggregate principal amount or liquidation preference not greater than twice the aggregate amount of cash received from the issuance and sale of Qualified Equity Interests of Spectrum Brands after the Issue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right="180" w:firstLine="464"/>
        <w:spacing w:after="0" w:line="257" w:lineRule="auto"/>
        <w:tabs>
          <w:tab w:leader="none" w:pos="71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such cash has not been used to make a Restricted Payment and shall thereafter be excluded from any calculation under paragraph (A)(3)(b) under “Limitation on Restricted Payments” or used to make any Restricted Payment pursuant to paragraph (B) of such covenant (it being understood that if any such Indebtedness or Disqualified Stock incurred as Contribution Debt is redesignated as incurred under any provision other than paragraph (b)(16) of the “Limitation on Debt” covenant, the related issuance of Equity Interests may be included in any calculation under paragraph (A)(3)(b) in the “Limitation on Restricted Payments” covenant); and</w:t>
      </w:r>
    </w:p>
    <w:p>
      <w:pPr>
        <w:spacing w:after="0" w:line="188"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such Contribution Debt (a) is incurred within 180 days after the making of such cash contributions and (b) is so designated as Contribution Debt pursuant to an officer’s certificate on the incurrence date thereof.</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“Credit Facilities” means, one or more debt facilities (including, without limitation, the Revolving Credit Agreement and the Term Loan Agreement), or commercial paper facilities with banks or other institutional lenders or investors or indentures or other agreements providing for revolving credit loans, term loans, debt securities (including related exchange notes and guarantees thereof), receivables financing (including through the sale of receivables to such lenders or to special purpose entities formed to borrow from such lenders against such receivables) or letters of credit or other long-term indebtedness and, in each case, as such agreements may be amended, amended and restated, supplemented, in any manner whatsoever modified, refinanced, extended, substituted, replaced, renewed, or otherwise restructured or refunded, in whole or in part, in one or more instances, from time to time (including any successive renewals, extensions, substitutions, refinancings, restructurings, replacements, supplementations or other modifications of the foregoing and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lenders)), including into one or more debt facilities, commercial paper facilities or other debt instruments, indentures or agreements (including by means of sales of debt securities (including Additional Notes)), providing for revolving credit loans, term loans, letters of credit or other debt obligations, whether any such extension, replacement or refinancing (1) occurs simultaneously or not with the termination or repayment of a prior debt facility or (2) occurs on one or more separate occasions.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“Designated Non-cash Consideration” means any non-cash consideration received by Spectrum Brands or one of its Restricted Subsidiaries in connection with an Asset Sale that is designated as Designated Non-cash Consideration pursuant to an officer’s certificate executed by an officer of Spectrum Brands or such Restricted Subsidiary at the time of such Asset Sale.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360"/>
          </w:cols>
          <w:pgMar w:left="240" w:top="460" w:right="29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that is the earlier date on which the 2025 notes mature and the date the 2025 notes are no longer outstanding, except to the extent such Capital Stock is solely redeemable with, or solely exchangeable for, any Equity Interests of Spectrum Brands that are not Disqualified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Capital Stock is issued to any plan for the benefit of employees of Spectrum Brands or its Subsidiaries or by any such plan to such employees, such Capital Stock shall not constitute Disqualified Stock solely because it may be required to be repurchased by Spectrum Brands or its Subsidiaries in order to satisfy applicable statutory or regulatory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Capital Stock held by any future, present or former employee, director, officer, manager or consultant (or their estates, spouses or former spouses) of Spectrum Brands, any of its Subsidiaries or any of its direct or indirect parent companies pursuant to any stockholders agreement, management equity plan or stock option plan or any other management or employee benefit plan or agreement shall not constitute Disqualified Stock solely because it may be required to be repurchased by Spectrum Brands or its Subsidiaries following the termination of employment of such employee, director, officer, manager or consultant with Spectrum Brands or any of its Subsidiaries (so long as, in each case referred to in this sentence, any such requirement is made subject to compliance with the 2025 notes indenture). Notwithstanding the preceding sentence, any Capital Stock that would constitute Disqualified Stock solely because the holders thereof have the right to require Spectrum Brands to repurchase such Capital Stock upon the occurrence of a change of control or an asset sale shall not constitute Disqualified Stock if the terms of such Capital Stock provide that Spectrum Brands may not repurchase or redeem any such Capital Stock pursuant to such provisions unless such repurchase or redemption complies with the covenant described above under the caption “—Certain Covenants—Restricted Payments.” The term “Disqualified Stock” shall also include any options, warrants or other rights that are convertible into Disqualified Stock or that are redeemable at the option of the holder, or required to be redeemed, prior to the date that is 91 days after the date on which the 2025 notes mature.</w:t>
      </w:r>
    </w:p>
    <w:p>
      <w:pPr>
        <w:spacing w:after="0" w:line="389"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“Domestic Subsidiary” means any Restricted Subsidiary of Spectrum Brands other than a Restricted Subsidiary that is (1) a “controlled foreign corporation” under Section 957 of the Internal Revenue Code or (2) a Subsidiary of any such controlled foreign corporation.</w:t>
      </w:r>
    </w:p>
    <w:p>
      <w:pPr>
        <w:spacing w:after="0" w:line="14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“Equity Interests”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“Equity Offering” means a primary offering, after the Issue Date, of Qualified Stock of Spectrum Brands or of Holdings or any direct or indirect parent of Holdings (to the extent the proceeds thereof are contributed to the common equity of Spectrum Brands) other than an issuance registered on Form S-4 or S-8 or any successor thereto or any issuance pursuant to employee benefit plans or otherwise in compensation to officers, directors or employees.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“Existing Indebtedness” means the aggregate principal amount of Indebtedness of Spectrum Brands and its Subsidiaries (other than Indebtedness described in clauses (1) and (3) of the covenant described above under the caption “—Certain Covenants—Indebtedness”) in existence on the Issue Date, until such amounts are repaid.</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“Existing Notes” means, collectively, (i) Spectrum Brands’ 6.75% Senior Notes due 2020 outstanding on the Issue Date, (ii) Spectrum Brands’ 6.375% Senior Notes due 2020 outstanding on the Issue Date, (iii) Spectrum Brands’ 6.625% Senior Notes due 2022 outstanding on the Issue Date and (iv) Spectrum Brands’ 6.125% Senior Notes due 2024 outstanding on the Issue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“fair market value” means the price that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resolution of the Board of Directors.</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“Fixed Charge Coverage Ratio” means with respect to any specified Person for any period, the ratio of the Consolidated Cash Flow of such Person for such period to the Fixed Charges of such Person for such period. In the event that the specified Person or any of its Subsidiaries incurs, assumes, Guarantees, repays, retires, extinguishes, repurchases or redeems any Indebtedness or issues, repurchases or redeems Disqualified Stock or preferred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shall be calculated giving pro forma effect to such incurrence, assumption, Guarantee, repayment, retirement, extinguishment, repurchase or redemption of Indebtedness, or such issuance, repurchase or redemption of Disqualified Stock or preferred stock, and the use of the proceeds therefrom as if the same had occurred at the beginning of the applicable four-quarter reference period.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25" w:lineRule="exact"/>
        <w:rPr>
          <w:sz w:val="20"/>
          <w:szCs w:val="20"/>
          <w:color w:val="auto"/>
        </w:rPr>
      </w:pPr>
    </w:p>
    <w:p>
      <w:pPr>
        <w:ind w:right="20" w:firstLine="464"/>
        <w:spacing w:after="0" w:line="297" w:lineRule="auto"/>
        <w:tabs>
          <w:tab w:leader="none" w:pos="71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Investments or acquisitions and dispositions of business entities or property and assets constituting a division or line of business of any Person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shall be given pro forma effect as if they had occurred on the first day of the four-quarter reference period and Consolidated Cash Flow for such reference period shall be calculated on a pro forma basis, but without giving effect to clause (3) of the proviso set forth in the definition of Consolidated Net Income;</w:t>
      </w:r>
    </w:p>
    <w:p>
      <w:pPr>
        <w:spacing w:after="0" w:line="158" w:lineRule="exact"/>
        <w:rPr>
          <w:rFonts w:ascii="Arial" w:cs="Arial" w:eastAsia="Arial" w:hAnsi="Arial"/>
          <w:sz w:val="16"/>
          <w:szCs w:val="16"/>
          <w:color w:val="auto"/>
        </w:rPr>
      </w:pPr>
    </w:p>
    <w:p>
      <w:pPr>
        <w:ind w:left="720" w:hanging="256"/>
        <w:spacing w:after="0"/>
        <w:tabs>
          <w:tab w:leader="none" w:pos="7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shall be excluded;</w:t>
      </w:r>
    </w:p>
    <w:p>
      <w:pPr>
        <w:spacing w:after="0" w:line="225" w:lineRule="exact"/>
        <w:rPr>
          <w:rFonts w:ascii="Arial" w:cs="Arial" w:eastAsia="Arial" w:hAnsi="Arial"/>
          <w:sz w:val="18"/>
          <w:szCs w:val="18"/>
          <w:color w:val="auto"/>
        </w:rPr>
      </w:pPr>
    </w:p>
    <w:p>
      <w:pPr>
        <w:ind w:right="20" w:firstLine="464"/>
        <w:spacing w:after="0" w:line="342" w:lineRule="auto"/>
        <w:tabs>
          <w:tab w:leader="none" w:pos="71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shall be excluded, but only to the extent that the obligations giving rise to such Fixed Charges will not be obligations of the specified Person or any of its Subsidiaries following the Calculation Date; and</w:t>
      </w:r>
    </w:p>
    <w:p>
      <w:pPr>
        <w:spacing w:after="0" w:line="123" w:lineRule="exact"/>
        <w:rPr>
          <w:rFonts w:ascii="Arial" w:cs="Arial" w:eastAsia="Arial" w:hAnsi="Arial"/>
          <w:sz w:val="16"/>
          <w:szCs w:val="16"/>
          <w:color w:val="auto"/>
        </w:rPr>
      </w:pPr>
    </w:p>
    <w:p>
      <w:pPr>
        <w:ind w:firstLine="464"/>
        <w:spacing w:after="0" w:line="259" w:lineRule="auto"/>
        <w:tabs>
          <w:tab w:leader="none" w:pos="71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consolidated interest expense attributable to interest on any Indebtedness (whether existing or being incurred) computed on a pro forma basis and bearing a floating interest rate shall be computed as if the rate in effect on the Calculation Date (taking into account any interest rate option, swap, cap or similar agreement applicable to such Indebtedness if such agreement has a remaining term in excess of 12 months or, if shorter, at least equal to the remaining term of such Indebtedness) had been the applicable rate for the entire period.</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purposes of this definition, whenever pro forma effect is to be given to any event, the pro forma calculations shall be made in good faith by a responsible financial or accounting officer of Spectrum Brands. Any such pro forma calculation may include adjustments appropriate, in the reasonable good faith determination of Spectrum Brands as set forth in an officer’s certificate, to reflect operating expense reductions and other operating improvements or synergies reasonably expected to result from the applicable event.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Charges” means, with respect to any specified Person for any period, the sum, without duplication, of:</w:t>
      </w:r>
    </w:p>
    <w:p>
      <w:pPr>
        <w:spacing w:after="0" w:line="225" w:lineRule="exact"/>
        <w:rPr>
          <w:sz w:val="20"/>
          <w:szCs w:val="20"/>
          <w:color w:val="auto"/>
        </w:rPr>
      </w:pPr>
    </w:p>
    <w:p>
      <w:pPr>
        <w:ind w:right="620" w:firstLine="464"/>
        <w:spacing w:after="0" w:line="277" w:lineRule="auto"/>
        <w:tabs>
          <w:tab w:leader="none" w:pos="71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for such period, whether paid or accrued, including, without limitation, amortization of debt issuance costs and original issue discount,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400"/>
          </w:cols>
          <w:pgMar w:left="240" w:top="460" w:right="2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received or accrued in connection with Hedging Obligations (but excluding unrealized gains or losses with respect thereto), but excluding (i) amortization of deferred financing fees, debt issuance costs, commissions, fees and expenses, (ii) any expensing of bridge, commitment and other financing fees, (iii) any redemption premiums, prepayment fees, or other charges or penalties incurred in connection with the Transactions or the Prior Transactions and (iv) any premiums, fees or other charges incurred in connection with the refinancing of the Existing Indebtedness on the Issue Date (in each case of (i) through (iv), to the extent included in any of the foregoing items listed in clause (1)); plus</w:t>
      </w:r>
    </w:p>
    <w:p>
      <w:pPr>
        <w:spacing w:after="0" w:line="178" w:lineRule="exact"/>
        <w:rPr>
          <w:sz w:val="20"/>
          <w:szCs w:val="20"/>
          <w:color w:val="auto"/>
        </w:rPr>
      </w:pPr>
    </w:p>
    <w:p>
      <w:pPr>
        <w:ind w:left="720" w:hanging="256"/>
        <w:spacing w:after="0"/>
        <w:tabs>
          <w:tab w:leader="none" w:pos="7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consolidated interest of such Person and its Restricted Subsidiaries that was capitalized during such period; plus</w:t>
      </w:r>
    </w:p>
    <w:p>
      <w:pPr>
        <w:spacing w:after="0" w:line="225"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170" w:lineRule="exact"/>
        <w:rPr>
          <w:rFonts w:ascii="Arial" w:cs="Arial" w:eastAsia="Arial" w:hAnsi="Arial"/>
          <w:sz w:val="18"/>
          <w:szCs w:val="18"/>
          <w:color w:val="auto"/>
        </w:rPr>
      </w:pPr>
    </w:p>
    <w:p>
      <w:pPr>
        <w:ind w:firstLine="464"/>
        <w:spacing w:after="0" w:line="257" w:lineRule="auto"/>
        <w:tabs>
          <w:tab w:leader="none" w:pos="71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product of (a) all dividends, whether paid or accrued and whether or not in cash, on any series of Disqualified Stock or preferred stock of such Person or any of its Restricted Subsidiaries, other than (i) dividends on Equity Interests payable solely in Equity Interests of Spectrum Brands (other than Disqualified Stock) or (ii) dividends to Spectrum Brands or a Restricted Subsidiary of Spectrum Brands,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Notwithstanding the foregoing, any additional charges arising from (i) the application of Accounting Standards Codification Topic 480-10-25-4 “Distinguishing Liabilities from Equity—Overall—Recognition” to any series of preferred stock other than Disqualified Equity Interests or (ii) the application of Accounting Standards Codification Topic 470-20 “Debt—Debt with Conversion Options—Recognition,” in each case, shall be disregarded in the calculation of Consolidated Fixed Charges.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Subsidiary” means any Restricted Subsidiary of Spectrum Brands other than a Domestic Subsidiary.</w:t>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“GAAP” means generally accepted accounting principles set forth in the opinions and pronouncements of the Accounting Principles Board of the American Institute of Certified Public Accountants, the opinions and pronouncements of the Public Company Accounting Oversight Board and in the statements and pronouncements of the Financial Accounting Standards Board or in such other statements by such other entity as have been approved by a significant segment of the accounting profession, which are in effect on December 4, 2014.</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“Guarantee “ means, as to any Person,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of another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“Guarantors” means:</w:t>
      </w:r>
    </w:p>
    <w:p>
      <w:pPr>
        <w:spacing w:after="0" w:line="225" w:lineRule="exact"/>
        <w:rPr>
          <w:sz w:val="20"/>
          <w:szCs w:val="20"/>
          <w:color w:val="auto"/>
        </w:rPr>
      </w:pPr>
    </w:p>
    <w:p>
      <w:pPr>
        <w:ind w:left="720" w:hanging="256"/>
        <w:spacing w:after="0"/>
        <w:tabs>
          <w:tab w:leader="none" w:pos="7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Holdings and each direct or indirect Domestic Subsidiary of Spectrum Brands on the Issue Date; and</w:t>
      </w:r>
    </w:p>
    <w:p>
      <w:pPr>
        <w:spacing w:after="0" w:line="225"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other subsidiary that executes a Note Guarantee in accordance with the provisions of the 2025 notes indenture; and their respective successors and assigns until released from their obligations under their Note Guarantees and the 2025 notes indenture in accordance with the terms of the 2025 notes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225" w:lineRule="exact"/>
        <w:rPr>
          <w:sz w:val="20"/>
          <w:szCs w:val="20"/>
          <w:color w:val="auto"/>
        </w:rPr>
      </w:pPr>
    </w:p>
    <w:p>
      <w:pPr>
        <w:ind w:right="240" w:firstLine="464"/>
        <w:spacing w:after="0" w:line="277" w:lineRule="auto"/>
        <w:tabs>
          <w:tab w:leader="none" w:pos="71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interest rate swap agreements, interest rate cap agreements, interest rate collar agreements and other agreements or arrangements designed for the purpose of managing interest rate risk;</w:t>
      </w:r>
    </w:p>
    <w:p>
      <w:pPr>
        <w:spacing w:after="0" w:line="170"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commodity swap agreements, commodity option agreements, forward contracts and other agreements or arrangements designed for the purpose of managing commodity price risk; and</w:t>
      </w:r>
    </w:p>
    <w:p>
      <w:pPr>
        <w:spacing w:after="0" w:line="170" w:lineRule="exact"/>
        <w:rPr>
          <w:rFonts w:ascii="Arial" w:cs="Arial" w:eastAsia="Arial" w:hAnsi="Arial"/>
          <w:sz w:val="18"/>
          <w:szCs w:val="18"/>
          <w:color w:val="auto"/>
        </w:rPr>
      </w:pPr>
    </w:p>
    <w:p>
      <w:pPr>
        <w:ind w:right="640" w:firstLine="464"/>
        <w:spacing w:after="0" w:line="277" w:lineRule="auto"/>
        <w:tabs>
          <w:tab w:leader="none" w:pos="71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foreign exchange contracts, currency swap agreements and other agreements or arrangements designed for the purpose of managing foreign currency exchange rate risk.</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“incur” means, with respect to any Indebtedness, to incur, create, issue, assume, Guarantee or otherwise become directly or indirectly liable for or with respect to, or become responsible for, the payment of, contingently or otherwise,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 Indebtedness of a Person existing at the time such Person becomes a Restricted Subsidiary of Spectrum Brands will be deemed to be incurred by such Restricted Subsidiary at the time it becomes a Restricted Subsidiary of Spectrum Brands and (2) neither the accrual of interest nor the accretion of original issue discount nor the payment of interest in the form of additional Indebtedness with the same terms and the payment of dividends on Disqualified Stock in the form of additional shares of the same class of Disqualified Stock (to the extent provided for when the Indebtedness or Disqualified Stock on which such interest or dividend is paid was originally issued) shall be considered an incurrence of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the amount thereof is for all other purposes included in the Fixed Charges and Indebtedness of Spectrum Brands or its Restricted Subsidiary as accrued.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“Indebtedness” means, with respect to any specified Person, any indebtedness of such Person, whether or not contingent:</w:t>
      </w:r>
    </w:p>
    <w:p>
      <w:pPr>
        <w:spacing w:after="0" w:line="225" w:lineRule="exact"/>
        <w:rPr>
          <w:sz w:val="20"/>
          <w:szCs w:val="20"/>
          <w:color w:val="auto"/>
        </w:rPr>
      </w:pPr>
    </w:p>
    <w:p>
      <w:pPr>
        <w:ind w:left="720" w:hanging="256"/>
        <w:spacing w:after="0"/>
        <w:tabs>
          <w:tab w:leader="none" w:pos="7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 but excluding obligations with respect to letters of credit (including trade letters of credit) securing obligations entered into in the ordinary course of business of such Person to the extent such letters of credit are not drawn upon or, if drawn upon, to the extent such drawing is reimbursed no later than the fifth Business Day following receipt by such Person of a demand for reimbursement);</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respect of Capital Lease Obligations;</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respect of the balance deferred and unpaid of the purchase price of any property, except any such balance that constitutes an accrued expense or trade payable;</w:t>
      </w:r>
    </w:p>
    <w:p>
      <w:pPr>
        <w:spacing w:after="0" w:line="170" w:lineRule="exact"/>
        <w:rPr>
          <w:rFonts w:ascii="Arial" w:cs="Arial" w:eastAsia="Arial" w:hAnsi="Arial"/>
          <w:sz w:val="18"/>
          <w:szCs w:val="18"/>
          <w:color w:val="auto"/>
        </w:rPr>
      </w:pPr>
    </w:p>
    <w:p>
      <w:pPr>
        <w:ind w:right="180" w:firstLine="464"/>
        <w:spacing w:after="0" w:line="257" w:lineRule="auto"/>
        <w:tabs>
          <w:tab w:leader="none" w:pos="71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representing Hedging Obligations, other than Hedging Obligations that are incurred in the ordinary course of business for the purpose of fixing, hedging, swapping, managing interest rate, commodity price or foreign currency exchange rate risk (or to reverse or amend any such agreements previously made for such purposes), and not for speculative purposes, and that do not increase the Indebtedness of the obligor outstanding at any time other than as a result of fluctuations in interest rates, commodity prices or foreign currency exchange rates or by reason of fees, indemnities and compensation payable thereunder; or</w:t>
      </w:r>
    </w:p>
    <w:p>
      <w:pPr>
        <w:spacing w:after="0" w:line="188" w:lineRule="exact"/>
        <w:rPr>
          <w:rFonts w:ascii="Arial" w:cs="Arial" w:eastAsia="Arial" w:hAnsi="Arial"/>
          <w:sz w:val="18"/>
          <w:szCs w:val="18"/>
          <w:color w:val="auto"/>
        </w:rPr>
      </w:pPr>
    </w:p>
    <w:p>
      <w:pPr>
        <w:ind w:left="720" w:hanging="256"/>
        <w:spacing w:after="0"/>
        <w:tabs>
          <w:tab w:leader="none" w:pos="72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representing Disqualified Stock valued at the greater of its voluntary or involuntary maximum fixed repurchase price plus accrued dividends;</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and to the extent that any of the preceding items (other than letters of credit and Hedging Obligations) would appear as a liability upon a balance sheet (excluding the footnotes thereto) of the specified Person prepared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accordance with GAAP or, in the case of any earn-out obligation or purchase price adjustment, would have been recorded as a liability under GAAP prior to the adoption of Financial Accounting Standards Board Statement No. 141R. In addition, the term “Indebtedness” includes (x) all Indebtedness of others secured by a Lien on any asset of the specified Person (whether or not such Indebtedness is assumed by the specified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Indebtedness shall be the lesser of (A) the fair market value of such asset at such date of determination and (B) the amount of such Indebtedness, and</w:t>
      </w:r>
    </w:p>
    <w:p>
      <w:pPr>
        <w:spacing w:after="0" w:line="2" w:lineRule="exact"/>
        <w:rPr>
          <w:sz w:val="20"/>
          <w:szCs w:val="20"/>
          <w:color w:val="auto"/>
        </w:rPr>
      </w:pPr>
    </w:p>
    <w:p>
      <w:pPr>
        <w:ind w:right="120" w:firstLine="8"/>
        <w:spacing w:after="0" w:line="271" w:lineRule="auto"/>
        <w:tabs>
          <w:tab w:leader="none" w:pos="25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to the extent not otherwise included, the Guarantee by the specified Person of any Indebtedness of any other Person. For purposes hereof, the “maximum fixed repurchase price” of any Disqualified Stock which does not have a fixed repurchase price shall be calculated in accordance with the terms of such Disqualified Stock as if such Disqualified Stock were purchased on any date on which Indebtedness shall be required to be determined pursuant to the 2025 notes indenture, and if such price is based upon, or measured by, the fair market value of such Disqualified Stock, such fair market value shall be determined in good faith by the Board of Directors of the issuer of such Disqualified Stock.</w:t>
      </w:r>
    </w:p>
    <w:p>
      <w:pPr>
        <w:spacing w:after="0" w:line="179" w:lineRule="exact"/>
        <w:rPr>
          <w:sz w:val="20"/>
          <w:szCs w:val="20"/>
          <w:color w:val="auto"/>
        </w:rPr>
      </w:pPr>
    </w:p>
    <w:p>
      <w:pPr>
        <w:jc w:val="both"/>
        <w:ind w:right="220" w:firstLine="456"/>
        <w:spacing w:after="0" w:line="342" w:lineRule="auto"/>
        <w:rPr>
          <w:sz w:val="20"/>
          <w:szCs w:val="20"/>
          <w:color w:val="auto"/>
        </w:rPr>
      </w:pPr>
      <w:r>
        <w:rPr>
          <w:rFonts w:ascii="Arial" w:cs="Arial" w:eastAsia="Arial" w:hAnsi="Arial"/>
          <w:sz w:val="16"/>
          <w:szCs w:val="16"/>
          <w:color w:val="auto"/>
        </w:rPr>
        <w:t>The amount of any Indebtedness outstanding as of any date shall be the outstanding balance at such date of all unconditional obligations as described above and, with respect to contingent obligations, the maximum liability upon the occurrence of the contingency giving rise to the obligation, and shall be:</w:t>
      </w:r>
    </w:p>
    <w:p>
      <w:pPr>
        <w:spacing w:after="0" w:line="124" w:lineRule="exact"/>
        <w:rPr>
          <w:sz w:val="20"/>
          <w:szCs w:val="20"/>
          <w:color w:val="auto"/>
        </w:rPr>
      </w:pPr>
    </w:p>
    <w:p>
      <w:pPr>
        <w:ind w:left="720" w:hanging="256"/>
        <w:spacing w:after="0"/>
        <w:tabs>
          <w:tab w:leader="none" w:pos="7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accreted value thereof, in the case of any Indebtedness issued with original issue discount; and</w:t>
      </w:r>
    </w:p>
    <w:p>
      <w:pPr>
        <w:spacing w:after="0" w:line="225" w:lineRule="exact"/>
        <w:rPr>
          <w:rFonts w:ascii="Arial" w:cs="Arial" w:eastAsia="Arial" w:hAnsi="Arial"/>
          <w:sz w:val="18"/>
          <w:szCs w:val="18"/>
          <w:color w:val="auto"/>
        </w:rPr>
      </w:pPr>
    </w:p>
    <w:p>
      <w:pPr>
        <w:ind w:right="860" w:firstLine="464"/>
        <w:spacing w:after="0" w:line="501" w:lineRule="auto"/>
        <w:tabs>
          <w:tab w:leader="none" w:pos="71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the principal amount thereof, together with any interest thereon that is more than 30 days past due, in the case of any 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Indebtedness shall not include:</w:t>
      </w:r>
    </w:p>
    <w:p>
      <w:pPr>
        <w:ind w:left="460"/>
        <w:spacing w:after="0"/>
        <w:rPr>
          <w:rFonts w:ascii="Arial" w:cs="Arial" w:eastAsia="Arial" w:hAnsi="Arial"/>
          <w:sz w:val="18"/>
          <w:szCs w:val="18"/>
          <w:color w:val="auto"/>
        </w:rPr>
      </w:pPr>
      <w:r>
        <w:rPr>
          <w:rFonts w:ascii="Arial" w:cs="Arial" w:eastAsia="Arial" w:hAnsi="Arial"/>
          <w:sz w:val="18"/>
          <w:szCs w:val="18"/>
          <w:color w:val="auto"/>
        </w:rPr>
        <w:t>(i) any liability for federal, state, local or other taxes;</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(ii) performance, surety or appeal bonds provided in the ordinary course of business;</w:t>
      </w:r>
    </w:p>
    <w:p>
      <w:pPr>
        <w:spacing w:after="0" w:line="225" w:lineRule="exact"/>
        <w:rPr>
          <w:sz w:val="20"/>
          <w:szCs w:val="20"/>
          <w:color w:val="auto"/>
        </w:rPr>
      </w:pPr>
    </w:p>
    <w:p>
      <w:pPr>
        <w:ind w:firstLine="464"/>
        <w:spacing w:after="0" w:line="297" w:lineRule="auto"/>
        <w:tabs>
          <w:tab w:leader="none" w:pos="771" w:val="left"/>
        </w:tabs>
        <w:numPr>
          <w:ilvl w:val="0"/>
          <w:numId w:val="352"/>
        </w:numPr>
        <w:rPr>
          <w:rFonts w:ascii="Arial" w:cs="Arial" w:eastAsia="Arial" w:hAnsi="Arial"/>
          <w:sz w:val="16"/>
          <w:szCs w:val="16"/>
          <w:color w:val="auto"/>
        </w:rPr>
      </w:pPr>
      <w:r>
        <w:rPr>
          <w:rFonts w:ascii="Arial" w:cs="Arial" w:eastAsia="Arial" w:hAnsi="Arial"/>
          <w:sz w:val="16"/>
          <w:szCs w:val="16"/>
          <w:color w:val="auto"/>
        </w:rPr>
        <w:t>agreements providing for indemnification, adjustment of purchase price or similar obligations, or Guarantees or letters of credit, surety bonds or performance bonds securing any obligations of Spectrum Brands or any of its Restricted Subsidiaries pursuant to such agreements, in any case incurred in connection with the disposition of any business, assets or Restricted Subsidiary (other than Guarantees of Indebtedness incurred by any Person acquiring all or any portion of such business, assets or Restricted Subsidiary for the purpose of financing such acquisition), so long as the principal amount does not exceed the gross proceeds actually received by Spectrum Brands or any Restricted Subsidiary in connection with such disposition; or</w:t>
      </w:r>
    </w:p>
    <w:p>
      <w:pPr>
        <w:spacing w:after="0" w:line="158" w:lineRule="exact"/>
        <w:rPr>
          <w:rFonts w:ascii="Arial" w:cs="Arial" w:eastAsia="Arial" w:hAnsi="Arial"/>
          <w:sz w:val="16"/>
          <w:szCs w:val="16"/>
          <w:color w:val="auto"/>
        </w:rPr>
      </w:pPr>
    </w:p>
    <w:p>
      <w:pPr>
        <w:ind w:left="760" w:hanging="296"/>
        <w:spacing w:after="0"/>
        <w:tabs>
          <w:tab w:leader="none" w:pos="7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“Investment Grade” means a rating of BBB- or higher by S&amp;P and Baa3 or higher by Moody’s, or the equivalent of such ratings by another Rating Agency.</w:t>
      </w:r>
    </w:p>
    <w:p>
      <w:pPr>
        <w:spacing w:after="0" w:line="17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“Investments” means, with respect to any Person, all direct or indirect investments by such Person in other Persons (including Affiliates) in the forms of loans or other extensions of credit (including Guarantees, but excluding advances to customers or suppliers in the ordinary course of business that are, in conformity with GAAP, recorded as accounts receivable, prepaid expenses or deposits on the balance sheet of Spectrum Brands or its Restricted Subsidiaries and endorsements for collection or deposit arising in the ordinary course of business), advances (excluding commission, travel, payroll and similar advances to officers and employees made consistent with past practices), capital contributions (by means of any transfer of cash or other property to others or any payment for property or services for the account or use of others), purchases or other acquisitions for consideration of Indebtedness, Equity Interests or other securities, together with all items that are or would be classified as investments on a balance sheet prepared in accordance with GAAP.</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Spectrum Brands or any Restricted Subsidiary of Spectrum Brands sells or otherwise disposes of any Equity Interests of any direct or indirect Restricted Subsidiary of Spectrum Brands such that, after giving effect to any such sale or disposition, such Person is no longer a Restricted Subsidiary of Spectrum Brands, Spectrum Brands shall be deemed to have made an Investment on the date of any such sale or disposition equal to the fair market value of the Investment in such Restricted Subsidiary not sold or disposed of in an amount determined as provided in the final paragraph of the covenant described above under the caption “—Certain Covenants—Restricted Payments.” The acquisition by Spectrum Brands or any Restricted Subsidiary of Spectrum Brands of a Person that holds an Investment in a third Person shall be deemed to be an Investment by Spectrum Brands or such Restricted Subsidiary in such third Person only if such Investment was made in contemplation of, or in connection with, the acquisition of such Person by Spectrum Brands or such Restricted Subsidiary and the amount of any such Investment shall be determined as provided in the final paragraph of the covenant described above under the caption “—Certain Covenants—Restricted Payments.”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Date” means May 20, 2015, the date on which 2025 notes were originally issued under the 2025 notes indenture.</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Services, Inc. and its successors.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Income” means, with respect to any specified Person, the net income (loss) of such Person, determined in accordance with GAAP and before any reduction in respect of preferred stock dividends, excluding, however:</w:t>
      </w:r>
    </w:p>
    <w:p>
      <w:pPr>
        <w:spacing w:after="0" w:line="170" w:lineRule="exact"/>
        <w:rPr>
          <w:sz w:val="20"/>
          <w:szCs w:val="20"/>
          <w:color w:val="auto"/>
        </w:rPr>
      </w:pPr>
    </w:p>
    <w:p>
      <w:pPr>
        <w:ind w:right="120" w:firstLine="464"/>
        <w:spacing w:after="0" w:line="264" w:lineRule="auto"/>
        <w:tabs>
          <w:tab w:leader="none" w:pos="711"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sale of assets outside the ordinary course of business of such Person; or (b) the disposition of any securities by such Person or any of its Restricted Subsidiaries or the extinguishment of any Indebtedness of such Person or any of its Restricted Subsidiaries; and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“Net Proceeds” means the aggregate cash proceeds, including payments in respect of deferred payment obligations (to the extent corresponding to the principal, but not the interest component, thereof) received by Spectrum Brands or any of its Restricted Subsidiaries in respect of any Asset Sale (including, without limitation, any cash received upon the sale or other disposition of any non-cash consideration received in any Asset Sale), net of (1) the direct costs relating to such Asset Sale, including, without limitation, legal, accounting, brokerage and investment banking fees, and sales commissions, and any relocation expenses incurred as a result thereof, (2) taxes paid or payable as a result thereof, in each case, after taking into account any available tax credits or deductions arising therefrom and any tax sharing arrangements in connection therewith, (3) amounts required to be applied to the repayment of Indebtedness or other liabilities, secured by a Lien on the asset or assets that were the subject of such Asset Sale, or required to be paid as a result of such sale, and (4) any reserve for adjustment in respect of the sale price of such asset or assets established in accordance with GAAP.</w:t>
      </w:r>
    </w:p>
    <w:p>
      <w:pPr>
        <w:spacing w:after="0" w:line="166"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“New Term Loan Commitment Agreement” means the new term loan commitment agreement no. 2 among Holdings, Spectrum Brands, as lead borrower, the lenders party thereto and Deutsche Bank AG New York Branch, as agent, pursuant to which Spectrum Brands will incur term loans in an aggregate principal amount equal to €150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400"/>
          </w:cols>
          <w:pgMar w:left="240" w:top="460" w:right="2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“Note Guarantee” means the Guarantee by each Guarantor of Spectrum Brands’ payment obligations under the 2025 notes indenture and on the 2025 notes, executed pursuant to the 2025 notes indenture.</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“Obligations”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“Paying Agent” means an office or agency where 2025 notes may be presented for payment.</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“Permitted Business” means any business conducted or proposed to be conducted by Spectrum Brands and its Restricted Subsidiaries on the Issue Date and other businesses complementary, similar or reasonably related, ancillary or incidental thereto or reasonable extensions thereof.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Holders” means</w:t>
      </w:r>
    </w:p>
    <w:p>
      <w:pPr>
        <w:spacing w:after="0" w:line="225" w:lineRule="exact"/>
        <w:rPr>
          <w:sz w:val="20"/>
          <w:szCs w:val="20"/>
          <w:color w:val="auto"/>
        </w:rPr>
      </w:pPr>
    </w:p>
    <w:p>
      <w:pPr>
        <w:ind w:left="720" w:hanging="256"/>
        <w:spacing w:after="0"/>
        <w:tabs>
          <w:tab w:leader="none" w:pos="7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HRG Group, Inc.;</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Affiliate of HRG Group, Inc., other than another portfolio company thereof (which means a company actively engaged in providing goods and services to unaffiliated customers) or a company controlled by a “portfolio company”; and</w:t>
      </w:r>
    </w:p>
    <w:p>
      <w:pPr>
        <w:spacing w:after="0" w:line="170" w:lineRule="exact"/>
        <w:rPr>
          <w:rFonts w:ascii="Arial" w:cs="Arial" w:eastAsia="Arial" w:hAnsi="Arial"/>
          <w:sz w:val="18"/>
          <w:szCs w:val="18"/>
          <w:color w:val="auto"/>
        </w:rPr>
      </w:pPr>
    </w:p>
    <w:p>
      <w:pPr>
        <w:jc w:val="both"/>
        <w:ind w:firstLine="464"/>
        <w:spacing w:after="0" w:line="264" w:lineRule="auto"/>
        <w:tabs>
          <w:tab w:leader="none" w:pos="711"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Person both the Capital Stock and the Voting Stock of which (or in the case of a trust, the beneficial interests in which) are owned 50% or more by Persons specified in clauses (1) and (2) or any group in which the Persons specified in clauses (1) and (2) own more than a majority of the voting power of the Voting Stock held by such group.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Investments” means:</w:t>
      </w:r>
    </w:p>
    <w:p>
      <w:pPr>
        <w:spacing w:after="0" w:line="225" w:lineRule="exact"/>
        <w:rPr>
          <w:sz w:val="20"/>
          <w:szCs w:val="20"/>
          <w:color w:val="auto"/>
        </w:rPr>
      </w:pPr>
    </w:p>
    <w:p>
      <w:pPr>
        <w:ind w:left="720" w:hanging="256"/>
        <w:spacing w:after="0"/>
        <w:tabs>
          <w:tab w:leader="none" w:pos="7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Investment in Spectrum Brands or in a Restricted Subsidiary of Spectrum Brands;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Investment by Spectrum Brands or any Restricted Subsidiary of Spectrum Brands in a Person, if as a result of such Investment: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such Person becomes a Restricted Subsidiary of Spectrum Brands; or</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53" w:val="left"/>
        </w:tabs>
        <w:numPr>
          <w:ilvl w:val="1"/>
          <w:numId w:val="355"/>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Spectrum Brands or a Restricted Subsidiary of Spectrum Brands;</w:t>
      </w:r>
    </w:p>
    <w:p>
      <w:pPr>
        <w:spacing w:after="0" w:line="170" w:lineRule="exact"/>
        <w:rPr>
          <w:rFonts w:ascii="Arial" w:cs="Arial" w:eastAsia="Arial" w:hAnsi="Arial"/>
          <w:sz w:val="18"/>
          <w:szCs w:val="18"/>
          <w:color w:val="auto"/>
        </w:rPr>
      </w:pPr>
    </w:p>
    <w:p>
      <w:pPr>
        <w:ind w:right="200" w:firstLine="464"/>
        <w:spacing w:after="0" w:line="342" w:lineRule="auto"/>
        <w:tabs>
          <w:tab w:leader="none" w:pos="711"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any Investment made as a result of the receipt of non-cash consideration from an Asset Sale (including Designated Non-Cash Consideration) that was made pursuant to and in compliance with the covenant described above under the caption “—Repurchase at the Option of Holders—Asset Sales”;</w:t>
      </w:r>
    </w:p>
    <w:p>
      <w:pPr>
        <w:spacing w:after="0" w:line="123" w:lineRule="exact"/>
        <w:rPr>
          <w:rFonts w:ascii="Arial" w:cs="Arial" w:eastAsia="Arial" w:hAnsi="Arial"/>
          <w:sz w:val="16"/>
          <w:szCs w:val="16"/>
          <w:color w:val="auto"/>
        </w:rPr>
      </w:pPr>
    </w:p>
    <w:p>
      <w:pPr>
        <w:ind w:right="200" w:firstLine="464"/>
        <w:spacing w:after="0" w:line="279" w:lineRule="auto"/>
        <w:tabs>
          <w:tab w:leader="none" w:pos="711" w:val="left"/>
        </w:tabs>
        <w:numPr>
          <w:ilvl w:val="0"/>
          <w:numId w:val="355"/>
        </w:numPr>
        <w:rPr>
          <w:rFonts w:ascii="Arial" w:cs="Arial" w:eastAsia="Arial" w:hAnsi="Arial"/>
          <w:sz w:val="17"/>
          <w:szCs w:val="17"/>
          <w:color w:val="auto"/>
        </w:rPr>
      </w:pPr>
      <w:r>
        <w:rPr>
          <w:rFonts w:ascii="Arial" w:cs="Arial" w:eastAsia="Arial" w:hAnsi="Arial"/>
          <w:sz w:val="17"/>
          <w:szCs w:val="17"/>
          <w:color w:val="auto"/>
        </w:rPr>
        <w:t>Hedging Obligations that are incurred in the ordinary course of business for the purpose of managing interest rate, commodity price or foreign currency exchange rate risk (or to reverse or amend any such agreements previously made for such purposes), and not for speculative purposes, and that do not increase the Indebtedness of the obligor outstanding at any time other than as a result of fluctuations in interest rates, commodity prices or foreign currency exchange rates or by reason of fees, indemnities and compensation payable thereunder;</w:t>
      </w:r>
    </w:p>
    <w:p>
      <w:pPr>
        <w:spacing w:after="0" w:line="171" w:lineRule="exact"/>
        <w:rPr>
          <w:rFonts w:ascii="Arial" w:cs="Arial" w:eastAsia="Arial" w:hAnsi="Arial"/>
          <w:sz w:val="17"/>
          <w:szCs w:val="17"/>
          <w:color w:val="auto"/>
        </w:rPr>
      </w:pPr>
    </w:p>
    <w:p>
      <w:pPr>
        <w:ind w:left="720" w:hanging="256"/>
        <w:spacing w:after="0"/>
        <w:tabs>
          <w:tab w:leader="none" w:pos="7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stock, obligations or securities received in satisfaction of judgments;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380"/>
          </w:cols>
          <w:pgMar w:left="240" w:top="460" w:right="2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64"/>
        <w:spacing w:after="0" w:line="257" w:lineRule="auto"/>
        <w:tabs>
          <w:tab w:leader="none" w:pos="71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Investments in securities of trade debtors or customers received (x) pursuant to any plan of reorganization or similar arrangement upon the bankruptcy or insolvency of such trade creditors or customers or in good faith settlement of delinquent obligations of such trade debtors or customers or in compromise or resolution of litigation, arbitration or other disputes with Persons who are not Affiliates, (y) as a result of the foreclosure by Spectrum Brands or any Restricted Subsidiaries with respect to any secured Investment or other transfer of title, or (z) as a result of litigation, or other disputes with Persons who are not Affiliates;</w:t>
      </w:r>
    </w:p>
    <w:p>
      <w:pPr>
        <w:spacing w:after="0" w:line="188" w:lineRule="exact"/>
        <w:rPr>
          <w:rFonts w:ascii="Arial" w:cs="Arial" w:eastAsia="Arial" w:hAnsi="Arial"/>
          <w:sz w:val="18"/>
          <w:szCs w:val="18"/>
          <w:color w:val="auto"/>
        </w:rPr>
      </w:pPr>
    </w:p>
    <w:p>
      <w:pPr>
        <w:jc w:val="both"/>
        <w:ind w:right="20" w:firstLine="464"/>
        <w:spacing w:after="0" w:line="259" w:lineRule="auto"/>
        <w:tabs>
          <w:tab w:leader="none" w:pos="71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other Investments in any Person engaged in a Permitted Business having an aggregate fair market value (measured on the date each such Investment was made and without giving effect to subsequent changes in value), when taken together with all other Investments made pursuant to this clause (8) since the Issue Date, not to exceed the greater of (x) $200.0 million and (y) 20% of Consolidated Cash Flow, in each case, net of any return of or on such Investment received by Spectrum Brands or a Restricted Subsidiary;</w:t>
      </w:r>
    </w:p>
    <w:p>
      <w:pPr>
        <w:spacing w:after="0" w:line="186"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or equipment, or the licensing or contribution of intellectual property pursuant to joint marketing, joint development or similar arrangements with other Persons;</w:t>
      </w:r>
    </w:p>
    <w:p>
      <w:pPr>
        <w:spacing w:after="0" w:line="170" w:lineRule="exact"/>
        <w:rPr>
          <w:rFonts w:ascii="Arial" w:cs="Arial" w:eastAsia="Arial" w:hAnsi="Arial"/>
          <w:sz w:val="18"/>
          <w:szCs w:val="18"/>
          <w:color w:val="auto"/>
        </w:rPr>
      </w:pPr>
    </w:p>
    <w:p>
      <w:pPr>
        <w:ind w:right="420" w:firstLine="464"/>
        <w:spacing w:after="0" w:line="277" w:lineRule="auto"/>
        <w:tabs>
          <w:tab w:leader="none" w:pos="80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advances, loans, rebates and extensions of credit (including the creation of receivables) to suppliers, customers and vendors, and performance guarantees, in each case in the ordinary course of business;</w:t>
      </w:r>
    </w:p>
    <w:p>
      <w:pPr>
        <w:spacing w:after="0" w:line="170" w:lineRule="exact"/>
        <w:rPr>
          <w:rFonts w:ascii="Arial" w:cs="Arial" w:eastAsia="Arial" w:hAnsi="Arial"/>
          <w:sz w:val="18"/>
          <w:szCs w:val="18"/>
          <w:color w:val="auto"/>
        </w:rPr>
      </w:pPr>
    </w:p>
    <w:p>
      <w:pPr>
        <w:ind w:right="160" w:firstLine="464"/>
        <w:spacing w:after="0" w:line="277" w:lineRule="auto"/>
        <w:tabs>
          <w:tab w:leader="none" w:pos="79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Investments in prepaid expenses, negotiable instruments held for collection and lease and utility and worker’s compensation deposits provided to third parties in the ordinary course of business; and</w:t>
      </w:r>
    </w:p>
    <w:p>
      <w:pPr>
        <w:spacing w:after="0" w:line="170" w:lineRule="exact"/>
        <w:rPr>
          <w:rFonts w:ascii="Arial" w:cs="Arial" w:eastAsia="Arial" w:hAnsi="Arial"/>
          <w:sz w:val="18"/>
          <w:szCs w:val="18"/>
          <w:color w:val="auto"/>
        </w:rPr>
      </w:pPr>
    </w:p>
    <w:p>
      <w:pPr>
        <w:ind w:right="180" w:firstLine="464"/>
        <w:spacing w:after="0" w:line="264" w:lineRule="auto"/>
        <w:tabs>
          <w:tab w:leader="none" w:pos="80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Investments (other than in Restricted Subsidiaries) outstanding on the Issue Date or made pursuant to binding agreements in effect on the Issue Date, including any extension, modification or renewal of such Investments, to the extent not involving any additional Investment other than as the result of the accrual or accretion of interest or original issue discount or the issuance of pay-in-kind securities;</w:t>
      </w:r>
    </w:p>
    <w:p>
      <w:pPr>
        <w:spacing w:after="0" w:line="181" w:lineRule="exact"/>
        <w:rPr>
          <w:rFonts w:ascii="Arial" w:cs="Arial" w:eastAsia="Arial" w:hAnsi="Arial"/>
          <w:sz w:val="18"/>
          <w:szCs w:val="18"/>
          <w:color w:val="auto"/>
        </w:rPr>
      </w:pPr>
    </w:p>
    <w:p>
      <w:pPr>
        <w:jc w:val="both"/>
        <w:ind w:right="200" w:firstLine="464"/>
        <w:spacing w:after="0" w:line="264" w:lineRule="auto"/>
        <w:tabs>
          <w:tab w:leader="none" w:pos="80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advances and loans to officers, directors or employees for business-related travel expenses, moving expenses and other similar expenses, in each case incurred in the ordinary course of business or consistent with past practice or to fund such person’s purchase of Equity Interests of Spectrum Brands or any direct or indirect parent of Spectrum Brands;</w:t>
      </w:r>
    </w:p>
    <w:p>
      <w:pPr>
        <w:spacing w:after="0" w:line="181" w:lineRule="exact"/>
        <w:rPr>
          <w:rFonts w:ascii="Arial" w:cs="Arial" w:eastAsia="Arial" w:hAnsi="Arial"/>
          <w:sz w:val="18"/>
          <w:szCs w:val="18"/>
          <w:color w:val="auto"/>
        </w:rPr>
      </w:pPr>
    </w:p>
    <w:p>
      <w:pPr>
        <w:ind w:firstLine="464"/>
        <w:spacing w:after="0" w:line="293" w:lineRule="auto"/>
        <w:tabs>
          <w:tab w:leader="none" w:pos="80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Investments in joint ventures having an aggregate fair market value, when taken together with all other Investments made pursuant to this clause that are at the time outstanding, not to exceed $100.0 million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Investment pursuant to this clause (14) is made in any Person that is not Spectrum Brands or a Restricted Subsidiary at the date of the making of such Investment and such Person becomes Spectrum Brands or a Restricted Subsidiary after such date, such Investment shall thereafter be deemed to have been made pursuant to clause (1) above and shall cease to have been made pursuant to this clause (14) for so long as such Person continues to be Spectrum Brands or a Restricted Subsidiary; and</w:t>
      </w:r>
    </w:p>
    <w:p>
      <w:pPr>
        <w:spacing w:after="0" w:line="164" w:lineRule="exact"/>
        <w:rPr>
          <w:rFonts w:ascii="Arial" w:cs="Arial" w:eastAsia="Arial" w:hAnsi="Arial"/>
          <w:sz w:val="16"/>
          <w:szCs w:val="16"/>
          <w:color w:val="auto"/>
        </w:rPr>
      </w:pPr>
    </w:p>
    <w:p>
      <w:pPr>
        <w:jc w:val="both"/>
        <w:ind w:right="180" w:firstLine="464"/>
        <w:spacing w:after="0" w:line="264" w:lineRule="auto"/>
        <w:tabs>
          <w:tab w:leader="none" w:pos="80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Investments in Unrestricted Subsidiaries having an aggregate fair market value, when taken together with all other Investments made pursuant to this clause that are at the time outstanding, not to exceed $100.0 million at the time of such Investment (with the fair market value of each Investment being measured at the time made and without giving effect to subsequent changes in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225" w:lineRule="exact"/>
        <w:rPr>
          <w:sz w:val="20"/>
          <w:szCs w:val="20"/>
          <w:color w:val="auto"/>
        </w:rPr>
      </w:pPr>
    </w:p>
    <w:p>
      <w:pPr>
        <w:ind w:right="680" w:firstLine="464"/>
        <w:spacing w:after="0" w:line="277" w:lineRule="auto"/>
        <w:tabs>
          <w:tab w:leader="none" w:pos="711" w:val="left"/>
        </w:tabs>
        <w:numPr>
          <w:ilvl w:val="0"/>
          <w:numId w:val="357"/>
        </w:numPr>
        <w:rPr>
          <w:rFonts w:ascii="Arial" w:cs="Arial" w:eastAsia="Arial" w:hAnsi="Arial"/>
          <w:sz w:val="18"/>
          <w:szCs w:val="18"/>
          <w:color w:val="auto"/>
        </w:rPr>
      </w:pPr>
      <w:r>
        <w:rPr>
          <w:rFonts w:ascii="Arial" w:cs="Arial" w:eastAsia="Arial" w:hAnsi="Arial"/>
          <w:sz w:val="18"/>
          <w:szCs w:val="18"/>
          <w:color w:val="auto"/>
        </w:rPr>
        <w:t>Liens securing Indebtedness incurred and then outstanding pursuant to clause (1) of paragraph (b) of “—Certain Covenants—Incurrence of Indebtedness and Issuance of Preferred Stock” and other Obligations in respect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Liens in favor of Spectrum Brands or any Guarantor;</w:t>
      </w:r>
    </w:p>
    <w:p>
      <w:pPr>
        <w:spacing w:after="0" w:line="225" w:lineRule="exact"/>
        <w:rPr>
          <w:rFonts w:ascii="Arial" w:cs="Arial" w:eastAsia="Arial" w:hAnsi="Arial"/>
          <w:sz w:val="18"/>
          <w:szCs w:val="18"/>
          <w:color w:val="auto"/>
        </w:rPr>
      </w:pPr>
    </w:p>
    <w:p>
      <w:pPr>
        <w:ind w:right="220" w:firstLine="464"/>
        <w:spacing w:after="0" w:line="286" w:lineRule="auto"/>
        <w:tabs>
          <w:tab w:leader="none" w:pos="71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Liens on property of a Person existing at the time such Person is merged with or into or consolidated with Spectrum Brands or any Restricted Subsidiary of Spectrum Brands;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were in existence prior to the contemplation of such merger or consolidation and do not extend to any assets other than those of the Person merged into or consolidated with Spectrum Brands or the Restricted Subsidiary;</w:t>
      </w:r>
    </w:p>
    <w:p>
      <w:pPr>
        <w:spacing w:after="0" w:line="165" w:lineRule="exact"/>
        <w:rPr>
          <w:rFonts w:ascii="Arial" w:cs="Arial" w:eastAsia="Arial" w:hAnsi="Arial"/>
          <w:sz w:val="17"/>
          <w:szCs w:val="17"/>
          <w:color w:val="auto"/>
        </w:rPr>
      </w:pPr>
    </w:p>
    <w:p>
      <w:pPr>
        <w:ind w:right="20" w:firstLine="464"/>
        <w:spacing w:after="0" w:line="264" w:lineRule="auto"/>
        <w:tabs>
          <w:tab w:leader="none" w:pos="71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Spectrum Brands or any Restricted Subsidiary of Spectrum Brands,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in existence prior to the contemplation of such acquisition and do not extend to any property other than the property so acquired by Spectrum Brands or the Restricted Subsidiary;</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Liens existing on the Issue Date not otherwise permitted hereby;</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Liens securing Permitted Refinancing Indebtedness (other than in respect of Indebtedness referred to in clause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extend to any property or assets other than the property or assets that secure the Indebtedness being refinanced;</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Spectrum Brands or any Restricted Subsidiary of Spectrum Brands with respect to obligations that do not exceed the greater of $200 million or 20% of Consolidated Cash Flow;</w:t>
      </w:r>
    </w:p>
    <w:p>
      <w:pPr>
        <w:spacing w:after="0" w:line="170" w:lineRule="exact"/>
        <w:rPr>
          <w:rFonts w:ascii="Arial" w:cs="Arial" w:eastAsia="Arial" w:hAnsi="Arial"/>
          <w:sz w:val="18"/>
          <w:szCs w:val="18"/>
          <w:color w:val="auto"/>
        </w:rPr>
      </w:pPr>
    </w:p>
    <w:p>
      <w:pPr>
        <w:ind w:right="620" w:firstLine="464"/>
        <w:spacing w:after="0" w:line="277" w:lineRule="auto"/>
        <w:tabs>
          <w:tab w:leader="none" w:pos="71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Liens on the assets of a Foreign Subsidiary securing Indebtedness of a Foreign Subsidiary that was permitted by the terms of the 2025 notes indenture to be incurred;</w:t>
      </w:r>
    </w:p>
    <w:p>
      <w:pPr>
        <w:spacing w:after="0" w:line="170" w:lineRule="exact"/>
        <w:rPr>
          <w:rFonts w:ascii="Arial" w:cs="Arial" w:eastAsia="Arial" w:hAnsi="Arial"/>
          <w:sz w:val="18"/>
          <w:szCs w:val="18"/>
          <w:color w:val="auto"/>
        </w:rPr>
      </w:pPr>
    </w:p>
    <w:p>
      <w:pPr>
        <w:ind w:right="280" w:firstLine="464"/>
        <w:spacing w:after="0" w:line="264" w:lineRule="auto"/>
        <w:tabs>
          <w:tab w:leader="none" w:pos="71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pledges or deposits under worker’s compensation laws, unemployment insurance laws or similar legislation, or good faith deposits in connection with bids, tenders, contracts or leases, or to secure public or statutory obligations, surety bonds, customs duties and the like, or for the payment of rent, in each case incurred in the ordinary course of business and not securing Indebtedness;</w:t>
      </w:r>
    </w:p>
    <w:p>
      <w:pPr>
        <w:spacing w:after="0" w:line="181" w:lineRule="exact"/>
        <w:rPr>
          <w:rFonts w:ascii="Arial" w:cs="Arial" w:eastAsia="Arial" w:hAnsi="Arial"/>
          <w:sz w:val="18"/>
          <w:szCs w:val="18"/>
          <w:color w:val="auto"/>
        </w:rPr>
      </w:pPr>
    </w:p>
    <w:p>
      <w:pPr>
        <w:ind w:firstLine="464"/>
        <w:spacing w:after="0" w:line="277" w:lineRule="auto"/>
        <w:tabs>
          <w:tab w:leader="none" w:pos="80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Liens imposed by law, such as carriers’, vendors’, warehousemen’s and mechanics’ liens or other similar liens, in each case for sums not yet due or being contested in good faith and by appropriate proceedings;</w:t>
      </w:r>
    </w:p>
    <w:p>
      <w:pPr>
        <w:spacing w:after="0" w:line="170" w:lineRule="exact"/>
        <w:rPr>
          <w:rFonts w:ascii="Arial" w:cs="Arial" w:eastAsia="Arial" w:hAnsi="Arial"/>
          <w:sz w:val="18"/>
          <w:szCs w:val="18"/>
          <w:color w:val="auto"/>
        </w:rPr>
      </w:pPr>
    </w:p>
    <w:p>
      <w:pPr>
        <w:ind w:right="100" w:firstLine="464"/>
        <w:spacing w:after="0" w:line="277" w:lineRule="auto"/>
        <w:tabs>
          <w:tab w:leader="none" w:pos="79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Liens in respect of taxes and other governmental assessments and charges which are not yet due or which are being contested in good faith and by appropriate proceedings;</w:t>
      </w:r>
    </w:p>
    <w:p>
      <w:pPr>
        <w:spacing w:after="0" w:line="170" w:lineRule="exact"/>
        <w:rPr>
          <w:rFonts w:ascii="Arial" w:cs="Arial" w:eastAsia="Arial" w:hAnsi="Arial"/>
          <w:sz w:val="18"/>
          <w:szCs w:val="18"/>
          <w:color w:val="auto"/>
        </w:rPr>
      </w:pPr>
    </w:p>
    <w:p>
      <w:pPr>
        <w:ind w:right="240" w:firstLine="464"/>
        <w:spacing w:after="0" w:line="277" w:lineRule="auto"/>
        <w:tabs>
          <w:tab w:leader="none" w:pos="80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proceeds thereof;</w:t>
      </w:r>
    </w:p>
    <w:p>
      <w:pPr>
        <w:spacing w:after="0" w:line="170" w:lineRule="exact"/>
        <w:rPr>
          <w:rFonts w:ascii="Arial" w:cs="Arial" w:eastAsia="Arial" w:hAnsi="Arial"/>
          <w:sz w:val="18"/>
          <w:szCs w:val="18"/>
          <w:color w:val="auto"/>
        </w:rPr>
      </w:pPr>
    </w:p>
    <w:p>
      <w:pPr>
        <w:ind w:firstLine="464"/>
        <w:spacing w:after="0" w:line="257" w:lineRule="auto"/>
        <w:tabs>
          <w:tab w:leader="none" w:pos="80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(x) minor survey exceptions, minor encumbrances, easements or reservations of, or rights of others for, licenses, rights of way, sewers, electric lines, telegraph and telephone lines and other similar purposes, or zoning or other restrictions as to the use of real property, or zoning or other restrictions as to the use of real property or Liens incidental to the conduct of the business of such Person or the ownership of its properties, not interfering in any material respect with the conduct of the business of Spectrum Brands and its Restricted Subsidiaries or (y) any zoning or similar law or right reserved to or vested in any governmental authority to control or regulate the use of any real property;</w:t>
      </w:r>
    </w:p>
    <w:p>
      <w:pPr>
        <w:spacing w:after="0" w:line="188" w:lineRule="exact"/>
        <w:rPr>
          <w:rFonts w:ascii="Arial" w:cs="Arial" w:eastAsia="Arial" w:hAnsi="Arial"/>
          <w:sz w:val="18"/>
          <w:szCs w:val="18"/>
          <w:color w:val="auto"/>
        </w:rPr>
      </w:pPr>
    </w:p>
    <w:p>
      <w:pPr>
        <w:ind w:right="220" w:firstLine="464"/>
        <w:spacing w:after="0" w:line="277" w:lineRule="auto"/>
        <w:tabs>
          <w:tab w:leader="none" w:pos="80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licenses or leases or sublicenses or subleases as licensor, lessor, sublicensor or sublessor of any of its property, including intellectual property, in the ordinary course of business;</w:t>
      </w:r>
    </w:p>
    <w:p>
      <w:pPr>
        <w:spacing w:after="0" w:line="170" w:lineRule="exact"/>
        <w:rPr>
          <w:rFonts w:ascii="Arial" w:cs="Arial" w:eastAsia="Arial" w:hAnsi="Arial"/>
          <w:sz w:val="18"/>
          <w:szCs w:val="18"/>
          <w:color w:val="auto"/>
        </w:rPr>
      </w:pPr>
    </w:p>
    <w:p>
      <w:pPr>
        <w:ind w:right="240" w:firstLine="464"/>
        <w:spacing w:after="0" w:line="277" w:lineRule="auto"/>
        <w:tabs>
          <w:tab w:leader="none" w:pos="80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customary Liens in favor of trustees and escrow agents, and netting and setoff rights, banker’s liens and the like in favor of financial institutions and counterparties to financial obligations and instruments, including Hedging Agreements;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hanging="336"/>
        <w:spacing w:after="0"/>
        <w:tabs>
          <w:tab w:leader="none" w:pos="80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Liens on assets pursuant to merger agreements, stock or asset purchase agreements and similar agreements in respect of the disposition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210" w:lineRule="exact"/>
        <w:rPr>
          <w:rFonts w:ascii="Arial" w:cs="Arial" w:eastAsia="Arial" w:hAnsi="Arial"/>
          <w:sz w:val="16"/>
          <w:szCs w:val="16"/>
          <w:color w:val="auto"/>
        </w:rPr>
      </w:pPr>
    </w:p>
    <w:p>
      <w:pPr>
        <w:ind w:left="800" w:hanging="336"/>
        <w:spacing w:after="0"/>
        <w:tabs>
          <w:tab w:leader="none" w:pos="80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options, put and call arrangements, rights of first refusal and similar rights relating to Investments in joint ventures, partnerships and the like;</w:t>
      </w:r>
    </w:p>
    <w:p>
      <w:pPr>
        <w:spacing w:after="0" w:line="236" w:lineRule="exact"/>
        <w:rPr>
          <w:rFonts w:ascii="Arial" w:cs="Arial" w:eastAsia="Arial" w:hAnsi="Arial"/>
          <w:sz w:val="17"/>
          <w:szCs w:val="17"/>
          <w:color w:val="auto"/>
        </w:rPr>
      </w:pPr>
    </w:p>
    <w:p>
      <w:pPr>
        <w:ind w:right="160" w:firstLine="464"/>
        <w:spacing w:after="0" w:line="277" w:lineRule="auto"/>
        <w:tabs>
          <w:tab w:leader="none" w:pos="80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judgment liens, and Liens securing appeal bonds or letters of credit issued in support of or in lieu of appeal bonds, so long as no Event of Default then exists as a result thereof;</w:t>
      </w:r>
    </w:p>
    <w:p>
      <w:pPr>
        <w:spacing w:after="0" w:line="170" w:lineRule="exact"/>
        <w:rPr>
          <w:rFonts w:ascii="Arial" w:cs="Arial" w:eastAsia="Arial" w:hAnsi="Arial"/>
          <w:sz w:val="18"/>
          <w:szCs w:val="18"/>
          <w:color w:val="auto"/>
        </w:rPr>
      </w:pPr>
    </w:p>
    <w:p>
      <w:pPr>
        <w:ind w:right="320" w:firstLine="464"/>
        <w:spacing w:after="0" w:line="277" w:lineRule="auto"/>
        <w:tabs>
          <w:tab w:leader="none" w:pos="80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not securing Indebtedness and not in the aggregate materially detracting from the value of the properties or their use in the operation of the business of Spectrum Brands and its Restricted Subsidiaries;</w:t>
      </w:r>
    </w:p>
    <w:p>
      <w:pPr>
        <w:spacing w:after="0" w:line="170" w:lineRule="exact"/>
        <w:rPr>
          <w:rFonts w:ascii="Arial" w:cs="Arial" w:eastAsia="Arial" w:hAnsi="Arial"/>
          <w:sz w:val="18"/>
          <w:szCs w:val="18"/>
          <w:color w:val="auto"/>
        </w:rPr>
      </w:pPr>
    </w:p>
    <w:p>
      <w:pPr>
        <w:ind w:firstLine="464"/>
        <w:spacing w:after="0" w:line="264" w:lineRule="auto"/>
        <w:tabs>
          <w:tab w:leader="none" w:pos="80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(including the interest of a lessor under a Capital Lease) on property that secure Indebtedness incurred under clause (4) of Permitted Debt for the purpose of financing all or any part of the purchase price or cost of construction or improvement of such property and which attach within 365 days after the date of such purchase or the completion of construction or improvement;</w:t>
      </w:r>
    </w:p>
    <w:p>
      <w:pPr>
        <w:spacing w:after="0" w:line="181" w:lineRule="exact"/>
        <w:rPr>
          <w:rFonts w:ascii="Arial" w:cs="Arial" w:eastAsia="Arial" w:hAnsi="Arial"/>
          <w:sz w:val="18"/>
          <w:szCs w:val="18"/>
          <w:color w:val="auto"/>
        </w:rPr>
      </w:pPr>
    </w:p>
    <w:p>
      <w:pPr>
        <w:ind w:left="800" w:hanging="336"/>
        <w:spacing w:after="0"/>
        <w:tabs>
          <w:tab w:leader="none" w:pos="8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deposits in the ordinary course of business to secure liability to insurance carriers;</w:t>
      </w:r>
    </w:p>
    <w:p>
      <w:pPr>
        <w:spacing w:after="0" w:line="225" w:lineRule="exact"/>
        <w:rPr>
          <w:rFonts w:ascii="Arial" w:cs="Arial" w:eastAsia="Arial" w:hAnsi="Arial"/>
          <w:sz w:val="18"/>
          <w:szCs w:val="18"/>
          <w:color w:val="auto"/>
        </w:rPr>
      </w:pPr>
    </w:p>
    <w:p>
      <w:pPr>
        <w:ind w:right="880" w:firstLine="464"/>
        <w:spacing w:after="0" w:line="277" w:lineRule="auto"/>
        <w:tabs>
          <w:tab w:leader="none" w:pos="80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right="80" w:firstLine="464"/>
        <w:spacing w:after="0" w:line="302" w:lineRule="auto"/>
        <w:tabs>
          <w:tab w:leader="none" w:pos="801" w:val="left"/>
        </w:tabs>
        <w:numPr>
          <w:ilvl w:val="0"/>
          <w:numId w:val="359"/>
        </w:numPr>
        <w:rPr>
          <w:rFonts w:ascii="Arial" w:cs="Arial" w:eastAsia="Arial" w:hAnsi="Arial"/>
          <w:sz w:val="16"/>
          <w:szCs w:val="16"/>
          <w:color w:val="auto"/>
        </w:rPr>
      </w:pPr>
      <w:r>
        <w:rPr>
          <w:rFonts w:ascii="Arial" w:cs="Arial" w:eastAsia="Arial" w:hAnsi="Arial"/>
          <w:sz w:val="16"/>
          <w:szCs w:val="16"/>
          <w:color w:val="auto"/>
        </w:rPr>
        <w:t>Liens consisting of contractual rights of set-off (i) relating to the establishment of depository relations with banks not given in connection with the issuance of Indebtedness, (ii) relating to pooled deposit or sweep accounts of Spectrum Brands or any of its Restricted Subsidiaries to permit satisfaction of overdraft or similar obligations incurred in the ordinary course of business of Spectrum Brands and its Restricted Subsidiaries or (iii) relating to purchase orders and other agreements entered into with customers of Spectrum Brands or any of its Restricted Subsidiaries in the ordinary course of business;</w:t>
      </w:r>
    </w:p>
    <w:p>
      <w:pPr>
        <w:spacing w:after="0" w:line="154" w:lineRule="exact"/>
        <w:rPr>
          <w:rFonts w:ascii="Arial" w:cs="Arial" w:eastAsia="Arial" w:hAnsi="Arial"/>
          <w:sz w:val="16"/>
          <w:szCs w:val="16"/>
          <w:color w:val="auto"/>
        </w:rPr>
      </w:pPr>
    </w:p>
    <w:p>
      <w:pPr>
        <w:ind w:right="180" w:firstLine="464"/>
        <w:spacing w:after="0" w:line="277" w:lineRule="auto"/>
        <w:tabs>
          <w:tab w:leader="none" w:pos="80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arising from financing statements filings under the Uniform Commercial Code or similar state laws regarding operating leases entered into by Spectrum Brands and its Restricted Subsidiaries in the ordinary course of business;</w:t>
      </w:r>
    </w:p>
    <w:p>
      <w:pPr>
        <w:spacing w:after="0" w:line="170" w:lineRule="exact"/>
        <w:rPr>
          <w:rFonts w:ascii="Arial" w:cs="Arial" w:eastAsia="Arial" w:hAnsi="Arial"/>
          <w:sz w:val="18"/>
          <w:szCs w:val="18"/>
          <w:color w:val="auto"/>
        </w:rPr>
      </w:pPr>
    </w:p>
    <w:p>
      <w:pPr>
        <w:ind w:right="560" w:firstLine="464"/>
        <w:spacing w:after="0" w:line="308" w:lineRule="auto"/>
        <w:tabs>
          <w:tab w:leader="none" w:pos="80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Liens securing Cash Management Obligations and all Obligations under the Hedging Agreements owed to Persons that were agents and the lenders under the Revolving Credit Agreement or their affiliates at the time of entry into the agreements governing such obligations;</w:t>
      </w:r>
    </w:p>
    <w:p>
      <w:pPr>
        <w:spacing w:after="0" w:line="146" w:lineRule="exact"/>
        <w:rPr>
          <w:rFonts w:ascii="Arial" w:cs="Arial" w:eastAsia="Arial" w:hAnsi="Arial"/>
          <w:sz w:val="17"/>
          <w:szCs w:val="17"/>
          <w:color w:val="auto"/>
        </w:rPr>
      </w:pPr>
    </w:p>
    <w:p>
      <w:pPr>
        <w:ind w:right="20" w:firstLine="464"/>
        <w:spacing w:after="0" w:line="277" w:lineRule="auto"/>
        <w:tabs>
          <w:tab w:leader="none" w:pos="80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Spectrum Brands and its subsidiaries in the ordinary course of business; and</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created for the benefit of the 2025 notes or the Note Guarantees with respect thereto.</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“Permitted Refinancing Indebtedness” means any Indebtedness of Spectrum Brands or any of its Restricted Subsidiaries issued in exchange for, or the net proceeds of which are used to extend, refinance, renew, replace, defease or refund other Indebtedness of Spectrum Brands or any of its Restricted Subsidiaries (other than intercompany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right="180" w:firstLine="464"/>
        <w:spacing w:after="0" w:line="259" w:lineRule="auto"/>
        <w:tabs>
          <w:tab w:leader="none" w:pos="71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so extended, refinanced, renewed, replaced, defeased or refunded (plus all accrued interest thereon and the amount of any reasonably determined premium necessary to accomplish such refinancing (including tender premiums) and such reasonable expenses, defeasance costs and fees incurred in connection therewith);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64"/>
        <w:spacing w:after="0" w:line="342" w:lineRule="auto"/>
        <w:tabs>
          <w:tab w:leader="none" w:pos="711" w:val="left"/>
        </w:tabs>
        <w:numPr>
          <w:ilvl w:val="0"/>
          <w:numId w:val="361"/>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23" w:lineRule="exact"/>
        <w:rPr>
          <w:rFonts w:ascii="Arial" w:cs="Arial" w:eastAsia="Arial" w:hAnsi="Arial"/>
          <w:sz w:val="16"/>
          <w:szCs w:val="16"/>
          <w:color w:val="auto"/>
        </w:rPr>
      </w:pPr>
    </w:p>
    <w:p>
      <w:pPr>
        <w:jc w:val="both"/>
        <w:ind w:firstLine="464"/>
        <w:spacing w:after="0" w:line="259" w:lineRule="auto"/>
        <w:tabs>
          <w:tab w:leader="none" w:pos="71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2025 notes or the Note Guarantees, such Permitted Refinancing Indebtedness is subordinated in right of payment to, the 2025 notes or such Note Guarantees on terms at least as favorable to the Holders of 2025 notes as those contained in the documentation governing the Indebtedness being extended, refinanced, renewed, replaced, defeased or refunded; and</w:t>
      </w:r>
    </w:p>
    <w:p>
      <w:pPr>
        <w:spacing w:after="0" w:line="186"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 no event may Indebtedness of Spectrum Brands or any Guarantor be refinanced by means of Indebtedness of a Restricted Subsidiary that is not a Guarantor.</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“Person”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“preferred stock” means, with respect to any Person, any Capital Stock of such Person that has preferential rights to any other Capital Stock of such Person with respect to dividends or redemption upon liquidation.</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“Prior Transaction Expenses” means fees and expenses payable or otherwise borne by Spectrum Brands and its Restricted Subsidiaries in connection with the Prior Transactions and incurred before, or on or about, the issue date of Spectrum Brands’ 6.125% Senior Notes due 2024 outstanding on the Issue Date, including the costs of legal and financial advisors to Spectrum Brands.</w:t>
      </w:r>
    </w:p>
    <w:p>
      <w:pPr>
        <w:spacing w:after="0" w:line="18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“Prior Transactions” means, collectively, (a) the execution, delivery and performance by Spectrum Brands and the other parties thereto of the New Term Loan Commitment Agreement and the making of the borrowings thereunder, (b) the issuance of Spectrum Brands’ 6.125% Senior Notes due 2024 outstanding on the Issue Date, and (c) the consummation of the acquisition of (i) Tell Manufacturing, Inc., (ii) Proctor and Gamble’s European pet food business and (iii) Salix Animal Health, LLC.</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“Qualified Equity Interests” means all Equity Interests of a person other than Disqualified Stock.</w:t>
      </w:r>
    </w:p>
    <w:p>
      <w:pPr>
        <w:spacing w:after="0" w:line="225"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 xml:space="preserve">“Rating Agencies” means S&amp;P and Moody’s;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S&amp;P or Moody’s (or both) shall cease issuing a rating on the 2025 notes for reasons outside the control of Spectrum Brands, Spectrum Brands may select a nationally recognized statistical rating agency to substitute for S&amp;P or Moody’s (or both).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means an office or agency where 2025 notes may be presented for registration of transfer or for exchange.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“Replacement Assets” means (1) non-current assets (other than securities of any Person) that will be used or useful in a Permitted Business or (2) all or substantially all of the assets of a Permitted Business or Voting Stock of any Person engaged in a Permitted Business that will become on the date of acquisition thereof a Restricted Subsidiary.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Investment” means an Investment other than a Permitted Investment.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“Restricted Subsidiary” of a Person means any Subsidiary of the referent Person that is not an Unrestricted Subsidiary. Unless the context otherwise requires, “Restricted Subsidiary” refers to a Restricted Subsidiary of Spectrum Brands.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“Revolving Credit Agreement” means the revolving credit agreement dated June 16, 2010 among Spectrum Brands, the lenders party thereto and Bank of America NA, as agent, together with any related documents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(including any security documents and guarantees) as such agreement, in whole or in part, in one or more instances, may be amended, renewed, extended, substituted, refinanced, restructured, replaced, supplemented or otherwise modified from time to time (including any successive renewals, extensions, substitutions, refinancings, restructurings, replacements, supplementations or other modifications of the foregoing and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institutional lenders)), including into one or more debt facilities, commercial paper facilities or other debt instruments, indentures or agreements (including by means of sales of debt securities (including Additional Notes)), providing for revolving credit loans, term loans, letters of credit or other debt obligations, whether any such extension, replacement or refinancing (1) occurs simultaneously or not with the termination or repayment of a prior credit agreement or (2) occurs on one or more separate occasions.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Ratings Group, a division of McGraw Hill, Inc. and its successors.</w:t>
      </w:r>
    </w:p>
    <w:p>
      <w:pPr>
        <w:spacing w:after="0" w:line="22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“Secured Leverage Ratio” means, on any date of determination (the “transaction date”), the ratio of (x) the aggregate amount of all Consolidated Total Indebtedness secured (or deemed secured pursuant to clause (1)(y) of the second paragraph of the covenant described under “—Certain Covenants— Incurrence of Indebtedness and issuance of Preferred Stock”) by a Lien on an any asset of Spectrum Brands or any of its Restricted Subsidiaries (other than liens described in clauses (2), (8), (25) and (27) of the definition of “Permitted Liens”) of Spectrum Brands and its Restricted Subsidiaries, determined on a consolidated basis (with any Indebtedness incurred pursuant to clause (1)(y) of the second paragraph of the covenant described under “—Certain Covenants —Incurrence of Indebtedness and issuance of Preferred Stock” deemed to be secured Indebtedness for this purpose in connection with any measurement of the Secured Leverage Ratio pursuant to such clause) minus the aggregate amount of unrestricted cash and Cash Equivalents owned by Spectrum Brands and its Restricted Subsidiaries on a consolidated basis to (y) the aggregate amount of Consolidated Cash Flow of Spectrum Brands and its Restricted Subsidiaries for the four fiscal quarters immediately prior to the transaction date for which internal financial statements are available in each case with such pro forma adjustments to Indebtedness and Consolidated Cash Flow as are consistent with the pro forma adjustment provisions of the Fixed Charges Coverage Ratio.</w:t>
      </w:r>
    </w:p>
    <w:p>
      <w:pPr>
        <w:spacing w:after="0" w:line="16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“Significant Subsidiary” means any Subsidiary that would constitute a “significant subsidiary” within the meaning of Article 1 of Regulation S-X of the Securities Act.</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 means, with respect to any specified Person:</w:t>
      </w:r>
    </w:p>
    <w:p>
      <w:pPr>
        <w:spacing w:after="0" w:line="225" w:lineRule="exact"/>
        <w:rPr>
          <w:sz w:val="20"/>
          <w:szCs w:val="20"/>
          <w:color w:val="auto"/>
        </w:rPr>
      </w:pPr>
    </w:p>
    <w:p>
      <w:pPr>
        <w:ind w:right="160" w:firstLine="464"/>
        <w:spacing w:after="0" w:line="286" w:lineRule="auto"/>
        <w:tabs>
          <w:tab w:leader="none" w:pos="711"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165" w:lineRule="exact"/>
        <w:rPr>
          <w:rFonts w:ascii="Arial" w:cs="Arial" w:eastAsia="Arial" w:hAnsi="Arial"/>
          <w:sz w:val="17"/>
          <w:szCs w:val="17"/>
          <w:color w:val="auto"/>
        </w:rPr>
      </w:pPr>
    </w:p>
    <w:p>
      <w:pPr>
        <w:ind w:right="200" w:firstLine="464"/>
        <w:spacing w:after="0" w:line="277" w:lineRule="auto"/>
        <w:tabs>
          <w:tab w:leader="none" w:pos="71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“Term Loan Agreement” means the term loan credit agreement dated as of December 17, 2012, as amended pursuant to amendment no. 1 to credit agreement dated as of August 13, 2013, as further amended pursuant to new term loan commitment agreement no. 1 dated as of August 13, 2013 and effective as of September 4,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amended and restated pursuant to the restatement agreement dated as of December 18, 2013, as amended pursuant to amendment no. 2 to credit agreement dated as of January 31, 2014 and as further amended pursuant to the New Term Loan Commitment Agreement among Holdings, Spectrum Brands, as lead borrower, Spectrum Brands Canada, Inc. as Canadian borrower, Spectrum Brands Europe GmbH, as German borrower, the lenders party thereto and Deutsche Bank AG New York Branch, as agent, together with any related documents, including any related notes, guarantees, collateral documents, instruments and agreements executed in connection therewith, in each case as such term loan credit agreement, in whole or in part, in one or more instances, may be further amended, renewed, extended, substituted, refinanced, restructured, replaced, supplemented or otherwise modified from time to time (including any successive renewals, extensions, substitutions, refinancings, restructurings, replacements, supplementations or other modifications of the foregoing and including any amendment increasing the amount of Indebtedness incurred or available to be borrowed thereunder, extending the maturity of any Indebtedness incurred thereunder or contemplated thereby or deleting, adding or substituting one or more parties thereto (whether or not such added or substituted parties are banks or other institutional lenders)), including into one or more debt facilities, commercial paper facilities or other debt instruments, indentures or agreements (including by means of sales of debt securities (including Additional Notes) to institutional investors), providing for revolving credit loans, term loans, letters of credit or other debt obligations, whether any such extension, replacement or refinancing (1) occurs simultaneously or not with the termination or repayment of a prior term loan credit agreement or (2) occurs on one or more separate occasions.</w:t>
      </w:r>
    </w:p>
    <w:p>
      <w:pPr>
        <w:spacing w:after="0" w:line="17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“Transaction Expenses” means fees and expenses payable or otherwise borne by Spectrum Brands and its Restricted Subsidiaries in connection with the Transactions, including the costs of legal and financial advisors to Spectrum Brands.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“Transactions” means, collectively, (a) the issuance of the 2025 notes, (b) the issuance by Spectrum Brands Holdings, Inc. of its common stock in the registered offer, which occurred on May 20, 2015 and (c) the consummation of the acquisition of Armored AutoGroup Parent Inc., which occurred on May 21, 2015.</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“Treasury Rate” means, as of any redemption date, the yield to maturity as of such redemption date of United States Treasury securities with a constant maturity (as compiled and published in the most recent Federal Reserve Statistical Release H.15(519) that has become publicly available at least two business days prior to the redemption date (or, if such Statistical Release is no longer published, any publicly available source of similar market data)) most nearly equal to the period from the redemption date to July 15, 2020;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period from the redemption date to July 15, 2020 is less than one year, the weekly average yield on actually traded United States Treasury securities adjusted to a constant maturity of one year will be used.</w:t>
      </w:r>
    </w:p>
    <w:p>
      <w:pPr>
        <w:spacing w:after="0" w:line="15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“Trustee” means the party named as such in the preamble to the 2025 notes indenture until a successor replaces it in accordance with the 2025 notes indenture and thereafter means the successor serving 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 Indenture Act” means the Trust Indenture Act of 1939, as amended.</w:t>
      </w:r>
    </w:p>
    <w:p>
      <w:pPr>
        <w:spacing w:after="0" w:line="225"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“Unrestricted Subsidiary” means any Subsidiary of Spectrum Brands that is designated by the Board of Directors as an Unrestricted Subsidiary pursuant to a resolution of the Board of Directors in compliance with the covenant described under the caption “—Certain Covenants—Designation of Restricted and Unrestricted Subsidiaries,” and any Subsidiary of such Subsidiary.</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“Voting Stock”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 Average Life to Maturity” means, when applied to any Indebtedness at any date, the number of years obtained by dividing:</w:t>
      </w:r>
    </w:p>
    <w:p>
      <w:pPr>
        <w:spacing w:after="0" w:line="225" w:lineRule="exact"/>
        <w:rPr>
          <w:sz w:val="20"/>
          <w:szCs w:val="20"/>
          <w:color w:val="auto"/>
        </w:rPr>
      </w:pPr>
    </w:p>
    <w:p>
      <w:pPr>
        <w:ind w:right="220" w:firstLine="464"/>
        <w:spacing w:after="0" w:line="277" w:lineRule="auto"/>
        <w:tabs>
          <w:tab w:leader="none" w:pos="71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respect thereof, by (b) the number of years (calculated to the nearest one-twelfth) that will elapse between such date and the making of such payment; by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the then outstanding principal amount of such Indebtedness.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“Wholly Owned” means, with respect to any Restricted Subsidiary, a Restricted Subsidiary all of the outstanding Capital Stock of which (other than any director’s qualifying shares) is owned by Spectrum Brands and one or more Wholly Owned Restricted Subsidiaries (or a combination thereof).</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120"/>
          </w:cols>
          <w:pgMar w:left="240" w:top="459" w:right="5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DELIVERY AND FORM OF SECURITIES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notes were issued in global form and registered in the name of a nominee of the Depository Trust Company (“DTC”). The notes were issued in minimum denominations of $2,000 and higher integral multiples of $1,000. 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Indentures and the notes. No owner of a beneficial interest in a global note will be able to transfer such interest except in accordance with DTC’s applicable procedures and the applicable procedures of its direct and indirect participants.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Trust Company Procedures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your convenience, we are providing you with a description of the operations and procedures of DTC, the Euroclear System (“Euroclear”) and Clearstream Banking, S.A. (“Clearstream”). These operations and procedures are solely within the control of the respective settlement systems and are subject to changes by them. We are not responsible for these operations and procedures and urge you to contact the system or its participants directly to discuss these matters.</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DTC has advised us that it is a limited-purpose trust company created to hold securities for its participating organizations and to facilitate the clearance and settlement of transactions in those securities between its participants through electronic book entry changes in the accounts of these participants. These direct participants include securities brokers and dealers, banks, trust companies, clearing corporations and other organizations. Access to DTC’s system is also indirectly available to other entities that clear through, or maintain, a direct or indirect, custodial relationship with a direct participant. DTC may hold securities beneficially owned by other persons only through its participants and the ownership interests and transfers of ownership interests of these other persons will be recorded only on the records of the participants and not on the records of DTC.</w:t>
      </w:r>
    </w:p>
    <w:p>
      <w:pPr>
        <w:spacing w:after="0" w:line="17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DTC has also advised us that, in accordance with its procedures, upon deposit of the global notes, it will credit the accounts of the direct participants with an interest in the global notes, and it will maintain records of the ownership interests of these direct participants in the global notes, and the transfer of ownership interests by and between direct participants.</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DTC will not maintain records of the ownership interests of, or the transfer of ownership interests by and between, indirect participants or other owners of beneficial interests in the global notes. Both direct and indirect participants must maintain their own records of ownership interests of, and the transfer of ownership interests by and between, indirect participants and other owners of beneficial interests in the global notes.</w:t>
      </w:r>
    </w:p>
    <w:p>
      <w:pPr>
        <w:spacing w:after="0" w:line="166"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Investors in the global notes may hold their interests in the notes directly through DTC if they are direct participants in DTC or indirectly through organizations that are direct participants in DTC. Investors in the global notes may also hold their interests in the notes through Euroclear and Clearstream if they are direct participants in those systems, or indirectly through organizations that are participants in those systems. Euroclear and Clearstream will hold omnibus positions in the global notes on behalf of the Euroclear participants and the Clearstream participants, respectively, through customers’ securities accounts in Euroclear’s and Clearstream’s names on the books of their respective depositories, which are Morgan Guaranty Trust Company of New York, Brussels office, as operator of Euroclear, and Citibank, N.A. and The Chase Manhattan Bank, N.A., as operators of Clearstream. These depositories, in turn, will hold these positions in their names on the books of DTC. All interests in a global note, including those held through Euroclear or Clearstream, may be subject to the procedures and requirements of DTC. Those interests held through Euroclear or Clearstream may also be subject to the procedures and requirements of those systems.</w:t>
      </w:r>
    </w:p>
    <w:p>
      <w:pPr>
        <w:spacing w:after="0" w:line="18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laws of some states require that some persons take physical delivery in definitive certificated form of the securities that they own. This may limit or curtail the ability to transfer beneficial interests in a global note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persons. Because DTC can act only on behalf of direct participants, which in turn act on behalf of indirect participants and others, the ability of a person having a beneficial interest in a global note to pledge its interest to persons or entities that are not direct participants in DTC or to otherwise take actions in respect of its interest, may be affected by the lack of physical certificates evidencing the interests.</w:t>
      </w:r>
    </w:p>
    <w:p>
      <w:pPr>
        <w:spacing w:after="0" w:line="18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Except as described below, owners of interests in the global notes will not have notes registered in their names, will not receive physical delivery of notes in certificated form, and will not be considered the registered owners or holders of these notes under the indentures for any purpose.</w:t>
      </w:r>
    </w:p>
    <w:p>
      <w:pPr>
        <w:spacing w:after="0" w:line="124"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Payments with respect to the principal of, and interest on, any notes represented by a global note registered in the name of DTC or its nominee on the applicable record date will be payable by the trustee to or at the direction of DTC or its nominee in its capacity as the registered holder of the global note representing these notes under the indentures. Under the terms of the indentures, we and the trustee will treat the person in whose names the notes are registered, including notes represented by global notes, as the owners of the notes for the purpose of receiving payments, and for any and all other purposes whatsoever. Payments in respect of the principal and interest on global notes registered in the name of DTC or its nominee will be payable by the trustee to DTC or its nominee as the registered holder under the indentures. Consequently, neither we, the trustee nor any of our agents, nor the trustee’s agents, has or will have any responsibility or liability for:</w:t>
      </w:r>
    </w:p>
    <w:p>
      <w:pPr>
        <w:spacing w:after="0" w:line="83" w:lineRule="exact"/>
        <w:rPr>
          <w:sz w:val="20"/>
          <w:szCs w:val="20"/>
          <w:color w:val="auto"/>
        </w:rPr>
      </w:pPr>
    </w:p>
    <w:p>
      <w:pPr>
        <w:jc w:val="both"/>
        <w:ind w:left="1140" w:right="140" w:hanging="565"/>
        <w:spacing w:after="0" w:line="264" w:lineRule="auto"/>
        <w:tabs>
          <w:tab w:leader="none" w:pos="11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aspect of DTC’s records or any direct or indirect participant’s records relating to, or payments made on account of, beneficial ownership interests in the global notes or for maintaining, supervising or reviewing any of DTC’s records or any direct or indirect participant’s records relating to the beneficial ownership interests in any global note, or</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direct or indirect participants.</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holdings in the principal amount of beneficial interest in the security as shown on its records, unless it has reasons to believe that it will not receive payment on the payment date. Payments by the direct and indirect participants to the beneficial owners of interests in the global note will be governed by standing instructions and customary practice, and will be the responsibility of the direct or indirect participants, and will not be the responsibility of DTC, the trustee or us.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Neither we nor the trustee will be liable for any delay by DTC or any direct or indirect participant in identifying the beneficial owners of the notes and we and the trustee may conclusively rely on, and will be protected in relying on, instructions from DTC or its nominee for all purposes, including with respect to the registration and delivery, and the respective principal amounts, of the notes.</w:t>
      </w:r>
    </w:p>
    <w:p>
      <w:pPr>
        <w:spacing w:after="0" w:line="181"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Transfers between participants in DTC will be effected in accordance with DTC procedures, and will be settled in same day funds, and transfers between participants in Euroclear and Clearstream will be effected in accordance with their respective rules and operating procedures.</w:t>
      </w:r>
    </w:p>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400"/>
          </w:cols>
          <w:pgMar w:left="240" w:top="459" w:right="2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DTC advised us that it will take any action permitted to be taken by a holder of notes only at the direction of one or more participants to whose account DTC has credited the interests in the global notes and only in respect of the portion of the aggregate principal amount of the notes as to which the participant or participants has or have given that direction. However, if there is an event of default with respect to the notes, DTC reserves the right to exchange the global notes for legended notes in certificated form and to distribute them to its participants.</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Although DTC, Euroclear and Clearstream have agreed to these procedures to facilitate transfers of interests in the global notes among participants in DTC, Euroclear and Clearstream, they are under no obligation to perform or to continue to perform these procedures and may discontinue them at any time. Neither we, the trustee, nor any of our or the trustee’s respective agents will have any responsibility for the performance by DTC, Euroclear or Clearstream or their direct or indirect participants of their respective obligations under the rules and procedures governing their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Book-Entry Notes for Certificated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will be exchangeable for definitive notes in registered certificated form if:</w:t>
      </w:r>
    </w:p>
    <w:p>
      <w:pPr>
        <w:spacing w:after="0" w:line="131" w:lineRule="exact"/>
        <w:rPr>
          <w:sz w:val="20"/>
          <w:szCs w:val="20"/>
          <w:color w:val="auto"/>
        </w:rPr>
      </w:pPr>
    </w:p>
    <w:p>
      <w:pPr>
        <w:ind w:left="1140" w:right="160" w:hanging="565"/>
        <w:spacing w:after="0" w:line="277" w:lineRule="auto"/>
        <w:tabs>
          <w:tab w:leader="none" w:pos="11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DTC has notified us that it is unwilling or unable to continue as Depositary for a Global Note and a successor depositary is not appointed by us within 90 days of the notice; or</w:t>
      </w:r>
    </w:p>
    <w:p>
      <w:pPr>
        <w:spacing w:after="0" w:line="75" w:lineRule="exact"/>
        <w:rPr>
          <w:rFonts w:ascii="Arial" w:cs="Arial" w:eastAsia="Arial" w:hAnsi="Arial"/>
          <w:sz w:val="18"/>
          <w:szCs w:val="18"/>
          <w:color w:val="auto"/>
        </w:rPr>
      </w:pPr>
    </w:p>
    <w:p>
      <w:pPr>
        <w:ind w:left="1140" w:right="380" w:hanging="565"/>
        <w:spacing w:after="0" w:line="277" w:lineRule="auto"/>
        <w:tabs>
          <w:tab w:leader="none" w:pos="11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 event of default under the applicable indenture for the notes has occurred and is continuing and the trustee has received a request from DTC.</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all cases, certificated notes delivered in exchange for any global note or beneficial interests in a global note will be registered in the name, and issued in any approved denominations, requested by or on behalf of DTC, in accordance with its customary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Book-Entry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notes issued in certificated form may be exchanged for beneficial interests in the applicable global note.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expect that the interests in the global notes will be eligible to trade in DTC’s Same-Day Funds Settlement System. As a result, secondary market trading activity in these interests will settle in immediately available funds, subject in all cases to the rules and procedures of DTC and its participants. We expect that secondary trading in any certificated notes will also be settled in immediately available funds.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us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indentures require that payments in respect of the notes represented by global notes, including principal and interest, be made by wire transfer of immediately available funds to the accounts specified by the holder of the global notes. With respect to notes in certificated form, we will make all payments of principal and interest on the notes at our office or agency maintained for that purpose within the city and state of New York. This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400"/>
          </w:cols>
          <w:pgMar w:left="240" w:top="459" w:right="2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office will initially be the office of the Paying Agent maintained for that purpose. At our option however, we may make these installments of interest by:</w:t>
      </w:r>
    </w:p>
    <w:p>
      <w:pPr>
        <w:spacing w:after="0" w:line="154" w:lineRule="exact"/>
        <w:rPr>
          <w:sz w:val="20"/>
          <w:szCs w:val="20"/>
          <w:color w:val="auto"/>
        </w:rPr>
      </w:pPr>
    </w:p>
    <w:p>
      <w:pPr>
        <w:ind w:left="1140" w:hanging="565"/>
        <w:spacing w:after="0"/>
        <w:tabs>
          <w:tab w:leader="none" w:pos="11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check mailed to the holders of notes at their respective addresses provided in the register of holder of notes;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transfer to an account maintained by the payee.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000"/>
          </w:cols>
          <w:pgMar w:left="240" w:top="460" w:right="6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This prospectus may be used by Jefferies in connection with offers and sales of the notes in market-making transactions effected from time to time. In these transactions, Jefferies may act as principal or agent, including as agent for the counterparty in a transaction in which Jefferies acts as principal, or as agent for both counterparties in a transaction in which Jefferies does not act as a principal. Jefferies may receive compensation in the form of discounts and commissions, including from both counterparties, when it acts as agents for both. Such sales will be made at prevailing market prices at the time of sale, at prices related thereto or at negotiated prices. We will not receive any of the proceeds from such sales.</w:t>
      </w:r>
    </w:p>
    <w:p>
      <w:pPr>
        <w:spacing w:after="0" w:line="173" w:lineRule="exact"/>
        <w:rPr>
          <w:sz w:val="20"/>
          <w:szCs w:val="20"/>
          <w:color w:val="auto"/>
        </w:rPr>
      </w:pPr>
    </w:p>
    <w:p>
      <w:pPr>
        <w:jc w:val="both"/>
        <w:ind w:right="80" w:firstLine="456"/>
        <w:spacing w:after="0" w:line="291" w:lineRule="auto"/>
        <w:rPr>
          <w:sz w:val="20"/>
          <w:szCs w:val="20"/>
          <w:color w:val="auto"/>
        </w:rPr>
      </w:pPr>
      <w:r>
        <w:rPr>
          <w:rFonts w:ascii="Arial" w:cs="Arial" w:eastAsia="Arial" w:hAnsi="Arial"/>
          <w:sz w:val="16"/>
          <w:szCs w:val="16"/>
          <w:color w:val="auto"/>
        </w:rPr>
        <w:t>Jefferies LLC (a wholly owned subsidiary of Leucadia National Corporation, which, through subsidiaries, beneficially owns approximately 23% of the outstanding common stock of HRG Group, Inc., which in turn owns approximately 58% of SB Holdings’ outstanding common stock) or its affiliate acted as:</w:t>
      </w:r>
    </w:p>
    <w:p>
      <w:pPr>
        <w:ind w:firstLine="8"/>
        <w:spacing w:after="0" w:line="270" w:lineRule="auto"/>
        <w:tabs>
          <w:tab w:leader="none" w:pos="215" w:val="left"/>
        </w:tabs>
        <w:numPr>
          <w:ilvl w:val="0"/>
          <w:numId w:val="367"/>
        </w:numPr>
        <w:rPr>
          <w:rFonts w:ascii="Arial" w:cs="Arial" w:eastAsia="Arial" w:hAnsi="Arial"/>
          <w:sz w:val="17"/>
          <w:szCs w:val="17"/>
          <w:color w:val="auto"/>
        </w:rPr>
      </w:pPr>
      <w:r>
        <w:rPr>
          <w:rFonts w:ascii="Arial" w:cs="Arial" w:eastAsia="Arial" w:hAnsi="Arial"/>
          <w:sz w:val="17"/>
          <w:szCs w:val="17"/>
          <w:color w:val="auto"/>
        </w:rPr>
        <w:t>one of the initial purchasers for the initial issuance of the 2025 notes and the initial issuance (prior to their being one of our affiliates) of the 2020 notes and the 2022 notes; (ii) one of the underwriters for SB Holdings’ $575 million offering of common stock in May 2015; and (iii) one of the financing institutions that committed to provide “back-stop” bridge facilities in an aggregate amount of $1.5 billion in connection with the financing of the AAG Acquisition. Jefferies has: (i) in the past engaged, and may in the future engage, in transactions with us and our affiliates; (ii) in the past has performed, and may in the future perform, services (including commercial banking, financial advisory and investment banking services) for us and our affiliates; each within the ordinary course of business, for which they have received, and may in the future receive, customary fees and expenses.</w:t>
      </w:r>
    </w:p>
    <w:p>
      <w:pPr>
        <w:spacing w:after="0" w:line="179"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have been advised by Jefferies LLC that, subject to applicable laws and regulations, it currently intends to make a market in the notes. However, Jefferies LLC is not obligated to do so, and any such market-making may be interrupted or discontinued at any time without notice.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Paul, Weiss, Rifkind, Wharton &amp; Garrison LLP, New York, New York will pass on the validity of the notes and guarantees offered hereby. Barnes &amp; Thornburg LLP will pass on matters of Pennsylvania law. Thompson Coburn LLP will pass on matters of Missouri law. Quarles &amp; Brady LLP will pass on matters of Florida law.</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consolidated financial statements of SB/RH Holdings, LLC and subsidiaries as of September 30, 2015 and 2014 and for each of the years in the three-year period ended September 30, 2015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of Armored AutoGroup Parent Inc. as of December 31, 2014 and 2013 and for each of the three years in the period ended December 31, 2014, appearing elsewhere in this prospectus and the registration statement, have been audited by Ernst &amp; Young LLP, independent auditors, as set forth in their report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filed with the SEC a registration statement on Form S-1 to register the notes being offered hereby. This prospectus, which forms part of the registration statement, does not contain all of the information included in that registration statement. For further information about us and the notes offered in this prospectus, you should refer to the registration statement and its exhibits. You may read and copy any document we file with the SEC at the SEC’s Public Reference Room, 100 F Street, N.E., Washington, D.C. 20549. Copies of these reports, proxy statements and information that we file with the SEC may be obtained at prescribed rates from the Public Reference Section of the SEC at 100 F Street, N.E., Washington, D.C. 20549. Please call the SEC at 1-800-SEC-0330 for further information on the operation of the Public Reference Room. In addition, the SEC maintains a web site that contains reports, proxy statements and other information regarding registrants, such as SB/RH Holdings, that file electronically with the SEC. The address of this web site is http://www.sec.gov.</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Anyone who receives a copy of this prospectus may obtain a copy of the indentures without charge by writing to Spectrum Brands, Inc., 3001 Deming Way, Middleton, Wisconsin 53562.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400"/>
          </w:cols>
          <w:pgMar w:left="240" w:top="460" w:right="2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SB/RH HOLDINGS, LLC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9"/>
            <w:vMerge w:val="restart"/>
          </w:tcPr>
          <w:p>
            <w:pPr>
              <w:spacing w:after="0"/>
              <w:rPr>
                <w:rFonts w:ascii="Arial" w:cs="Arial" w:eastAsia="Arial" w:hAnsi="Arial"/>
                <w:sz w:val="18"/>
                <w:szCs w:val="18"/>
                <w:b w:val="1"/>
                <w:bCs w:val="1"/>
                <w:color w:val="0000EE"/>
                <w:w w:val="90"/>
              </w:rPr>
            </w:pPr>
            <w:hyperlink w:anchor="page296">
              <w:r>
                <w:rPr>
                  <w:rFonts w:ascii="Arial" w:cs="Arial" w:eastAsia="Arial" w:hAnsi="Arial"/>
                  <w:sz w:val="18"/>
                  <w:szCs w:val="18"/>
                  <w:b w:val="1"/>
                  <w:bCs w:val="1"/>
                  <w:color w:val="0000EE"/>
                  <w:w w:val="90"/>
                </w:rPr>
                <w:t>Report of Independent Registered Public Accounting Firm</w:t>
              </w:r>
            </w:hyperlink>
          </w:p>
        </w:tc>
        <w:tc>
          <w:tcPr>
            <w:tcW w:w="6300" w:type="dxa"/>
            <w:vAlign w:val="bottom"/>
            <w:gridSpan w:val="8"/>
            <w:vMerge w:val="restart"/>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520" w:type="dxa"/>
            <w:vAlign w:val="bottom"/>
            <w:tcBorders>
              <w:bottom w:val="single" w:sz="8" w:color="0000EE"/>
            </w:tcBorders>
            <w:gridSpan w:val="9"/>
            <w:vMerge w:val="continue"/>
          </w:tcPr>
          <w:p>
            <w:pPr>
              <w:spacing w:after="0"/>
              <w:rPr>
                <w:sz w:val="13"/>
                <w:szCs w:val="13"/>
                <w:color w:val="auto"/>
              </w:rPr>
            </w:pPr>
          </w:p>
        </w:tc>
        <w:tc>
          <w:tcPr>
            <w:tcW w:w="6300" w:type="dxa"/>
            <w:vAlign w:val="bottom"/>
            <w:gridSpan w:val="8"/>
            <w:vMerge w:val="continue"/>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10820" w:type="dxa"/>
            <w:vAlign w:val="bottom"/>
            <w:gridSpan w:val="17"/>
          </w:tcPr>
          <w:p>
            <w:pPr>
              <w:spacing w:after="0"/>
              <w:rPr>
                <w:sz w:val="20"/>
                <w:szCs w:val="20"/>
                <w:color w:val="auto"/>
              </w:rPr>
            </w:pPr>
            <w:r>
              <w:rPr>
                <w:rFonts w:ascii="Arial" w:cs="Arial" w:eastAsia="Arial" w:hAnsi="Arial"/>
                <w:sz w:val="18"/>
                <w:szCs w:val="18"/>
                <w:b w:val="1"/>
                <w:bCs w:val="1"/>
                <w:i w:val="1"/>
                <w:iCs w:val="1"/>
                <w:color w:val="auto"/>
              </w:rPr>
              <w:t>SB/RH Holdings, LLC Consolidated Financial Statements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tcBorders>
              <w:bottom w:val="single" w:sz="8" w:color="0000EE"/>
            </w:tcBorders>
            <w:gridSpan w:val="5"/>
          </w:tcPr>
          <w:p>
            <w:pPr>
              <w:spacing w:after="0" w:line="190" w:lineRule="exact"/>
              <w:rPr>
                <w:rFonts w:ascii="Arial" w:cs="Arial" w:eastAsia="Arial" w:hAnsi="Arial"/>
                <w:sz w:val="18"/>
                <w:szCs w:val="18"/>
                <w:color w:val="0000EE"/>
                <w:w w:val="90"/>
              </w:rPr>
            </w:pPr>
            <w:hyperlink w:anchor="page297">
              <w:r>
                <w:rPr>
                  <w:rFonts w:ascii="Arial" w:cs="Arial" w:eastAsia="Arial" w:hAnsi="Arial"/>
                  <w:sz w:val="18"/>
                  <w:szCs w:val="18"/>
                  <w:color w:val="0000EE"/>
                  <w:w w:val="90"/>
                </w:rPr>
                <w:t>Consolidated Statements of Financial Position</w:t>
              </w:r>
            </w:hyperlink>
          </w:p>
        </w:tc>
        <w:tc>
          <w:tcPr>
            <w:tcW w:w="7480" w:type="dxa"/>
            <w:vAlign w:val="bottom"/>
            <w:gridSpan w:val="12"/>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820" w:type="dxa"/>
            <w:vAlign w:val="bottom"/>
            <w:gridSpan w:val="17"/>
          </w:tcPr>
          <w:p>
            <w:pPr>
              <w:spacing w:after="0" w:line="196" w:lineRule="exact"/>
              <w:rPr>
                <w:rFonts w:ascii="Arial" w:cs="Arial" w:eastAsia="Arial" w:hAnsi="Arial"/>
                <w:sz w:val="18"/>
                <w:szCs w:val="18"/>
                <w:color w:val="0000EE"/>
              </w:rPr>
            </w:pPr>
            <w:hyperlink w:anchor="page298">
              <w:r>
                <w:rPr>
                  <w:rFonts w:ascii="Arial" w:cs="Arial" w:eastAsia="Arial" w:hAnsi="Arial"/>
                  <w:sz w:val="18"/>
                  <w:szCs w:val="18"/>
                  <w:color w:val="0000EE"/>
                </w:rPr>
                <w:t>Consolidated Statements of Operations</w:t>
              </w:r>
            </w:hyperlink>
          </w:p>
        </w:tc>
        <w:tc>
          <w:tcPr>
            <w:tcW w:w="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99">
              <w:r>
                <w:rPr>
                  <w:rFonts w:ascii="Arial" w:cs="Arial" w:eastAsia="Arial" w:hAnsi="Arial"/>
                  <w:sz w:val="18"/>
                  <w:szCs w:val="18"/>
                  <w:color w:val="0000EE"/>
                  <w:w w:val="89"/>
                </w:rPr>
                <w:t>Consolidated Statements of Comprehensive Income (Loss)</w:t>
              </w:r>
            </w:hyperlink>
          </w:p>
        </w:tc>
        <w:tc>
          <w:tcPr>
            <w:tcW w:w="65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00">
              <w:r>
                <w:rPr>
                  <w:rFonts w:ascii="Arial" w:cs="Arial" w:eastAsia="Arial" w:hAnsi="Arial"/>
                  <w:sz w:val="18"/>
                  <w:szCs w:val="18"/>
                  <w:color w:val="0000EE"/>
                  <w:w w:val="90"/>
                </w:rPr>
                <w:t>Consolidated Statements of Shareholders’ Equity</w:t>
              </w:r>
            </w:hyperlink>
          </w:p>
        </w:tc>
        <w:tc>
          <w:tcPr>
            <w:tcW w:w="726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01">
              <w:r>
                <w:rPr>
                  <w:rFonts w:ascii="Arial" w:cs="Arial" w:eastAsia="Arial" w:hAnsi="Arial"/>
                  <w:sz w:val="18"/>
                  <w:szCs w:val="18"/>
                  <w:color w:val="0000EE"/>
                  <w:w w:val="89"/>
                </w:rPr>
                <w:t>Consolidated Statements of Cash Flows</w:t>
              </w:r>
            </w:hyperlink>
          </w:p>
        </w:tc>
        <w:tc>
          <w:tcPr>
            <w:tcW w:w="794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0820" w:type="dxa"/>
            <w:vAlign w:val="bottom"/>
            <w:gridSpan w:val="17"/>
          </w:tcPr>
          <w:p>
            <w:pPr>
              <w:spacing w:after="0" w:line="196" w:lineRule="exact"/>
              <w:rPr>
                <w:rFonts w:ascii="Arial" w:cs="Arial" w:eastAsia="Arial" w:hAnsi="Arial"/>
                <w:sz w:val="18"/>
                <w:szCs w:val="18"/>
                <w:color w:val="0000EE"/>
              </w:rPr>
            </w:pPr>
            <w:hyperlink w:anchor="page302">
              <w:r>
                <w:rPr>
                  <w:rFonts w:ascii="Arial" w:cs="Arial" w:eastAsia="Arial" w:hAnsi="Arial"/>
                  <w:sz w:val="18"/>
                  <w:szCs w:val="18"/>
                  <w:color w:val="0000EE"/>
                </w:rPr>
                <w:t>Notes to Consolidated Financial Statements</w:t>
              </w:r>
            </w:hyperlink>
          </w:p>
        </w:tc>
        <w:tc>
          <w:tcPr>
            <w:tcW w:w="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53"/>
        </w:trPr>
        <w:tc>
          <w:tcPr>
            <w:tcW w:w="23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99"/>
              </w:rPr>
              <w:t>ARMORED AUTOGROUP PARENT, INC.</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20" w:type="dxa"/>
            <w:vAlign w:val="bottom"/>
            <w:gridSpan w:val="17"/>
            <w:vMerge w:val="restart"/>
          </w:tcPr>
          <w:p>
            <w:pPr>
              <w:spacing w:after="0"/>
              <w:rPr>
                <w:sz w:val="20"/>
                <w:szCs w:val="20"/>
                <w:color w:val="auto"/>
              </w:rPr>
            </w:pPr>
            <w:r>
              <w:rPr>
                <w:rFonts w:ascii="Arial" w:cs="Arial" w:eastAsia="Arial" w:hAnsi="Arial"/>
                <w:sz w:val="18"/>
                <w:szCs w:val="18"/>
                <w:b w:val="1"/>
                <w:bCs w:val="1"/>
                <w:i w:val="1"/>
                <w:iCs w:val="1"/>
                <w:color w:val="auto"/>
              </w:rPr>
              <w:t>Consolidated Financial Statements (Audited)</w:t>
            </w:r>
          </w:p>
        </w:tc>
        <w:tc>
          <w:tcPr>
            <w:tcW w:w="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820" w:type="dxa"/>
            <w:vAlign w:val="bottom"/>
            <w:gridSpan w:val="17"/>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820" w:type="dxa"/>
            <w:vAlign w:val="bottom"/>
            <w:gridSpan w:val="17"/>
          </w:tcPr>
          <w:p>
            <w:pPr>
              <w:spacing w:after="0" w:line="190" w:lineRule="exact"/>
              <w:rPr>
                <w:rFonts w:ascii="Arial" w:cs="Arial" w:eastAsia="Arial" w:hAnsi="Arial"/>
                <w:sz w:val="18"/>
                <w:szCs w:val="18"/>
                <w:color w:val="0000EE"/>
              </w:rPr>
            </w:pPr>
            <w:hyperlink w:anchor="page361">
              <w:r>
                <w:rPr>
                  <w:rFonts w:ascii="Arial" w:cs="Arial" w:eastAsia="Arial" w:hAnsi="Arial"/>
                  <w:sz w:val="18"/>
                  <w:szCs w:val="18"/>
                  <w:color w:val="0000EE"/>
                </w:rPr>
                <w:t>Report of Independent Auditors</w:t>
              </w:r>
            </w:hyperlink>
          </w:p>
        </w:tc>
        <w:tc>
          <w:tcPr>
            <w:tcW w:w="52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F-67</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62">
              <w:r>
                <w:rPr>
                  <w:rFonts w:ascii="Arial" w:cs="Arial" w:eastAsia="Arial" w:hAnsi="Arial"/>
                  <w:sz w:val="18"/>
                  <w:szCs w:val="18"/>
                  <w:color w:val="0000EE"/>
                  <w:w w:val="88"/>
                </w:rPr>
                <w:t>Consolidated Balance Sheets as of December 31, 2014 and 2013</w:t>
              </w:r>
            </w:hyperlink>
          </w:p>
        </w:tc>
        <w:tc>
          <w:tcPr>
            <w:tcW w:w="6160" w:type="dxa"/>
            <w:vAlign w:val="bottom"/>
            <w:gridSpan w:val="7"/>
          </w:tcPr>
          <w:p>
            <w:pPr>
              <w:spacing w:after="0"/>
              <w:rPr>
                <w:sz w:val="17"/>
                <w:szCs w:val="17"/>
                <w:color w:val="auto"/>
              </w:rPr>
            </w:pPr>
          </w:p>
        </w:tc>
        <w:tc>
          <w:tcPr>
            <w:tcW w:w="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F-68</w:t>
            </w:r>
          </w:p>
        </w:tc>
        <w:tc>
          <w:tcPr>
            <w:tcW w:w="0" w:type="dxa"/>
            <w:vAlign w:val="bottom"/>
          </w:tcPr>
          <w:p>
            <w:pPr>
              <w:spacing w:after="0"/>
              <w:rPr>
                <w:sz w:val="1"/>
                <w:szCs w:val="1"/>
                <w:color w:val="auto"/>
              </w:rPr>
            </w:pPr>
          </w:p>
        </w:tc>
      </w:tr>
      <w:tr>
        <w:trPr>
          <w:trHeight w:val="196"/>
        </w:trPr>
        <w:tc>
          <w:tcPr>
            <w:tcW w:w="10820" w:type="dxa"/>
            <w:vAlign w:val="bottom"/>
            <w:gridSpan w:val="17"/>
          </w:tcPr>
          <w:p>
            <w:pPr>
              <w:spacing w:after="0" w:line="196" w:lineRule="exact"/>
              <w:rPr>
                <w:rFonts w:ascii="Arial" w:cs="Arial" w:eastAsia="Arial" w:hAnsi="Arial"/>
                <w:sz w:val="18"/>
                <w:szCs w:val="18"/>
                <w:color w:val="0000EE"/>
              </w:rPr>
            </w:pPr>
            <w:hyperlink w:anchor="page363">
              <w:r>
                <w:rPr>
                  <w:rFonts w:ascii="Arial" w:cs="Arial" w:eastAsia="Arial" w:hAnsi="Arial"/>
                  <w:sz w:val="18"/>
                  <w:szCs w:val="18"/>
                  <w:color w:val="0000EE"/>
                </w:rPr>
                <w:t>Consolidated Statements of Comprehensive Loss for the years ended December 31, 2014, 2013 and 2012</w:t>
              </w:r>
            </w:hyperlink>
          </w:p>
        </w:tc>
        <w:tc>
          <w:tcPr>
            <w:tcW w:w="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F-69</w:t>
            </w:r>
          </w:p>
        </w:tc>
        <w:tc>
          <w:tcPr>
            <w:tcW w:w="0" w:type="dxa"/>
            <w:vAlign w:val="bottom"/>
          </w:tcPr>
          <w:p>
            <w:pPr>
              <w:spacing w:after="0"/>
              <w:rPr>
                <w:sz w:val="1"/>
                <w:szCs w:val="1"/>
                <w:color w:val="auto"/>
              </w:rPr>
            </w:pPr>
          </w:p>
        </w:tc>
      </w:tr>
      <w:tr>
        <w:trPr>
          <w:trHeight w:val="20"/>
        </w:trPr>
        <w:tc>
          <w:tcPr>
            <w:tcW w:w="316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64">
              <w:r>
                <w:rPr>
                  <w:rFonts w:ascii="Arial" w:cs="Arial" w:eastAsia="Arial" w:hAnsi="Arial"/>
                  <w:sz w:val="18"/>
                  <w:szCs w:val="18"/>
                  <w:color w:val="0000EE"/>
                  <w:w w:val="89"/>
                </w:rPr>
                <w:t>Consolidated Statements of Shareholders’ Equity for the years ended December 31, 2014, 2013 and 2012</w:t>
              </w:r>
            </w:hyperlink>
          </w:p>
        </w:tc>
        <w:tc>
          <w:tcPr>
            <w:tcW w:w="3220" w:type="dxa"/>
            <w:vAlign w:val="bottom"/>
            <w:gridSpan w:val="3"/>
          </w:tcPr>
          <w:p>
            <w:pPr>
              <w:spacing w:after="0"/>
              <w:rPr>
                <w:sz w:val="17"/>
                <w:szCs w:val="17"/>
                <w:color w:val="auto"/>
              </w:rPr>
            </w:pPr>
          </w:p>
        </w:tc>
        <w:tc>
          <w:tcPr>
            <w:tcW w:w="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F-70</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65">
              <w:r>
                <w:rPr>
                  <w:rFonts w:ascii="Arial" w:cs="Arial" w:eastAsia="Arial" w:hAnsi="Arial"/>
                  <w:sz w:val="18"/>
                  <w:szCs w:val="18"/>
                  <w:color w:val="0000EE"/>
                  <w:w w:val="89"/>
                </w:rPr>
                <w:t>Consolidated Statements of Cash Flows for the years ended December 31, 2014, 2013 and 2012</w:t>
              </w:r>
            </w:hyperlink>
          </w:p>
        </w:tc>
        <w:tc>
          <w:tcPr>
            <w:tcW w:w="3900" w:type="dxa"/>
            <w:vAlign w:val="bottom"/>
            <w:gridSpan w:val="6"/>
          </w:tcPr>
          <w:p>
            <w:pPr>
              <w:spacing w:after="0"/>
              <w:rPr>
                <w:sz w:val="17"/>
                <w:szCs w:val="17"/>
                <w:color w:val="auto"/>
              </w:rPr>
            </w:pPr>
          </w:p>
        </w:tc>
        <w:tc>
          <w:tcPr>
            <w:tcW w:w="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F-71</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66">
              <w:r>
                <w:rPr>
                  <w:rFonts w:ascii="Arial" w:cs="Arial" w:eastAsia="Arial" w:hAnsi="Arial"/>
                  <w:sz w:val="18"/>
                  <w:szCs w:val="18"/>
                  <w:color w:val="0000EE"/>
                  <w:w w:val="89"/>
                </w:rPr>
                <w:t>Notes to Consolidated Financial Statements</w:t>
              </w:r>
            </w:hyperlink>
          </w:p>
        </w:tc>
        <w:tc>
          <w:tcPr>
            <w:tcW w:w="7660" w:type="dxa"/>
            <w:vAlign w:val="bottom"/>
            <w:gridSpan w:val="13"/>
          </w:tcPr>
          <w:p>
            <w:pPr>
              <w:spacing w:after="0"/>
              <w:rPr>
                <w:sz w:val="17"/>
                <w:szCs w:val="17"/>
                <w:color w:val="auto"/>
              </w:rPr>
            </w:pPr>
          </w:p>
        </w:tc>
        <w:tc>
          <w:tcPr>
            <w:tcW w:w="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438"/>
        </w:trPr>
        <w:tc>
          <w:tcPr>
            <w:tcW w:w="10820" w:type="dxa"/>
            <w:vAlign w:val="bottom"/>
            <w:gridSpan w:val="17"/>
          </w:tcPr>
          <w:p>
            <w:pPr>
              <w:spacing w:after="0"/>
              <w:rPr>
                <w:sz w:val="20"/>
                <w:szCs w:val="20"/>
                <w:color w:val="auto"/>
              </w:rPr>
            </w:pPr>
            <w:r>
              <w:rPr>
                <w:rFonts w:ascii="Arial" w:cs="Arial" w:eastAsia="Arial" w:hAnsi="Arial"/>
                <w:sz w:val="18"/>
                <w:szCs w:val="18"/>
                <w:b w:val="1"/>
                <w:bCs w:val="1"/>
                <w:i w:val="1"/>
                <w:iCs w:val="1"/>
                <w:color w:val="auto"/>
              </w:rPr>
              <w:t>Consolidated Financial Statements (Unaudited)</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820" w:type="dxa"/>
            <w:vAlign w:val="bottom"/>
            <w:gridSpan w:val="17"/>
          </w:tcPr>
          <w:p>
            <w:pPr>
              <w:spacing w:after="0" w:line="190" w:lineRule="exact"/>
              <w:rPr>
                <w:rFonts w:ascii="Arial" w:cs="Arial" w:eastAsia="Arial" w:hAnsi="Arial"/>
                <w:sz w:val="18"/>
                <w:szCs w:val="18"/>
                <w:color w:val="0000EE"/>
              </w:rPr>
            </w:pPr>
            <w:hyperlink w:anchor="page402">
              <w:r>
                <w:rPr>
                  <w:rFonts w:ascii="Arial" w:cs="Arial" w:eastAsia="Arial" w:hAnsi="Arial"/>
                  <w:sz w:val="18"/>
                  <w:szCs w:val="18"/>
                  <w:color w:val="0000EE"/>
                </w:rPr>
                <w:t>Condensed Consolidated Balance Sheets (Unaudited) as of March 31, 2015 and December 31, 2014</w:t>
              </w:r>
            </w:hyperlink>
          </w:p>
        </w:tc>
        <w:tc>
          <w:tcPr>
            <w:tcW w:w="52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F-108</w:t>
            </w:r>
          </w:p>
        </w:tc>
        <w:tc>
          <w:tcPr>
            <w:tcW w:w="0" w:type="dxa"/>
            <w:vAlign w:val="bottom"/>
          </w:tcPr>
          <w:p>
            <w:pPr>
              <w:spacing w:after="0"/>
              <w:rPr>
                <w:sz w:val="1"/>
                <w:szCs w:val="1"/>
                <w:color w:val="auto"/>
              </w:rPr>
            </w:pPr>
          </w:p>
        </w:tc>
      </w:tr>
      <w:tr>
        <w:trPr>
          <w:trHeight w:val="20"/>
        </w:trPr>
        <w:tc>
          <w:tcPr>
            <w:tcW w:w="4080" w:type="dxa"/>
            <w:vAlign w:val="bottom"/>
            <w:gridSpan w:val="7"/>
            <w:shd w:val="clear" w:color="auto" w:fill="0000EE"/>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03">
              <w:r>
                <w:rPr>
                  <w:rFonts w:ascii="Arial" w:cs="Arial" w:eastAsia="Arial" w:hAnsi="Arial"/>
                  <w:sz w:val="18"/>
                  <w:szCs w:val="18"/>
                  <w:color w:val="0000EE"/>
                  <w:w w:val="90"/>
                </w:rPr>
                <w:t>Condensed Consolidated Statements of Comprehensive Loss (Unaudited) for the three month periods ended March 31, 2015 and March 31, 2014</w:t>
              </w:r>
            </w:hyperlink>
          </w:p>
        </w:tc>
        <w:tc>
          <w:tcPr>
            <w:tcW w:w="300" w:type="dxa"/>
            <w:vAlign w:val="bottom"/>
          </w:tcPr>
          <w:p>
            <w:pPr>
              <w:spacing w:after="0"/>
              <w:rPr>
                <w:sz w:val="17"/>
                <w:szCs w:val="17"/>
                <w:color w:val="auto"/>
              </w:rPr>
            </w:pPr>
          </w:p>
        </w:tc>
        <w:tc>
          <w:tcPr>
            <w:tcW w:w="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F-109</w:t>
            </w:r>
          </w:p>
        </w:tc>
        <w:tc>
          <w:tcPr>
            <w:tcW w:w="0" w:type="dxa"/>
            <w:vAlign w:val="bottom"/>
          </w:tcPr>
          <w:p>
            <w:pPr>
              <w:spacing w:after="0"/>
              <w:rPr>
                <w:sz w:val="1"/>
                <w:szCs w:val="1"/>
                <w:color w:val="auto"/>
              </w:rPr>
            </w:pPr>
          </w:p>
        </w:tc>
      </w:tr>
      <w:tr>
        <w:trPr>
          <w:trHeight w:val="196"/>
        </w:trPr>
        <w:tc>
          <w:tcPr>
            <w:tcW w:w="10820" w:type="dxa"/>
            <w:vAlign w:val="bottom"/>
            <w:gridSpan w:val="17"/>
          </w:tcPr>
          <w:p>
            <w:pPr>
              <w:spacing w:after="0" w:line="196" w:lineRule="exact"/>
              <w:rPr>
                <w:rFonts w:ascii="Arial" w:cs="Arial" w:eastAsia="Arial" w:hAnsi="Arial"/>
                <w:sz w:val="18"/>
                <w:szCs w:val="18"/>
                <w:color w:val="0000EE"/>
              </w:rPr>
            </w:pPr>
            <w:hyperlink w:anchor="page404">
              <w:r>
                <w:rPr>
                  <w:rFonts w:ascii="Arial" w:cs="Arial" w:eastAsia="Arial" w:hAnsi="Arial"/>
                  <w:sz w:val="18"/>
                  <w:szCs w:val="18"/>
                  <w:color w:val="0000EE"/>
                </w:rPr>
                <w:t>Consolidated Statements of Cash Flows (Unaudited) for the three month periods ended March 31, 2015 and March 31, 2014</w:t>
              </w:r>
            </w:hyperlink>
          </w:p>
        </w:tc>
        <w:tc>
          <w:tcPr>
            <w:tcW w:w="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F-110</w:t>
            </w:r>
          </w:p>
        </w:tc>
        <w:tc>
          <w:tcPr>
            <w:tcW w:w="0" w:type="dxa"/>
            <w:vAlign w:val="bottom"/>
          </w:tcPr>
          <w:p>
            <w:pPr>
              <w:spacing w:after="0"/>
              <w:rPr>
                <w:sz w:val="1"/>
                <w:szCs w:val="1"/>
                <w:color w:val="auto"/>
              </w:rPr>
            </w:pPr>
          </w:p>
        </w:tc>
      </w:tr>
      <w:tr>
        <w:trPr>
          <w:trHeight w:val="196"/>
        </w:trPr>
        <w:tc>
          <w:tcPr>
            <w:tcW w:w="9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05">
              <w:r>
                <w:rPr>
                  <w:rFonts w:ascii="Arial" w:cs="Arial" w:eastAsia="Arial" w:hAnsi="Arial"/>
                  <w:sz w:val="18"/>
                  <w:szCs w:val="18"/>
                  <w:color w:val="0000EE"/>
                </w:rPr>
                <w:t>Notes to Consolidated Financial Statements (Unaudited)</w:t>
              </w:r>
            </w:hyperlink>
          </w:p>
        </w:tc>
        <w:tc>
          <w:tcPr>
            <w:tcW w:w="1820" w:type="dxa"/>
            <w:vAlign w:val="bottom"/>
            <w:gridSpan w:val="2"/>
          </w:tcPr>
          <w:p>
            <w:pPr>
              <w:spacing w:after="0"/>
              <w:rPr>
                <w:sz w:val="17"/>
                <w:szCs w:val="17"/>
                <w:color w:val="auto"/>
              </w:rPr>
            </w:pPr>
          </w:p>
        </w:tc>
        <w:tc>
          <w:tcPr>
            <w:tcW w:w="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F-111</w:t>
            </w:r>
          </w:p>
        </w:tc>
        <w:tc>
          <w:tcPr>
            <w:tcW w:w="0" w:type="dxa"/>
            <w:vAlign w:val="bottom"/>
          </w:tcPr>
          <w:p>
            <w:pPr>
              <w:spacing w:after="0"/>
              <w:rPr>
                <w:sz w:val="1"/>
                <w:szCs w:val="1"/>
                <w:color w:val="auto"/>
              </w:rPr>
            </w:pPr>
          </w:p>
        </w:tc>
      </w:tr>
      <w:tr>
        <w:trPr>
          <w:trHeight w:val="385"/>
        </w:trPr>
        <w:tc>
          <w:tcPr>
            <w:tcW w:w="23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gridSpan w:val="7"/>
          </w:tcPr>
          <w:p>
            <w:pPr>
              <w:jc w:val="center"/>
              <w:ind w:right="4060"/>
              <w:spacing w:after="0"/>
              <w:rPr>
                <w:sz w:val="20"/>
                <w:szCs w:val="20"/>
                <w:color w:val="auto"/>
              </w:rPr>
            </w:pPr>
            <w:r>
              <w:rPr>
                <w:rFonts w:ascii="Arial" w:cs="Arial" w:eastAsia="Arial" w:hAnsi="Arial"/>
                <w:sz w:val="18"/>
                <w:szCs w:val="18"/>
                <w:color w:val="auto"/>
                <w:w w:val="96"/>
              </w:rPr>
              <w:t>F-1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SB/RH Holdings, LLC:</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have audited the accompanying consolidated statements of financial position of SB/RH Holdings, LLC and subsidiaries (the Company) as of September 30, 2015 and 2014, and the related consolidated statements of operations, comprehensive income (loss), shareholder’s equity, and cash flows for each of the years in the three-year period ended September 30, 2015. These consolidated financial statements are the responsibility of the Company’s management. Our responsibility is to express an opinion on these consolidated financial statements based on our audits.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SB/RH Holdings, LLC and subsidiaries as of September 30, 2015 and 2014, and the results of their operations and their cash flows for each of the years in the three-year period ended September 30, 2015,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2015</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80"/>
          </w:cols>
          <w:pgMar w:left="240" w:top="459" w:right="3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0" w:type="dxa"/>
            <w:vAlign w:val="bottom"/>
            <w:shd w:val="clear" w:color="auto" w:fill="CCEEFF"/>
          </w:tcPr>
          <w:p>
            <w:pPr>
              <w:ind w:left="440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780.8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960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1,732.2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Deferred charges and other</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2,476.7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1,469.6</w:t>
            </w:r>
          </w:p>
        </w:tc>
        <w:tc>
          <w:tcPr>
            <w:tcW w:w="0" w:type="dxa"/>
            <w:vAlign w:val="bottom"/>
          </w:tcPr>
          <w:p>
            <w:pPr>
              <w:spacing w:after="0"/>
              <w:rPr>
                <w:sz w:val="1"/>
                <w:szCs w:val="1"/>
                <w:color w:val="auto"/>
              </w:rPr>
            </w:pPr>
          </w:p>
        </w:tc>
      </w:tr>
      <w:tr>
        <w:trPr>
          <w:trHeight w:val="223"/>
        </w:trPr>
        <w:tc>
          <w:tcPr>
            <w:tcW w:w="960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2,480.3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7,297.9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5,511.3</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324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Accrued wages and salaries</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96.5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96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1,065.4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3,937.2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2,894.1</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5,725.1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4,441.1</w:t>
            </w: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Commitments and contingencies (See Note 17)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Other capital</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1,969.9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1,413.8</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(246.7)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23"/>
        </w:trPr>
        <w:tc>
          <w:tcPr>
            <w:tcW w:w="9600" w:type="dxa"/>
            <w:vAlign w:val="bottom"/>
          </w:tcPr>
          <w:p>
            <w:pPr>
              <w:ind w:left="360"/>
              <w:spacing w:after="0"/>
              <w:rPr>
                <w:sz w:val="20"/>
                <w:szCs w:val="20"/>
                <w:color w:val="auto"/>
              </w:rPr>
            </w:pPr>
            <w:r>
              <w:rPr>
                <w:rFonts w:ascii="Arial" w:cs="Arial" w:eastAsia="Arial" w:hAnsi="Arial"/>
                <w:sz w:val="18"/>
                <w:szCs w:val="18"/>
                <w:color w:val="auto"/>
              </w:rPr>
              <w:t>Accumulated other comprehensive loss, net of tax</w:t>
            </w:r>
          </w:p>
        </w:tc>
        <w:tc>
          <w:tcPr>
            <w:tcW w:w="80" w:type="dxa"/>
            <w:vAlign w:val="bottom"/>
          </w:tcPr>
          <w:p>
            <w:pPr>
              <w:spacing w:after="0"/>
              <w:rPr>
                <w:sz w:val="19"/>
                <w:szCs w:val="19"/>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equity</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1,572.8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1,070.2</w:t>
            </w:r>
          </w:p>
        </w:tc>
        <w:tc>
          <w:tcPr>
            <w:tcW w:w="0" w:type="dxa"/>
            <w:vAlign w:val="bottom"/>
          </w:tcPr>
          <w:p>
            <w:pPr>
              <w:spacing w:after="0"/>
              <w:rPr>
                <w:sz w:val="1"/>
                <w:szCs w:val="1"/>
                <w:color w:val="auto"/>
              </w:rPr>
            </w:pPr>
          </w:p>
        </w:tc>
      </w:tr>
      <w:tr>
        <w:trPr>
          <w:trHeight w:val="223"/>
        </w:trPr>
        <w:tc>
          <w:tcPr>
            <w:tcW w:w="9600" w:type="dxa"/>
            <w:vAlign w:val="bottom"/>
          </w:tcPr>
          <w:p>
            <w:pPr>
              <w:ind w:left="1080"/>
              <w:spacing w:after="0"/>
              <w:rPr>
                <w:sz w:val="20"/>
                <w:szCs w:val="20"/>
                <w:color w:val="auto"/>
              </w:rPr>
            </w:pPr>
            <w:r>
              <w:rPr>
                <w:rFonts w:ascii="Arial" w:cs="Arial" w:eastAsia="Arial" w:hAnsi="Arial"/>
                <w:sz w:val="18"/>
                <w:szCs w:val="18"/>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7,297.9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figures)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4,690.4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4,429.1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3,018.0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2,856.5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1,670.3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1,568.9</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720.7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678.2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related charges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1,084.4</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484.5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non-operating expense, net</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controlling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(113.0)</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Unrealized (loss) gain on hedging derivatives, net tax of $3.0, $4.2 and $(0.4), respectively</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11.5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(loss) gain, net tax of $0.5, $(1.6) and $5.2, respectively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(137.2)</w:t>
            </w:r>
          </w:p>
        </w:tc>
        <w:tc>
          <w:tcPr>
            <w:tcW w:w="200" w:type="dxa"/>
            <w:vAlign w:val="bottom"/>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200" w:type="dxa"/>
            <w:vAlign w:val="bottom"/>
            <w:vMerge w:val="continue"/>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192.5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Comprehensive (loss) income attributable to non-controlling interest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0.4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controlling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192.1</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2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Capital</w:t>
            </w: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Deficit</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0"/>
              </w:rPr>
              <w:t>(Loss)</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0"/>
              </w:rPr>
              <w:t>Interest</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Balances at September 30, 2012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$1,359.9</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(333.8)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color w:val="auto"/>
              </w:rPr>
              <w:t>(47.4)</w:t>
            </w: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(47.4)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Contribution from parent</w:t>
            </w:r>
          </w:p>
        </w:tc>
        <w:tc>
          <w:tcPr>
            <w:tcW w:w="1040" w:type="dxa"/>
            <w:vAlign w:val="bottom"/>
            <w:gridSpan w:val="2"/>
          </w:tcPr>
          <w:p>
            <w:pPr>
              <w:jc w:val="right"/>
              <w:ind w:right="480"/>
              <w:spacing w:after="0"/>
              <w:rPr>
                <w:sz w:val="20"/>
                <w:szCs w:val="20"/>
                <w:color w:val="auto"/>
              </w:rPr>
            </w:pPr>
            <w:r>
              <w:rPr>
                <w:rFonts w:ascii="Arial" w:cs="Arial" w:eastAsia="Arial" w:hAnsi="Arial"/>
                <w:sz w:val="16"/>
                <w:szCs w:val="16"/>
                <w:color w:val="auto"/>
              </w:rPr>
              <w:t>28.6</w:t>
            </w:r>
          </w:p>
        </w:tc>
        <w:tc>
          <w:tcPr>
            <w:tcW w:w="14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28.6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issued and related tax withholdings</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(20.1)</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Share based compensation</w:t>
            </w:r>
          </w:p>
        </w:tc>
        <w:tc>
          <w:tcPr>
            <w:tcW w:w="1040" w:type="dxa"/>
            <w:vAlign w:val="bottom"/>
            <w:gridSpan w:val="2"/>
          </w:tcPr>
          <w:p>
            <w:pPr>
              <w:jc w:val="right"/>
              <w:ind w:right="480"/>
              <w:spacing w:after="0"/>
              <w:rPr>
                <w:sz w:val="20"/>
                <w:szCs w:val="20"/>
                <w:color w:val="auto"/>
              </w:rPr>
            </w:pPr>
            <w:r>
              <w:rPr>
                <w:rFonts w:ascii="Arial" w:cs="Arial" w:eastAsia="Arial" w:hAnsi="Arial"/>
                <w:sz w:val="16"/>
                <w:szCs w:val="16"/>
                <w:color w:val="auto"/>
              </w:rPr>
              <w:t>30.8</w:t>
            </w:r>
          </w:p>
        </w:tc>
        <w:tc>
          <w:tcPr>
            <w:tcW w:w="14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(88.7)</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Parent ownership interest—Shaser</w:t>
            </w:r>
          </w:p>
        </w:tc>
        <w:tc>
          <w:tcPr>
            <w:tcW w:w="1040" w:type="dxa"/>
            <w:vAlign w:val="bottom"/>
            <w:gridSpan w:val="2"/>
          </w:tcPr>
          <w:p>
            <w:pPr>
              <w:jc w:val="right"/>
              <w:ind w:right="420"/>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spacing w:after="0"/>
              <w:rPr>
                <w:sz w:val="20"/>
                <w:szCs w:val="20"/>
                <w:color w:val="auto"/>
              </w:rPr>
            </w:pPr>
            <w:r>
              <w:rPr>
                <w:rFonts w:ascii="Arial" w:cs="Arial" w:eastAsia="Arial" w:hAnsi="Arial"/>
                <w:sz w:val="16"/>
                <w:szCs w:val="16"/>
                <w:color w:val="auto"/>
              </w:rPr>
              <w:t>Balances at September 30, 2013</w:t>
            </w:r>
          </w:p>
        </w:tc>
        <w:tc>
          <w:tcPr>
            <w:tcW w:w="1040" w:type="dxa"/>
            <w:vAlign w:val="bottom"/>
            <w:gridSpan w:val="2"/>
          </w:tcPr>
          <w:p>
            <w:pPr>
              <w:jc w:val="right"/>
              <w:ind w:right="480"/>
              <w:spacing w:after="0"/>
              <w:rPr>
                <w:sz w:val="20"/>
                <w:szCs w:val="20"/>
                <w:color w:val="auto"/>
              </w:rPr>
            </w:pPr>
            <w:r>
              <w:rPr>
                <w:rFonts w:ascii="Arial" w:cs="Arial" w:eastAsia="Arial" w:hAnsi="Arial"/>
                <w:sz w:val="16"/>
                <w:szCs w:val="16"/>
                <w:color w:val="auto"/>
              </w:rPr>
              <w:t>1,393.1</w:t>
            </w:r>
          </w:p>
        </w:tc>
        <w:tc>
          <w:tcPr>
            <w:tcW w:w="14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color w:val="auto"/>
              </w:rPr>
              <w:t>(469.9)</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884.7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49.2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216.8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(24.6)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issued and related tax withholdings</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(25.0)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Share based compensation</w:t>
            </w:r>
          </w:p>
        </w:tc>
        <w:tc>
          <w:tcPr>
            <w:tcW w:w="1040" w:type="dxa"/>
            <w:vAlign w:val="bottom"/>
            <w:gridSpan w:val="2"/>
          </w:tcPr>
          <w:p>
            <w:pPr>
              <w:jc w:val="right"/>
              <w:ind w:right="480"/>
              <w:spacing w:after="0"/>
              <w:rPr>
                <w:sz w:val="20"/>
                <w:szCs w:val="20"/>
                <w:color w:val="auto"/>
              </w:rPr>
            </w:pPr>
            <w:r>
              <w:rPr>
                <w:rFonts w:ascii="Arial" w:cs="Arial" w:eastAsia="Arial" w:hAnsi="Arial"/>
                <w:sz w:val="16"/>
                <w:szCs w:val="16"/>
                <w:color w:val="auto"/>
              </w:rPr>
              <w:t>45.7</w:t>
            </w:r>
          </w:p>
        </w:tc>
        <w:tc>
          <w:tcPr>
            <w:tcW w:w="14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45.7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(76.9)</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6"/>
                <w:szCs w:val="16"/>
                <w:color w:val="auto"/>
              </w:rPr>
              <w:t>Balances at September 30, 2014</w:t>
            </w: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20" w:type="dxa"/>
            <w:vAlign w:val="bottom"/>
            <w:gridSpan w:val="2"/>
            <w:vMerge w:val="continue"/>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1,413.8</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color w:val="auto"/>
              </w:rPr>
              <w:t>(330.0)</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(63.1)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1,020.7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49.5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1,070.2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155.4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(137.0)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(137.0)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Contribution from parent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570.6</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570.6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Restricted stock issued and related tax withholdings</w:t>
            </w:r>
          </w:p>
        </w:tc>
        <w:tc>
          <w:tcPr>
            <w:tcW w:w="1040" w:type="dxa"/>
            <w:vAlign w:val="bottom"/>
            <w:gridSpan w:val="2"/>
          </w:tcPr>
          <w:p>
            <w:pPr>
              <w:jc w:val="right"/>
              <w:ind w:right="420"/>
              <w:spacing w:after="0"/>
              <w:rPr>
                <w:sz w:val="20"/>
                <w:szCs w:val="20"/>
                <w:color w:val="auto"/>
              </w:rPr>
            </w:pPr>
            <w:r>
              <w:rPr>
                <w:rFonts w:ascii="Arial" w:cs="Arial" w:eastAsia="Arial" w:hAnsi="Arial"/>
                <w:sz w:val="16"/>
                <w:szCs w:val="16"/>
                <w:color w:val="auto"/>
              </w:rPr>
              <w:t>(38.4)</w:t>
            </w:r>
          </w:p>
        </w:tc>
        <w:tc>
          <w:tcPr>
            <w:tcW w:w="14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(38.4)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Share based compensation</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Dividends declared</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color w:val="auto"/>
              </w:rPr>
              <w:t>(72.1)</w:t>
            </w: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(72.1)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Balances at September 30, 2015</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1,969.9</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(246.7)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1,523.1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1,572.8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2014</w:t>
            </w: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Net income (loss)</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155.8</w:t>
            </w:r>
          </w:p>
        </w:tc>
        <w:tc>
          <w:tcPr>
            <w:tcW w:w="2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w w:val="99"/>
              </w:rPr>
              <w:t>217.1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81.7</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Share based compensation</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44.9</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Non-cash inventory adjustment from acquisitions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Non-cash restructuring and related charges</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debt issuance costs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Write off of debt issuance costs on retired debt</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11.2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Non-cash debt accretion</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Write off unamortized discount (premium) on retired debt</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Note retirement tender, call premium and related costs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Deferred tax expense (benefit)</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Receivables</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93.4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Prepaid expenses and other</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liabilities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(35.9)</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Other</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(75.0)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434.7</w:t>
            </w: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plant and equipment</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(73.3)</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Business acquisitions, net of cash acquired</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(1,191.1)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(1,393.6)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sales of property, plant and equipment</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Other investing activities</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by investing activities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0"/>
              </w:rPr>
              <w:t>(1,279.7)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(93.5)</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(1,476.7)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debt</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3,320.3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w w:val="99"/>
              </w:rPr>
              <w:t>540.1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3,038.2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Payment of debt</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(2,813.2)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color w:val="auto"/>
                <w:w w:val="86"/>
              </w:rPr>
              <w:t>(770.9)</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(1,633.7)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Payment of debt issuance costs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Payment of cash dividends to parent</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(72.1)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color w:val="auto"/>
              </w:rPr>
              <w:t>(77.0)</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 from parent</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Share based tax withholding payments, net of proceeds upon vesting</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(used) by financing activities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6"/>
              </w:rPr>
              <w:t>(338.2)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1,263.4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 due to Venezuela devaluation</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6"/>
                <w:szCs w:val="16"/>
                <w:color w:val="auto"/>
              </w:rPr>
              <w:t>Net increase (decrease) in cash and cash equivalents</w:t>
            </w: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4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1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198.2</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4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247.9</w:t>
            </w:r>
          </w:p>
        </w:tc>
        <w:tc>
          <w:tcPr>
            <w:tcW w:w="2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w w:val="99"/>
              </w:rPr>
              <w:t>192.9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250.3</w:t>
            </w:r>
          </w:p>
        </w:tc>
        <w:tc>
          <w:tcPr>
            <w:tcW w:w="2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w w:val="99"/>
              </w:rPr>
              <w:t>178.7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Cash paid for taxes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80.7</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b w:val="1"/>
                <w:bCs w:val="1"/>
                <w:color w:val="auto"/>
              </w:rPr>
              <w:t>Non cash financing activity</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Assumption of AAG debt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Spectrum Brands Holdings, Inc., a Delaware corporation (“SBH”), is a diversified global branded consumer products company. SBH’s common stock trades on the New York Stock Exchange (the “NYSE”) under the symbol “SPB.” SB/RH Holdings, LLC (“SB/RH” or the “Company”) is a wholly-owned subsidiary of SBH. SB/RH along with its wholly-owned subsidiary Spectrum Brands, Inc. (“SBI”) issued certain debt guaranteed by domestic subsidiaries of the Company. See Note 9 “Debt” of Notes to the Consolidated Financial Statements for more information pertaining to debt. The Company manufactures, markets and/or distributes its products in approximately 160 countries in the North America, Europe, Middle East &amp; Africa (“MEA”), Latin America and Asia-Pacific regions through a variety of trade channels, including retailers, wholesalers and distributors, original equipment manufacturers (“OEMs”), construction companies and hearing aid professionals. We enjoy strong name recognition in our regions under our various brands and patented technologies. Our diversified global branded consumer products have positions in seven major product categories: consumer batteries, small appliances, personal care, hardware and home improvement, pet supplies, home and garden and auto care. We manage the businesses in five vertically integrated, product-focused segments: (i) Global Batteries &amp; Appliances, (ii) Global Pet Supplies, (iii) Home and Garden, (iv) Hardware &amp; Home Improvement and (v) Global Auto Care. Global and geographic strategic initiatives and financial objectives are determined at the corporate level. Each segment is responsible for implementing defined strategic initiatives and achieving certain financial objectives and has a general manager responsible for sales and marketing initiatives and the financial results for all product lines within that segment. See Note 18, “Segment Information” of Notes to the Consolidated Financial Statements for more information pertaining to segments. The following table summarizes the respective product types, brands, and regions for each of the reporting segments: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20"/>
                <w:szCs w:val="20"/>
                <w:color w:val="auto"/>
              </w:rPr>
            </w:pPr>
            <w:r>
              <w:rPr>
                <w:rFonts w:ascii="Arial" w:cs="Arial" w:eastAsia="Arial" w:hAnsi="Arial"/>
                <w:sz w:val="14"/>
                <w:szCs w:val="14"/>
                <w:b w:val="1"/>
                <w:bCs w:val="1"/>
                <w:color w:val="auto"/>
                <w:w w:val="87"/>
              </w:rPr>
              <w:t>Segment</w:t>
            </w:r>
          </w:p>
        </w:tc>
        <w:tc>
          <w:tcPr>
            <w:tcW w:w="108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Products</w:t>
            </w:r>
          </w:p>
        </w:tc>
        <w:tc>
          <w:tcPr>
            <w:tcW w:w="3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Brands</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Regions</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1" w:lineRule="exact"/>
              <w:rPr>
                <w:sz w:val="20"/>
                <w:szCs w:val="20"/>
                <w:color w:val="auto"/>
              </w:rPr>
            </w:pPr>
            <w:r>
              <w:rPr>
                <w:rFonts w:ascii="Arial" w:cs="Arial" w:eastAsia="Arial" w:hAnsi="Arial"/>
                <w:sz w:val="18"/>
                <w:szCs w:val="18"/>
                <w:color w:val="auto"/>
              </w:rPr>
              <w:t>America</w:t>
            </w: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2" w:lineRule="exact"/>
              <w:rPr>
                <w:sz w:val="20"/>
                <w:szCs w:val="20"/>
                <w:color w:val="auto"/>
              </w:rPr>
            </w:pPr>
            <w:r>
              <w:rPr>
                <w:rFonts w:ascii="Arial" w:cs="Arial" w:eastAsia="Arial" w:hAnsi="Arial"/>
                <w:sz w:val="18"/>
                <w:szCs w:val="18"/>
                <w:color w:val="auto"/>
                <w:w w:val="99"/>
              </w:rPr>
              <w:t>Global</w:t>
            </w:r>
          </w:p>
        </w:tc>
        <w:tc>
          <w:tcPr>
            <w:tcW w:w="1080" w:type="dxa"/>
            <w:vAlign w:val="bottom"/>
            <w:vMerge w:val="continue"/>
          </w:tcPr>
          <w:p>
            <w:pPr>
              <w:spacing w:after="0"/>
              <w:rPr>
                <w:sz w:val="15"/>
                <w:szCs w:val="15"/>
                <w:color w:val="auto"/>
              </w:rPr>
            </w:pPr>
          </w:p>
        </w:tc>
        <w:tc>
          <w:tcPr>
            <w:tcW w:w="394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w w:val="92"/>
              </w:rPr>
              <w:t xml:space="preserve">Consumer batteries: </w:t>
            </w:r>
            <w:r>
              <w:rPr>
                <w:rFonts w:ascii="Arial" w:cs="Arial" w:eastAsia="Arial" w:hAnsi="Arial"/>
                <w:sz w:val="18"/>
                <w:szCs w:val="18"/>
                <w:color w:val="auto"/>
                <w:w w:val="92"/>
              </w:rPr>
              <w:t>Alkaline, zinc carbon, and NiMH</w:t>
            </w:r>
          </w:p>
        </w:tc>
        <w:tc>
          <w:tcPr>
            <w:tcW w:w="360" w:type="dxa"/>
            <w:vAlign w:val="bottom"/>
            <w:vMerge w:val="continue"/>
          </w:tcPr>
          <w:p>
            <w:pPr>
              <w:spacing w:after="0"/>
              <w:rPr>
                <w:sz w:val="15"/>
                <w:szCs w:val="15"/>
                <w:color w:val="auto"/>
              </w:rPr>
            </w:pPr>
          </w:p>
        </w:tc>
        <w:tc>
          <w:tcPr>
            <w:tcW w:w="392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 xml:space="preserve">Consumer batteries: </w:t>
            </w:r>
            <w:r>
              <w:rPr>
                <w:rFonts w:ascii="Arial" w:cs="Arial" w:eastAsia="Arial" w:hAnsi="Arial"/>
                <w:sz w:val="18"/>
                <w:szCs w:val="18"/>
                <w:color w:val="auto"/>
              </w:rPr>
              <w:t>Rayovac, VARTA.</w:t>
            </w:r>
          </w:p>
        </w:tc>
        <w:tc>
          <w:tcPr>
            <w:tcW w:w="60" w:type="dxa"/>
            <w:vAlign w:val="bottom"/>
            <w:vMerge w:val="continue"/>
          </w:tcPr>
          <w:p>
            <w:pPr>
              <w:spacing w:after="0"/>
              <w:rPr>
                <w:sz w:val="15"/>
                <w:szCs w:val="15"/>
                <w:color w:val="auto"/>
              </w:rPr>
            </w:pPr>
          </w:p>
        </w:tc>
        <w:tc>
          <w:tcPr>
            <w:tcW w:w="480" w:type="dxa"/>
            <w:vAlign w:val="bottom"/>
          </w:tcPr>
          <w:p>
            <w:pPr>
              <w:spacing w:after="0" w:line="182" w:lineRule="exact"/>
              <w:rPr>
                <w:sz w:val="20"/>
                <w:szCs w:val="20"/>
                <w:color w:val="auto"/>
              </w:rPr>
            </w:pPr>
            <w:r>
              <w:rPr>
                <w:rFonts w:ascii="Arial" w:cs="Arial" w:eastAsia="Arial" w:hAnsi="Arial"/>
                <w:sz w:val="18"/>
                <w:szCs w:val="18"/>
                <w:color w:val="auto"/>
              </w:rPr>
              <w:t>North</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Batteries &amp;</w:t>
            </w:r>
          </w:p>
        </w:tc>
        <w:tc>
          <w:tcPr>
            <w:tcW w:w="3940" w:type="dxa"/>
            <w:vAlign w:val="bottom"/>
            <w:gridSpan w:val="2"/>
          </w:tcPr>
          <w:p>
            <w:pPr>
              <w:spacing w:after="0"/>
              <w:rPr>
                <w:sz w:val="20"/>
                <w:szCs w:val="20"/>
                <w:color w:val="auto"/>
              </w:rPr>
            </w:pPr>
            <w:r>
              <w:rPr>
                <w:rFonts w:ascii="Arial" w:cs="Arial" w:eastAsia="Arial" w:hAnsi="Arial"/>
                <w:sz w:val="18"/>
                <w:szCs w:val="18"/>
                <w:color w:val="auto"/>
                <w:w w:val="90"/>
              </w:rPr>
              <w:t>rechargeable batteries; hearing aid and other specialty</w:t>
            </w:r>
          </w:p>
        </w:tc>
        <w:tc>
          <w:tcPr>
            <w:tcW w:w="3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w w:val="92"/>
              </w:rPr>
              <w:t xml:space="preserve">Small appliances: </w:t>
            </w:r>
            <w:r>
              <w:rPr>
                <w:rFonts w:ascii="Arial" w:cs="Arial" w:eastAsia="Arial" w:hAnsi="Arial"/>
                <w:sz w:val="18"/>
                <w:szCs w:val="18"/>
                <w:color w:val="auto"/>
                <w:w w:val="92"/>
              </w:rPr>
              <w:t>Black &amp; Decker, George Foreman,</w:t>
            </w:r>
          </w:p>
        </w:tc>
        <w:tc>
          <w:tcPr>
            <w:tcW w:w="1440" w:type="dxa"/>
            <w:vAlign w:val="bottom"/>
            <w:gridSpan w:val="3"/>
          </w:tcPr>
          <w:p>
            <w:pPr>
              <w:ind w:left="60"/>
              <w:spacing w:after="0"/>
              <w:rPr>
                <w:sz w:val="20"/>
                <w:szCs w:val="20"/>
                <w:color w:val="auto"/>
              </w:rPr>
            </w:pPr>
            <w:r>
              <w:rPr>
                <w:rFonts w:ascii="Arial" w:cs="Arial" w:eastAsia="Arial" w:hAnsi="Arial"/>
                <w:sz w:val="18"/>
                <w:szCs w:val="18"/>
                <w:color w:val="auto"/>
                <w:w w:val="93"/>
              </w:rPr>
              <w:t>Europe/MEA Latin</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Appliances</w:t>
            </w:r>
          </w:p>
        </w:tc>
        <w:tc>
          <w:tcPr>
            <w:tcW w:w="3940" w:type="dxa"/>
            <w:vAlign w:val="bottom"/>
            <w:gridSpan w:val="2"/>
          </w:tcPr>
          <w:p>
            <w:pPr>
              <w:spacing w:after="0"/>
              <w:rPr>
                <w:sz w:val="20"/>
                <w:szCs w:val="20"/>
                <w:color w:val="auto"/>
              </w:rPr>
            </w:pPr>
            <w:r>
              <w:rPr>
                <w:rFonts w:ascii="Arial" w:cs="Arial" w:eastAsia="Arial" w:hAnsi="Arial"/>
                <w:sz w:val="18"/>
                <w:szCs w:val="18"/>
                <w:color w:val="auto"/>
                <w:w w:val="97"/>
              </w:rPr>
              <w:t>battery products; battery powered portable lighting</w:t>
            </w:r>
          </w:p>
        </w:tc>
        <w:tc>
          <w:tcPr>
            <w:tcW w:w="3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Russell Hobbs, Juiceman, Breadman, and</w:t>
            </w: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America Asia-</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w w:val="94"/>
              </w:rPr>
              <w:t xml:space="preserve">products. </w:t>
            </w:r>
            <w:r>
              <w:rPr>
                <w:rFonts w:ascii="Arial" w:cs="Arial" w:eastAsia="Arial" w:hAnsi="Arial"/>
                <w:sz w:val="18"/>
                <w:szCs w:val="18"/>
                <w:i w:val="1"/>
                <w:iCs w:val="1"/>
                <w:color w:val="auto"/>
                <w:w w:val="94"/>
              </w:rPr>
              <w:t>Small appliances:</w:t>
            </w:r>
            <w:r>
              <w:rPr>
                <w:rFonts w:ascii="Arial" w:cs="Arial" w:eastAsia="Arial" w:hAnsi="Arial"/>
                <w:sz w:val="18"/>
                <w:szCs w:val="18"/>
                <w:color w:val="auto"/>
                <w:w w:val="94"/>
              </w:rPr>
              <w:t xml:space="preserve"> small kitchen and home</w:t>
            </w:r>
          </w:p>
        </w:tc>
        <w:tc>
          <w:tcPr>
            <w:tcW w:w="3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Toastmaster.</w:t>
            </w: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Pacific</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appliances.</w:t>
            </w:r>
          </w:p>
        </w:tc>
        <w:tc>
          <w:tcPr>
            <w:tcW w:w="3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Personal care: </w:t>
            </w:r>
            <w:r>
              <w:rPr>
                <w:rFonts w:ascii="Arial" w:cs="Arial" w:eastAsia="Arial" w:hAnsi="Arial"/>
                <w:sz w:val="18"/>
                <w:szCs w:val="18"/>
                <w:color w:val="auto"/>
              </w:rPr>
              <w:t>Remington.</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Personal care: </w:t>
            </w:r>
            <w:r>
              <w:rPr>
                <w:rFonts w:ascii="Arial" w:cs="Arial" w:eastAsia="Arial" w:hAnsi="Arial"/>
                <w:sz w:val="18"/>
                <w:szCs w:val="18"/>
                <w:color w:val="auto"/>
              </w:rPr>
              <w:t>electric shaving and grooming</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products, hair care appliances and accessories.</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Hardware &amp;</w:t>
            </w:r>
          </w:p>
        </w:tc>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Hardware and home improvement: </w:t>
            </w:r>
            <w:r>
              <w:rPr>
                <w:rFonts w:ascii="Arial" w:cs="Arial" w:eastAsia="Arial" w:hAnsi="Arial"/>
                <w:sz w:val="18"/>
                <w:szCs w:val="18"/>
                <w:color w:val="auto"/>
              </w:rPr>
              <w:t>Residential</w:t>
            </w:r>
          </w:p>
        </w:tc>
        <w:tc>
          <w:tcPr>
            <w:tcW w:w="3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w w:val="93"/>
              </w:rPr>
              <w:t xml:space="preserve">Hardware and home improvement: </w:t>
            </w:r>
            <w:r>
              <w:rPr>
                <w:rFonts w:ascii="Arial" w:cs="Arial" w:eastAsia="Arial" w:hAnsi="Arial"/>
                <w:sz w:val="18"/>
                <w:szCs w:val="18"/>
                <w:color w:val="auto"/>
                <w:w w:val="93"/>
              </w:rPr>
              <w:t>Kwikset, Weiser,</w:t>
            </w: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North America</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Home</w:t>
            </w:r>
          </w:p>
        </w:tc>
        <w:tc>
          <w:tcPr>
            <w:tcW w:w="3940" w:type="dxa"/>
            <w:vAlign w:val="bottom"/>
            <w:gridSpan w:val="2"/>
          </w:tcPr>
          <w:p>
            <w:pPr>
              <w:spacing w:after="0"/>
              <w:rPr>
                <w:sz w:val="20"/>
                <w:szCs w:val="20"/>
                <w:color w:val="auto"/>
              </w:rPr>
            </w:pPr>
            <w:r>
              <w:rPr>
                <w:rFonts w:ascii="Arial" w:cs="Arial" w:eastAsia="Arial" w:hAnsi="Arial"/>
                <w:sz w:val="18"/>
                <w:szCs w:val="18"/>
                <w:color w:val="auto"/>
                <w:w w:val="91"/>
              </w:rPr>
              <w:t>locksets and door hardware including hinges, security</w:t>
            </w:r>
          </w:p>
        </w:tc>
        <w:tc>
          <w:tcPr>
            <w:tcW w:w="3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w w:val="98"/>
              </w:rPr>
              <w:t>Baldwin, National Hardware, Stanley, Tell, Pfister.</w:t>
            </w:r>
          </w:p>
        </w:tc>
        <w:tc>
          <w:tcPr>
            <w:tcW w:w="1440" w:type="dxa"/>
            <w:vAlign w:val="bottom"/>
            <w:gridSpan w:val="3"/>
          </w:tcPr>
          <w:p>
            <w:pPr>
              <w:ind w:left="60"/>
              <w:spacing w:after="0"/>
              <w:rPr>
                <w:sz w:val="20"/>
                <w:szCs w:val="20"/>
                <w:color w:val="auto"/>
              </w:rPr>
            </w:pPr>
            <w:r>
              <w:rPr>
                <w:rFonts w:ascii="Arial" w:cs="Arial" w:eastAsia="Arial" w:hAnsi="Arial"/>
                <w:sz w:val="18"/>
                <w:szCs w:val="18"/>
                <w:color w:val="auto"/>
                <w:w w:val="93"/>
              </w:rPr>
              <w:t>Europe/MEA Latin</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Improvement</w:t>
            </w:r>
          </w:p>
        </w:tc>
        <w:tc>
          <w:tcPr>
            <w:tcW w:w="3940" w:type="dxa"/>
            <w:vAlign w:val="bottom"/>
            <w:gridSpan w:val="2"/>
          </w:tcPr>
          <w:p>
            <w:pPr>
              <w:spacing w:after="0"/>
              <w:rPr>
                <w:sz w:val="20"/>
                <w:szCs w:val="20"/>
                <w:color w:val="auto"/>
              </w:rPr>
            </w:pPr>
            <w:r>
              <w:rPr>
                <w:rFonts w:ascii="Arial" w:cs="Arial" w:eastAsia="Arial" w:hAnsi="Arial"/>
                <w:sz w:val="18"/>
                <w:szCs w:val="18"/>
                <w:color w:val="auto"/>
                <w:w w:val="96"/>
              </w:rPr>
              <w:t>hardware, screen and storm door products, garage</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America Asia-</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hardware, window hardware and floor protection;</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Pacific</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w w:val="92"/>
              </w:rPr>
              <w:t>commercial doors, locks, and hardware; kitchen, bath</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and shower faucets and plumbing products.</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F-8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20"/>
                <w:szCs w:val="20"/>
                <w:color w:val="auto"/>
              </w:rPr>
            </w:pPr>
            <w:r>
              <w:rPr>
                <w:rFonts w:ascii="Arial" w:cs="Arial" w:eastAsia="Arial" w:hAnsi="Arial"/>
                <w:sz w:val="14"/>
                <w:szCs w:val="14"/>
                <w:b w:val="1"/>
                <w:bCs w:val="1"/>
                <w:color w:val="auto"/>
                <w:w w:val="87"/>
              </w:rPr>
              <w:t>Segment</w:t>
            </w:r>
          </w:p>
        </w:tc>
        <w:tc>
          <w:tcPr>
            <w:tcW w:w="600" w:type="dxa"/>
            <w:vAlign w:val="bottom"/>
          </w:tcPr>
          <w:p>
            <w:pPr>
              <w:spacing w:after="0"/>
              <w:rPr>
                <w:sz w:val="16"/>
                <w:szCs w:val="16"/>
                <w:color w:val="auto"/>
              </w:rPr>
            </w:pPr>
          </w:p>
        </w:tc>
        <w:tc>
          <w:tcPr>
            <w:tcW w:w="4600" w:type="dxa"/>
            <w:vAlign w:val="bottom"/>
            <w:gridSpan w:val="3"/>
          </w:tcPr>
          <w:p>
            <w:pPr>
              <w:ind w:left="240"/>
              <w:spacing w:after="0"/>
              <w:rPr>
                <w:sz w:val="20"/>
                <w:szCs w:val="20"/>
                <w:color w:val="auto"/>
              </w:rPr>
            </w:pPr>
            <w:r>
              <w:rPr>
                <w:rFonts w:ascii="Arial" w:cs="Arial" w:eastAsia="Arial" w:hAnsi="Arial"/>
                <w:sz w:val="14"/>
                <w:szCs w:val="14"/>
                <w:b w:val="1"/>
                <w:bCs w:val="1"/>
                <w:color w:val="auto"/>
              </w:rPr>
              <w:t>Products</w:t>
            </w:r>
          </w:p>
        </w:tc>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Brands</w:t>
            </w: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Regions</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1" w:lineRule="exact"/>
              <w:rPr>
                <w:sz w:val="20"/>
                <w:szCs w:val="20"/>
                <w:color w:val="auto"/>
              </w:rPr>
            </w:pPr>
            <w:r>
              <w:rPr>
                <w:rFonts w:ascii="Arial" w:cs="Arial" w:eastAsia="Arial" w:hAnsi="Arial"/>
                <w:sz w:val="18"/>
                <w:szCs w:val="18"/>
                <w:color w:val="auto"/>
              </w:rPr>
              <w:t>Pet</w:t>
            </w: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700" w:type="dxa"/>
            <w:vAlign w:val="bottom"/>
            <w:vMerge w:val="restart"/>
          </w:tcPr>
          <w:p>
            <w:pPr>
              <w:spacing w:after="0" w:line="201" w:lineRule="exact"/>
              <w:rPr>
                <w:sz w:val="20"/>
                <w:szCs w:val="20"/>
                <w:color w:val="auto"/>
              </w:rPr>
            </w:pPr>
            <w:r>
              <w:rPr>
                <w:rFonts w:ascii="Arial" w:cs="Arial" w:eastAsia="Arial" w:hAnsi="Arial"/>
                <w:sz w:val="18"/>
                <w:szCs w:val="18"/>
                <w:i w:val="1"/>
                <w:iCs w:val="1"/>
                <w:color w:val="auto"/>
              </w:rPr>
              <w:t xml:space="preserve">Supplies: </w:t>
            </w:r>
            <w:r>
              <w:rPr>
                <w:rFonts w:ascii="Arial" w:cs="Arial" w:eastAsia="Arial" w:hAnsi="Arial"/>
                <w:sz w:val="18"/>
                <w:szCs w:val="18"/>
                <w:color w:val="auto"/>
              </w:rPr>
              <w:t>8-in-1, Dingo, Nature’s Miracle, Wild</w:t>
            </w:r>
          </w:p>
        </w:tc>
        <w:tc>
          <w:tcPr>
            <w:tcW w:w="500" w:type="dxa"/>
            <w:vAlign w:val="bottom"/>
            <w:shd w:val="clear" w:color="auto" w:fill="000000"/>
          </w:tcPr>
          <w:p>
            <w:pPr>
              <w:spacing w:after="0" w:line="20" w:lineRule="exact"/>
              <w:rPr>
                <w:sz w:val="1"/>
                <w:szCs w:val="1"/>
                <w:color w:val="auto"/>
              </w:rPr>
            </w:pPr>
          </w:p>
        </w:tc>
        <w:tc>
          <w:tcPr>
            <w:tcW w:w="1020" w:type="dxa"/>
            <w:vAlign w:val="bottom"/>
            <w:vMerge w:val="restart"/>
          </w:tcPr>
          <w:p>
            <w:pPr>
              <w:spacing w:after="0" w:line="201" w:lineRule="exact"/>
              <w:rPr>
                <w:sz w:val="20"/>
                <w:szCs w:val="20"/>
                <w:color w:val="auto"/>
              </w:rPr>
            </w:pPr>
            <w:r>
              <w:rPr>
                <w:rFonts w:ascii="Arial" w:cs="Arial" w:eastAsia="Arial" w:hAnsi="Arial"/>
                <w:sz w:val="18"/>
                <w:szCs w:val="18"/>
                <w:color w:val="auto"/>
              </w:rPr>
              <w:t>America</w:t>
            </w: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2" w:lineRule="exact"/>
              <w:rPr>
                <w:sz w:val="20"/>
                <w:szCs w:val="20"/>
                <w:color w:val="auto"/>
              </w:rPr>
            </w:pPr>
            <w:r>
              <w:rPr>
                <w:rFonts w:ascii="Arial" w:cs="Arial" w:eastAsia="Arial" w:hAnsi="Arial"/>
                <w:sz w:val="18"/>
                <w:szCs w:val="18"/>
                <w:color w:val="auto"/>
                <w:w w:val="99"/>
              </w:rPr>
              <w:t>Global</w:t>
            </w:r>
          </w:p>
        </w:tc>
        <w:tc>
          <w:tcPr>
            <w:tcW w:w="6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36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w w:val="97"/>
              </w:rPr>
              <w:t xml:space="preserve">Pet supplies: </w:t>
            </w:r>
            <w:r>
              <w:rPr>
                <w:rFonts w:ascii="Arial" w:cs="Arial" w:eastAsia="Arial" w:hAnsi="Arial"/>
                <w:sz w:val="18"/>
                <w:szCs w:val="18"/>
                <w:color w:val="auto"/>
                <w:w w:val="97"/>
              </w:rPr>
              <w:t>Dog, cat and small animal food and treats;</w:t>
            </w:r>
          </w:p>
        </w:tc>
        <w:tc>
          <w:tcPr>
            <w:tcW w:w="460" w:type="dxa"/>
            <w:vAlign w:val="bottom"/>
          </w:tcPr>
          <w:p>
            <w:pPr>
              <w:spacing w:after="0" w:line="182" w:lineRule="exact"/>
              <w:rPr>
                <w:sz w:val="20"/>
                <w:szCs w:val="20"/>
                <w:color w:val="auto"/>
              </w:rPr>
            </w:pPr>
            <w:r>
              <w:rPr>
                <w:rFonts w:ascii="Arial" w:cs="Arial" w:eastAsia="Arial" w:hAnsi="Arial"/>
                <w:sz w:val="18"/>
                <w:szCs w:val="18"/>
                <w:i w:val="1"/>
                <w:iCs w:val="1"/>
                <w:color w:val="auto"/>
              </w:rPr>
              <w:t>Pet</w:t>
            </w:r>
          </w:p>
        </w:tc>
        <w:tc>
          <w:tcPr>
            <w:tcW w:w="3700" w:type="dxa"/>
            <w:vAlign w:val="bottom"/>
            <w:vMerge w:val="continue"/>
          </w:tcPr>
          <w:p>
            <w:pPr>
              <w:spacing w:after="0"/>
              <w:rPr>
                <w:sz w:val="15"/>
                <w:szCs w:val="15"/>
                <w:color w:val="auto"/>
              </w:rPr>
            </w:pPr>
          </w:p>
        </w:tc>
        <w:tc>
          <w:tcPr>
            <w:tcW w:w="500" w:type="dxa"/>
            <w:vAlign w:val="bottom"/>
          </w:tcPr>
          <w:p>
            <w:pPr>
              <w:spacing w:after="0" w:line="182" w:lineRule="exact"/>
              <w:rPr>
                <w:sz w:val="20"/>
                <w:szCs w:val="20"/>
                <w:color w:val="auto"/>
              </w:rPr>
            </w:pPr>
            <w:r>
              <w:rPr>
                <w:rFonts w:ascii="Arial" w:cs="Arial" w:eastAsia="Arial" w:hAnsi="Arial"/>
                <w:sz w:val="18"/>
                <w:szCs w:val="18"/>
                <w:color w:val="auto"/>
              </w:rPr>
              <w:t>North</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w w:val="98"/>
              </w:rPr>
              <w:t>clean-up and training aid products and accessories; pet</w:t>
            </w:r>
          </w:p>
        </w:tc>
        <w:tc>
          <w:tcPr>
            <w:tcW w:w="4160" w:type="dxa"/>
            <w:vAlign w:val="bottom"/>
            <w:gridSpan w:val="2"/>
          </w:tcPr>
          <w:p>
            <w:pPr>
              <w:spacing w:after="0"/>
              <w:rPr>
                <w:sz w:val="20"/>
                <w:szCs w:val="20"/>
                <w:color w:val="auto"/>
              </w:rPr>
            </w:pPr>
            <w:r>
              <w:rPr>
                <w:rFonts w:ascii="Arial" w:cs="Arial" w:eastAsia="Arial" w:hAnsi="Arial"/>
                <w:sz w:val="18"/>
                <w:szCs w:val="18"/>
                <w:color w:val="auto"/>
              </w:rPr>
              <w:t>Harvest, Littermaid, Tetra, Marineland, Whisper,</w:t>
            </w:r>
          </w:p>
        </w:tc>
        <w:tc>
          <w:tcPr>
            <w:tcW w:w="1520" w:type="dxa"/>
            <w:vAlign w:val="bottom"/>
            <w:gridSpan w:val="2"/>
          </w:tcPr>
          <w:p>
            <w:pPr>
              <w:spacing w:after="0"/>
              <w:rPr>
                <w:sz w:val="20"/>
                <w:szCs w:val="20"/>
                <w:color w:val="auto"/>
              </w:rPr>
            </w:pPr>
            <w:r>
              <w:rPr>
                <w:rFonts w:ascii="Arial" w:cs="Arial" w:eastAsia="Arial" w:hAnsi="Arial"/>
                <w:sz w:val="18"/>
                <w:szCs w:val="18"/>
                <w:color w:val="auto"/>
              </w:rPr>
              <w:t>Europe/MEA Latin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health and grooming products; aquariums and aquatic</w:t>
            </w:r>
          </w:p>
        </w:tc>
        <w:tc>
          <w:tcPr>
            <w:tcW w:w="4160" w:type="dxa"/>
            <w:vAlign w:val="bottom"/>
            <w:gridSpan w:val="2"/>
          </w:tcPr>
          <w:p>
            <w:pPr>
              <w:spacing w:after="0"/>
              <w:rPr>
                <w:sz w:val="20"/>
                <w:szCs w:val="20"/>
                <w:color w:val="auto"/>
              </w:rPr>
            </w:pPr>
            <w:r>
              <w:rPr>
                <w:rFonts w:ascii="Arial" w:cs="Arial" w:eastAsia="Arial" w:hAnsi="Arial"/>
                <w:sz w:val="18"/>
                <w:szCs w:val="18"/>
                <w:color w:val="auto"/>
                <w:w w:val="95"/>
              </w:rPr>
              <w:t>Jungle, Instant Ocean, FURminator, IAMS, Eukanuba,</w:t>
            </w:r>
          </w:p>
        </w:tc>
        <w:tc>
          <w:tcPr>
            <w:tcW w:w="1520" w:type="dxa"/>
            <w:vAlign w:val="bottom"/>
            <w:gridSpan w:val="2"/>
          </w:tcPr>
          <w:p>
            <w:pPr>
              <w:spacing w:after="0"/>
              <w:rPr>
                <w:sz w:val="20"/>
                <w:szCs w:val="20"/>
                <w:color w:val="auto"/>
              </w:rPr>
            </w:pPr>
            <w:r>
              <w:rPr>
                <w:rFonts w:ascii="Arial" w:cs="Arial" w:eastAsia="Arial" w:hAnsi="Arial"/>
                <w:sz w:val="18"/>
                <w:szCs w:val="18"/>
                <w:color w:val="auto"/>
              </w:rPr>
              <w:t>America Asia-</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health supplies.</w:t>
            </w:r>
          </w:p>
        </w:tc>
        <w:tc>
          <w:tcPr>
            <w:tcW w:w="4160" w:type="dxa"/>
            <w:vAlign w:val="bottom"/>
            <w:gridSpan w:val="2"/>
          </w:tcPr>
          <w:p>
            <w:pPr>
              <w:spacing w:after="0"/>
              <w:rPr>
                <w:sz w:val="20"/>
                <w:szCs w:val="20"/>
                <w:color w:val="auto"/>
              </w:rPr>
            </w:pPr>
            <w:r>
              <w:rPr>
                <w:rFonts w:ascii="Arial" w:cs="Arial" w:eastAsia="Arial" w:hAnsi="Arial"/>
                <w:sz w:val="18"/>
                <w:szCs w:val="18"/>
                <w:color w:val="auto"/>
              </w:rPr>
              <w:t>Healthy-Hide, Digest-eeze.</w:t>
            </w:r>
          </w:p>
        </w:tc>
        <w:tc>
          <w:tcPr>
            <w:tcW w:w="1520" w:type="dxa"/>
            <w:vAlign w:val="bottom"/>
            <w:gridSpan w:val="2"/>
          </w:tcPr>
          <w:p>
            <w:pPr>
              <w:spacing w:after="0"/>
              <w:rPr>
                <w:sz w:val="20"/>
                <w:szCs w:val="20"/>
                <w:color w:val="auto"/>
              </w:rPr>
            </w:pPr>
            <w:r>
              <w:rPr>
                <w:rFonts w:ascii="Arial" w:cs="Arial" w:eastAsia="Arial" w:hAnsi="Arial"/>
                <w:sz w:val="18"/>
                <w:szCs w:val="18"/>
                <w:color w:val="auto"/>
              </w:rPr>
              <w:t>Pacific</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Home and</w:t>
            </w:r>
          </w:p>
        </w:tc>
        <w:tc>
          <w:tcPr>
            <w:tcW w:w="4600" w:type="dxa"/>
            <w:vAlign w:val="bottom"/>
            <w:gridSpan w:val="3"/>
          </w:tcPr>
          <w:p>
            <w:pPr>
              <w:ind w:left="240"/>
              <w:spacing w:after="0"/>
              <w:rPr>
                <w:sz w:val="20"/>
                <w:szCs w:val="20"/>
                <w:color w:val="auto"/>
              </w:rPr>
            </w:pPr>
            <w:r>
              <w:rPr>
                <w:rFonts w:ascii="Arial" w:cs="Arial" w:eastAsia="Arial" w:hAnsi="Arial"/>
                <w:sz w:val="18"/>
                <w:szCs w:val="18"/>
                <w:i w:val="1"/>
                <w:iCs w:val="1"/>
                <w:color w:val="auto"/>
              </w:rPr>
              <w:t xml:space="preserve">Home and garden: </w:t>
            </w:r>
            <w:r>
              <w:rPr>
                <w:rFonts w:ascii="Arial" w:cs="Arial" w:eastAsia="Arial" w:hAnsi="Arial"/>
                <w:sz w:val="18"/>
                <w:szCs w:val="18"/>
                <w:color w:val="auto"/>
              </w:rPr>
              <w:t>Household insecticides; insect and</w:t>
            </w:r>
          </w:p>
        </w:tc>
        <w:tc>
          <w:tcPr>
            <w:tcW w:w="4160" w:type="dxa"/>
            <w:vAlign w:val="bottom"/>
            <w:gridSpan w:val="2"/>
          </w:tcPr>
          <w:p>
            <w:pPr>
              <w:spacing w:after="0"/>
              <w:rPr>
                <w:sz w:val="20"/>
                <w:szCs w:val="20"/>
                <w:color w:val="auto"/>
              </w:rPr>
            </w:pPr>
            <w:r>
              <w:rPr>
                <w:rFonts w:ascii="Arial" w:cs="Arial" w:eastAsia="Arial" w:hAnsi="Arial"/>
                <w:sz w:val="18"/>
                <w:szCs w:val="18"/>
                <w:i w:val="1"/>
                <w:iCs w:val="1"/>
                <w:color w:val="auto"/>
                <w:w w:val="95"/>
              </w:rPr>
              <w:t xml:space="preserve">Home and garden: </w:t>
            </w:r>
            <w:r>
              <w:rPr>
                <w:rFonts w:ascii="Arial" w:cs="Arial" w:eastAsia="Arial" w:hAnsi="Arial"/>
                <w:sz w:val="18"/>
                <w:szCs w:val="18"/>
                <w:color w:val="auto"/>
                <w:w w:val="95"/>
              </w:rPr>
              <w:t>Cutter, Repel, Spectracide, Garden</w:t>
            </w:r>
          </w:p>
        </w:tc>
        <w:tc>
          <w:tcPr>
            <w:tcW w:w="1520" w:type="dxa"/>
            <w:vAlign w:val="bottom"/>
            <w:gridSpan w:val="2"/>
          </w:tcPr>
          <w:p>
            <w:pPr>
              <w:spacing w:after="0"/>
              <w:rPr>
                <w:sz w:val="20"/>
                <w:szCs w:val="20"/>
                <w:color w:val="auto"/>
              </w:rPr>
            </w:pPr>
            <w:r>
              <w:rPr>
                <w:rFonts w:ascii="Arial" w:cs="Arial" w:eastAsia="Arial" w:hAnsi="Arial"/>
                <w:sz w:val="18"/>
                <w:szCs w:val="18"/>
                <w:color w:val="auto"/>
                <w:w w:val="94"/>
              </w:rPr>
              <w:t>North America Latin</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Garden</w:t>
            </w: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animal repellent products; insect and weed control</w:t>
            </w:r>
          </w:p>
        </w:tc>
        <w:tc>
          <w:tcPr>
            <w:tcW w:w="4160" w:type="dxa"/>
            <w:vAlign w:val="bottom"/>
            <w:gridSpan w:val="2"/>
          </w:tcPr>
          <w:p>
            <w:pPr>
              <w:spacing w:after="0"/>
              <w:rPr>
                <w:sz w:val="20"/>
                <w:szCs w:val="20"/>
                <w:color w:val="auto"/>
              </w:rPr>
            </w:pPr>
            <w:r>
              <w:rPr>
                <w:rFonts w:ascii="Arial" w:cs="Arial" w:eastAsia="Arial" w:hAnsi="Arial"/>
                <w:sz w:val="18"/>
                <w:szCs w:val="18"/>
                <w:color w:val="auto"/>
              </w:rPr>
              <w:t>Safe, Liquid Fence, Hot Shot, Black Flag.</w:t>
            </w:r>
          </w:p>
        </w:tc>
        <w:tc>
          <w:tcPr>
            <w:tcW w:w="1520" w:type="dxa"/>
            <w:vAlign w:val="bottom"/>
            <w:gridSpan w:val="2"/>
          </w:tcPr>
          <w:p>
            <w:pPr>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solutions.</w:t>
            </w:r>
          </w:p>
        </w:tc>
        <w:tc>
          <w:tcPr>
            <w:tcW w:w="4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Global Auto</w:t>
            </w:r>
          </w:p>
        </w:tc>
        <w:tc>
          <w:tcPr>
            <w:tcW w:w="4600" w:type="dxa"/>
            <w:vAlign w:val="bottom"/>
            <w:gridSpan w:val="3"/>
          </w:tcPr>
          <w:p>
            <w:pPr>
              <w:ind w:left="240"/>
              <w:spacing w:after="0"/>
              <w:rPr>
                <w:sz w:val="20"/>
                <w:szCs w:val="20"/>
                <w:color w:val="auto"/>
              </w:rPr>
            </w:pPr>
            <w:r>
              <w:rPr>
                <w:rFonts w:ascii="Arial" w:cs="Arial" w:eastAsia="Arial" w:hAnsi="Arial"/>
                <w:sz w:val="18"/>
                <w:szCs w:val="18"/>
                <w:i w:val="1"/>
                <w:iCs w:val="1"/>
                <w:color w:val="auto"/>
              </w:rPr>
              <w:t xml:space="preserve">Auto care: </w:t>
            </w:r>
            <w:r>
              <w:rPr>
                <w:rFonts w:ascii="Arial" w:cs="Arial" w:eastAsia="Arial" w:hAnsi="Arial"/>
                <w:sz w:val="18"/>
                <w:szCs w:val="18"/>
                <w:color w:val="auto"/>
              </w:rPr>
              <w:t>Aftermarket appearance products;</w:t>
            </w:r>
          </w:p>
        </w:tc>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Auto care: </w:t>
            </w:r>
            <w:r>
              <w:rPr>
                <w:rFonts w:ascii="Arial" w:cs="Arial" w:eastAsia="Arial" w:hAnsi="Arial"/>
                <w:sz w:val="18"/>
                <w:szCs w:val="18"/>
                <w:color w:val="auto"/>
              </w:rPr>
              <w:t>Armor All, STP, A/C PRO.</w:t>
            </w:r>
          </w:p>
        </w:tc>
        <w:tc>
          <w:tcPr>
            <w:tcW w:w="1520" w:type="dxa"/>
            <w:vAlign w:val="bottom"/>
            <w:gridSpan w:val="2"/>
          </w:tcPr>
          <w:p>
            <w:pPr>
              <w:spacing w:after="0"/>
              <w:rPr>
                <w:sz w:val="20"/>
                <w:szCs w:val="20"/>
                <w:color w:val="auto"/>
              </w:rPr>
            </w:pPr>
            <w:r>
              <w:rPr>
                <w:rFonts w:ascii="Arial" w:cs="Arial" w:eastAsia="Arial" w:hAnsi="Arial"/>
                <w:sz w:val="18"/>
                <w:szCs w:val="18"/>
                <w:color w:val="auto"/>
              </w:rPr>
              <w:t>North America</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Care(1)</w:t>
            </w: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performance chemicals &amp; additives; do-it-yourself air</w:t>
            </w:r>
          </w:p>
        </w:tc>
        <w:tc>
          <w:tcPr>
            <w:tcW w:w="4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Europe/MEA Latin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conditioner recharge products.</w:t>
            </w:r>
          </w:p>
        </w:tc>
        <w:tc>
          <w:tcPr>
            <w:tcW w:w="4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America Asia-</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Pacific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60" w:hanging="452"/>
        <w:spacing w:after="0" w:line="277" w:lineRule="auto"/>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On May 21, 2015, the Company acquired Armored AutoGroup Parent, Inc. (“AAG”). For more information pertaining to the AAG acquisition, see Note 3, “Acquisitions.”</w:t>
      </w:r>
    </w:p>
    <w:p>
      <w:pPr>
        <w:spacing w:after="0" w:line="275" w:lineRule="exact"/>
        <w:rPr>
          <w:sz w:val="20"/>
          <w:szCs w:val="20"/>
          <w:color w:val="auto"/>
        </w:rPr>
      </w:pPr>
    </w:p>
    <w:p>
      <w:pPr>
        <w:ind w:right="5660"/>
        <w:spacing w:after="0" w:line="378" w:lineRule="auto"/>
        <w:rPr>
          <w:sz w:val="20"/>
          <w:szCs w:val="20"/>
          <w:color w:val="auto"/>
        </w:rPr>
      </w:pPr>
      <w:r>
        <w:rPr>
          <w:rFonts w:ascii="Arial" w:cs="Arial" w:eastAsia="Arial" w:hAnsi="Arial"/>
          <w:sz w:val="18"/>
          <w:szCs w:val="18"/>
          <w:b w:val="1"/>
          <w:bCs w:val="1"/>
          <w:color w:val="auto"/>
        </w:rPr>
        <w:t xml:space="preserve">NOTE 2—SIGNIFICANT ACCOUNTING POLICIES AND PRACTICES </w:t>
      </w:r>
      <w:r>
        <w:rPr>
          <w:rFonts w:ascii="Arial" w:cs="Arial" w:eastAsia="Arial" w:hAnsi="Arial"/>
          <w:sz w:val="18"/>
          <w:szCs w:val="18"/>
          <w:b w:val="1"/>
          <w:bCs w:val="1"/>
          <w:i w:val="1"/>
          <w:iCs w:val="1"/>
          <w:color w:val="auto"/>
        </w:rPr>
        <w:t>Principles of Consolidation and Fiscal Year End</w:t>
      </w:r>
    </w:p>
    <w:p>
      <w:pPr>
        <w:ind w:right="180" w:firstLine="456"/>
        <w:spacing w:after="0" w:line="342" w:lineRule="auto"/>
        <w:rPr>
          <w:sz w:val="20"/>
          <w:szCs w:val="20"/>
          <w:color w:val="auto"/>
        </w:rPr>
      </w:pPr>
      <w:r>
        <w:rPr>
          <w:rFonts w:ascii="Arial" w:cs="Arial" w:eastAsia="Arial" w:hAnsi="Arial"/>
          <w:sz w:val="16"/>
          <w:szCs w:val="16"/>
          <w:color w:val="auto"/>
        </w:rPr>
        <w:t>The consolidated financial statements include the financial statements of the Company and its majority owned subsidiaries and have been prepared in accordance with Accounting Principles Generally Accepted in the United States (“GAAP”). All intercompany transactions have been eliminated.</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fiscal year ends on September 30. Throughout the year, the Company reports its results using fiscal quarters whereby each three month quarterly reporting period is approximately thirteen weeks in length and ends on a Sunday. The exceptions are the first quarter, which begins on October 1, and the fourth quarter, which ends on September 30. For the year ended September 30, 2015, the fiscal quarters were comprised of the three months ended December 28, 2014, and March 29, June 28 and September 30,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considers all highly liquid temporary instruments purchased with original maturities of three months or less from date of purchase to be cash equivalents.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Trade accounts receivable are carried at net realizable value. The Company extends credit to its customers based upon an evaluation of the customer’s financial condition and credit history, but generally does not require collateral. The Company monitors its customers’ credit and financial condition based on changing economic conditions and will make adjustments to credit policies as required. Provisions for losses on uncollectible trade receivables are determined based on ongoing evaluations of the Company’s receivables, principally on the basis of historical collection experience and evaluations of the risks of nonpayment or return for a given customer. The allowance for uncollectible receivables as of September 30, 2015 and 2014 was $44.0 million and $48.6 million, respectively. The following is a rollforward of the allowance for the years ended September 30, 2015, 2014 and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Beginning</w:t>
            </w: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Charged to</w:t>
            </w: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Deductions</w:t>
            </w:r>
          </w:p>
        </w:tc>
        <w:tc>
          <w:tcPr>
            <w:tcW w:w="440" w:type="dxa"/>
            <w:vAlign w:val="bottom"/>
          </w:tcPr>
          <w:p>
            <w:pPr>
              <w:spacing w:after="0"/>
              <w:rPr>
                <w:sz w:val="14"/>
                <w:szCs w:val="14"/>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Other</w:t>
            </w:r>
          </w:p>
        </w:tc>
        <w:tc>
          <w:tcPr>
            <w:tcW w:w="880" w:type="dxa"/>
            <w:vAlign w:val="bottom"/>
            <w:gridSpan w:val="3"/>
          </w:tcPr>
          <w:p>
            <w:pPr>
              <w:ind w:left="32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Profit &amp; Loss</w:t>
            </w:r>
          </w:p>
        </w:tc>
        <w:tc>
          <w:tcPr>
            <w:tcW w:w="1380" w:type="dxa"/>
            <w:vAlign w:val="bottom"/>
            <w:gridSpan w:val="2"/>
            <w:vMerge w:val="continue"/>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ind w:lef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48.6</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44.0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September 30, 2014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37.4</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7.4</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ind w:left="160"/>
              <w:spacing w:after="0"/>
              <w:rPr>
                <w:sz w:val="20"/>
                <w:szCs w:val="20"/>
                <w:color w:val="auto"/>
              </w:rPr>
            </w:pPr>
            <w:r>
              <w:rPr>
                <w:rFonts w:ascii="Arial" w:cs="Arial" w:eastAsia="Arial" w:hAnsi="Arial"/>
                <w:sz w:val="18"/>
                <w:szCs w:val="18"/>
                <w:color w:val="auto"/>
              </w:rPr>
              <w:t>(2.4)</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rPr>
                <w:sz w:val="20"/>
                <w:szCs w:val="20"/>
                <w:color w:val="auto"/>
              </w:rPr>
            </w:pPr>
            <w:r>
              <w:rPr>
                <w:rFonts w:ascii="Arial" w:cs="Arial" w:eastAsia="Arial" w:hAnsi="Arial"/>
                <w:sz w:val="18"/>
                <w:szCs w:val="18"/>
                <w:color w:val="auto"/>
              </w:rPr>
              <w:t>6.2</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48.6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21.9</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15.5</w:t>
            </w: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Company has a broad range of customers including many large retail outlet chains, one of which accounts for a significant percentage of its sales volume. This major customer represented 15%, 16% and 18% of the Company’s Net Sales during years ended September 30, 2015, 2014 and 2013, respectively. This major customer also represented 16% and 14% of the Company’s Trade Receivables as of September 30, 2015 and 2014,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Company’s inventories are valued at the lower of cost or net realizable value. Cost of inventories is determined using the first-in, first-out (FIFO) method. See Note 6, “Inventory” for further detail.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Property, plant and equipment are recorded at cost. Depreciation is calculated on the straight-line basis over the estimated useful lives of the assets. Plant and equipment held under capital leases are amortized on a straight-line basis over the shorter of the lease term or estimated useful life of the asset; such amortization is included in depreciation expense. The Company uses accelerated depreciation methods for income tax purposes. Useful lives for property, plant and equipment are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Asset Type</w:t>
            </w: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Range</w:t>
            </w: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Buildings</w:t>
            </w:r>
          </w:p>
        </w:tc>
        <w:tc>
          <w:tcPr>
            <w:tcW w:w="59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and improvements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 years</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2-15 years</w:t>
            </w:r>
          </w:p>
        </w:tc>
      </w:tr>
    </w:tbl>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Expenditures which substantially increase value or extend useful lives are capitalized. Expenditures for maintenance and repairs are charged to operations as incurred. The Company records gains and losses on the disposition or retirement of property, plant and equipment based on the net book value and any proceeds received.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Long-lived fixed assets held and used are reviewed for impairment when events or changes in business circumstances indicate that the carrying amount of the assets may not be fully recoverable. Circumstances such as the discontinuation of a product or product line, a sudden or consistent decline in the sales forecast for a product, changes in technology or in the way an asset is being used, a history of operating or cash flow losses or an adverse change in legal factors or in the business climate, among others, may trigger an impairment review. If such indicators are present, the Company performs undiscounted cash flow analyses to determine if impairment exists. The asset value would be deemed impaired if the undiscounted cash flows generated did not exceed the carrying value of the asset. If impairment is determined to exist, any related impairment loss is calculated based on fair value. There were no triggering events identified during the year that necessitated an impairment test over property, plant and equipment. Assets to be disposed of are reported at the lower of the carrying amount or fair value less costs to sell.</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7, “Property, plant and equipment” for further detail.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Goodwill reflects the excess of acquisition cost over the aggregate fair value assigned to identifiable net assets acquired. Goodwill is not amortized, but instead is assessed for impairment at least annually and as triggering events or indicators of potential impairment are identified. Goodwill has been assigned to reporting units for purposes of impairment testing based upon the relative fair value of the asset to each reporting unit; our reporting units are consistent with our segments (See Note 18, “Segment Information” for further discussion). The Company performs its annual impairment test in the fourth quarter of its fiscal year.</w:t>
      </w:r>
    </w:p>
    <w:p>
      <w:pPr>
        <w:spacing w:after="0" w:line="18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Impairment of goodwill is evaluated using a two-step approach. In the first step, the fair value of each reporting unit is compared to its carrying value, including goodwill. In estimating the fair value of our reporting units, we use a discounted cash flow methodology, which requires us to estimate future revenues, expenses, and capital expenditures and make assumptions about our weighted average cost of capital and perpetuity growth rate, among other variables. We test the aggregate estimated fair value of our reporting units by comparison to our total market capitalization, including both equity and debt capital. If the fair value of a reporting unit is less than its carrying value, step two is performed. For step two, the implied fair value of goodwill is calculated by deducting the fair value of all tangible and intangible net assets, including unrecognized intangible assets, of the reporting unit from the fair value of the reporting unit. If the implied fair value of goodwill is less than its carrying value, an impairment loss would be recognized equal to that excess. The fair values of the Global Batteries &amp; Appliances, Hardware and Home Improvement, Global Pet Supplies and Home &amp; Garden reporting units exceeded their carrying values by 54%, 38%, 29% and 66%, respectively. As a result, a step two analysis was not required and there were no reporting units that were deemed at risk of impairment.</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 a result of the AAG acquisition in the third quarter of the year ended September 30, 2015, a new reporting unit and segment was established, Global Auto Care. Due to the recent closing of the acquisition and the measurement of the net assets acquired at fair value in acquisition accounting, a qualitative assessment of the carrying value of goodwill was performed for this reporting unit. This included evaluation of factors such as macroeconomic conditions, industry and market conditions, cost factors, overall financial performance and reporting unit factors, among others. Based on its qualitative assessment, management concluded that it is not more likely than not that the fair value of this reporting unit is less than its carrying amount, and a quantitative impairment test of the acquired goodwill for Global Auto Care was not deemed necessary.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8 “Goodwill and Intangible Assets” for further detail.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Intangible assets are recorded at cost or at estimated fair value if acquired in a business combination. Customer lists, proprietary technology and certain trade name intangibles are amortized, using the straight-line method, over their estimated useful lives. The range and weighted average useful lives for definite-lived intangibles assets are as follows: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Type</w:t>
            </w:r>
          </w:p>
        </w:tc>
        <w:tc>
          <w:tcPr>
            <w:tcW w:w="1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Range</w:t>
            </w: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62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Customer</w:t>
            </w:r>
          </w:p>
        </w:tc>
        <w:tc>
          <w:tcPr>
            <w:tcW w:w="55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relationships</w:t>
            </w:r>
          </w:p>
        </w:tc>
        <w:tc>
          <w:tcPr>
            <w:tcW w:w="9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2-20 years</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18.5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Technology assets</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4-18 years</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9"/>
              </w:rPr>
              <w:t>11.1 years</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Tradenames</w:t>
            </w: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8-17 years</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16.2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Definite-lived intangible assets held and used are reviewed for impairment when events or changes in business circumstances indicate that the carrying amount of the assets may not be recoverable. If indicators of potential impairment are identified, the Company performs undiscounted cash flow analysis to determine if impairment exists. The asset value would be deemed impaired if the undiscounted cash flows expected to be generated by the asset did not exceed its carrying value. If impairment is determined to exist, any related impairment loss is calculated based on fair value. There were no triggering events identified during the years ended September 30, 2015, 2014 and 2013 that necessitated an impairment test over definite-lived intangible assets.</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Certain trade name intangible assets have an indefinite life and are not amortized; but instead are assessed for impairment at least annually and as triggering events or indicators of potential impairment are identified. The Company performs its annual impairment test in the fourth quarter of its fiscal year. Impairment of indefinite lived intangible assets is assessed by comparing the estimated fair value of the identified trade names to their carrying value to determine if potential impairment exists. If the fair value is less than the carrying value, an impairment loss is recorded for the excess. The fair value of indefinite-lived intangible assets is determined using an income approach, the relief from royalty methodology, which requires us to make estimates and assumptions about future revenues, royalty rates, and the discount rate, among others. The fair value of our indefinite life tradenames exceeded their carrying values as of the date of our latest annual impairment testing and there was no impairment of our indefinite lived intangible assets for the years ended September 30, 2015, 2014 and 2013.</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8 “Goodwill and Intangible Assets” for further detail.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Debt issuance costs are capitalized and amortized to interest expense using the effective interest method over the lives of the related debt agreements. Debt issuance costs were $65.1 million and $51.1 million as of September 30, 2015 and 2014, respectively, and are included in Deferred Charges and Other Assets in the Consolidated Statements of Financial Position. Amortization of debt issuance costs is recognized as Interest Expense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Derivative financial instruments are used by the Company principally in the management of its interest rate, foreign currency exchange rate and raw material price exposures. The Company does not hold or issue derivative financial instruments for trading or speculative purposes. Derivative assets and liabilities are reported at fair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value in the Consolidated Statements of Financial Position. When hedge accounting is elected at inception, the Company formally designates the financial instrument as a hedge of a specific underlying exposure and documents both the risk management objectives and strategies for undertaking the hedge. Depending on the nature of derivatives designated as hedging instruments, changes in fair value are either offset against the change in fair value of the hedged assets or liability through earnings or recognized in shareholders’ equity through other comprehensive income until the hedged item is recognized. Any ineffective portion of a financial instrument’s change in fair value is recognized in earnings. For derivatives that do not qualify for hedge accounting treatment, the change in the fair value is recognized in earnings. See Note 11, “Derivatives” for further detail.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Treasury stock purchases are stated at cost and presented as a separate reduction of shareholders’ equity.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Company recognizes revenue from product sales generally upon delivery to the customer, or at the shipping point in situations where the customer picks up the product or where delivery terms so stipulate. This represents the point at which title and all risks and rewards of ownership of the product are passed, provided that: there are no uncertainties regarding customer acceptance, there is persuasive evidence that an arrangement exists, the price to the buyer is fixed or determinable and ability to collect is deemed reasonably assured. The provision for customer returns is based on historical sales and returns and other relevant information. The Company estimates and accrues the cost of returns, which are treated as a reduction of Net Sales.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enters into promotional arrangements, primarily with retail customers, that entitle such retailers to earn cash rebates from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require the Company to estimate and accrue the costs of these programs, which are treated as a reduction of Net Sales.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enters into promotional arrangements that target the ultimate consumer. The costs associated with such arrangements are treated as either a reduction in Net Sales or an increase in Cost of Goods Sold, based on the type of promotional program. The Company monitors its commitments under all promotion arrangements and uses various measures, including past experience, to estimate the earned, but unpaid, promotional costs. The terms of the Company’s customer-related promotional arrangements and programs are tailored to each customer and documented through written contracts, correspondence or other communications with the individual customers.</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also enters into various arrangements, primarily with retail customers, which require the Company to make upfront cash, or “slotting” payments, in order to secure the right to distribute through such customers. The Company capitalizes slotting payments provided the payments are supported by a time or volume based arrangement with the retailer, and amortizes the associated payment over the appropriate time or volume-based term of the arrangement. Capitalized slotting payments are reported in the Consolidated Statements of Financial Position as Deferred Charges and Other Assets and related amortization is treated as a reduction in Net Sales.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Shipping and handling costs include costs incurred with third-party carriers to transport products to customers and salaries and overhead costs related to activities to prepare the Company’s products for shipment at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60" w:right="2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Company’s distribution facilities. Shipping and handling costs was $272.9 million, $260.3 million and $246.1 million during the years ended September 30, 2015, 2014 and 2013, respectively. Shipping and handling costs are included in Selling Expenses in the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Advertising costs include agency fees and other costs to create advertisements, as well as costs paid to third parties to print or broadcast the Company’s advertisements and are expensed as incurred. The Company incurred advertising costs of $35.0 million, $21.4 million and $23.0 million during the years ended September 30, 2015, 2014 and 2013, respectively. Advertising costs are included in Selling Expenses in the Company’s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charged to expense in the period they are incurred.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Expenditures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Environmental expenditures that relate to current ongoing operations or to conditions caused by past operations are expensed or capitalized as appropriate. The Company determines its liability for environmental matters on a site-by-site basis and records a liability at the time when it is probable that a liability has been incurred and such liability can be reasonably estimated. The estimated liability is not reduced for possible recoveries from insurance carriers. Estimated environmental remediation expenditures are included in the determination of the net realizable value recorded for assets held for sale.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Charges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Restructuring charges include, but are not limited to, the costs of one-time termination benefits such as severance costs and retention bonuses, and contract termination costs consisting primarily of lease termination costs. Related charges, as defined by the Company, include, but are not limited to, other costs directly associated with exit and relocation activities, including impairment of property and other assets, departmental costs of full-time incremental employees, and any other items related to the exit or relocation activities. Costs for such activities are estimated by management after evaluating detailed analyses of the costs to be incurred.</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Liabilities from restructuring and related charges are recorded for estimated costs of facility closures, significant organizational adjustments and measures undertaken by management to exit certain activities. Costs for such activities are estimated by management after evaluating detailed analyses of the costs to be incurred. Such liabilities could include amounts for items such as severance costs and related benefits, impairment of property and equipment and other current or long term assets, lease termination payments and any other items directly related to the exit activities.</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Restructuring and related charges associated with manufacturing and related initiatives are recorded in Cost of Goods Sold. Restructuring and related charges reflected in Cost of Goods Sold include, but are not limited to, termination and related costs associated with manufacturing employees, asset impairments relating to manufacturing initiatives and other costs directly related to the manufacturing component of the restructuring initiative. Restructuring and related charges associated with administrative functions are recorded in operating expenses, such as initiatives impacting sales, marketing, distribution or other non-manufacturing related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jc w:val="both"/>
        <w:ind w:right="780"/>
        <w:spacing w:after="0" w:line="264" w:lineRule="auto"/>
        <w:rPr>
          <w:sz w:val="20"/>
          <w:szCs w:val="20"/>
          <w:color w:val="auto"/>
        </w:rPr>
      </w:pPr>
      <w:r>
        <w:rPr>
          <w:rFonts w:ascii="Arial" w:cs="Arial" w:eastAsia="Arial" w:hAnsi="Arial"/>
          <w:sz w:val="18"/>
          <w:szCs w:val="18"/>
          <w:color w:val="auto"/>
        </w:rPr>
        <w:t>functions. Restructuring and related charges reflected in operating expenses include, but are not limited to, termination and related costs, any asset impairments relating to the administrative functions and other costs directly related to the administrative components of the restructuring initiatives implemented. See Note 4, “Restructuring and Related Charges” for further detail.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Related Charges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Acquisition and integration related charges include, but are not limited to, transaction costs such as banking, legal, accounting and other professional fees directly related to both consummated acquisitions and acquisition targets, termination and related costs for transitional and certain other employees, integration related professional fees and other post business combination expenses associated with integration activity. See Note 3, “Acquisitions” for further detail.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income tax expense in the period in which the change in judgment occurs. Accrued interest expense and penalties related to uncertain tax positions are recorded in Income tax expense.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13, “Income Taxes” for further detail.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Local currencies are considered the functional currencies for most of the Company’s operations outside the United States. Assets and liabilities of the Company’s foreign subsidiaries are translated at the rate of exchange existing at year-end, with revenues, expenses and cash flows translated at the average of the monthly exchange rates. Adjustments resulting from translation of the financial statements are recorded as a component of Accumulated other comprehensive income (loss) (“AOCI”). Also included in AOCI are the effects of exchange rate changes on intercompany balances of a long-term investment nature. See Note 16, “Accumulated Other Comprehensive Income” for further detail.</w:t>
      </w:r>
    </w:p>
    <w:p>
      <w:pPr>
        <w:spacing w:after="0" w:line="188"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Foreign currency transaction gains and losses related to assets and liabilities that are denominated in a currency other than the functional currency are reported in Other Non-Operating Expense, Net in the Consolidated Statements of Operations in the period they occur. Exchange losses on foreign currency transactions were $9.6 million, $6.8 million, and $9.4 million for the years ended September 30, 2015, 2014 and 2013, respectively.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Company accounts for acquisitions by applying the acquisition method of accounting. The acquisition method of accounting requires, among other things, that the assets acquired and liabilities assumed in a business combination be measured at their fair values as of the closing date of the acquisition.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Armored AutoGroup</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On May 21, 2015, the Company completed the acquisition of AAG, a consumer products company consisting primarily of Armor All and STP products, two of the most recognizable brands in the automotive aftermarket appearance products and performance chemicals categorizes, respectively, and the A/C PRO brand of do-it-yourself automotive air conditioner recharge products. The results of AAG’s operations since May 21, 2015 are included in the Company’s Consolidated Statements of Operations and reported as a separate segment under Global Auto Care for the year ended September 30, 2015.</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recorded an allocation of the purchase price to the Company’s tangible and identifiable intangible assets acquired and liabilities assumed based on their fair values as of the May 21, 2015 acquisition date. The excess of the purchase price over the fair value of the net tangible assets and identifiable intangible assets was recorded as goodwill, which includes value associated with the assembled workforce, including an experienced research team. The calculation of purchase price and purchase price allocation is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4420" w:type="dxa"/>
            <w:vAlign w:val="bottom"/>
            <w:gridSpan w:val="4"/>
          </w:tcPr>
          <w:p>
            <w:pPr>
              <w:jc w:val="center"/>
              <w:ind w:left="3177"/>
              <w:spacing w:after="0"/>
              <w:rPr>
                <w:sz w:val="20"/>
                <w:szCs w:val="20"/>
                <w:color w:val="auto"/>
              </w:rPr>
            </w:pPr>
            <w:r>
              <w:rPr>
                <w:rFonts w:ascii="Arial" w:cs="Arial" w:eastAsia="Arial" w:hAnsi="Arial"/>
                <w:sz w:val="14"/>
                <w:szCs w:val="14"/>
                <w:b w:val="1"/>
                <w:bCs w:val="1"/>
                <w:color w:val="auto"/>
                <w:w w:val="90"/>
              </w:rPr>
              <w:t>Purchase Price</w:t>
            </w:r>
          </w:p>
        </w:tc>
      </w:tr>
      <w:tr>
        <w:trPr>
          <w:trHeight w:val="142"/>
        </w:trPr>
        <w:tc>
          <w:tcPr>
            <w:tcW w:w="33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20" w:type="dxa"/>
            <w:vAlign w:val="bottom"/>
            <w:shd w:val="clear" w:color="auto" w:fill="CCEEFF"/>
          </w:tcPr>
          <w:p>
            <w:pPr>
              <w:spacing w:after="0"/>
              <w:rPr>
                <w:sz w:val="18"/>
                <w:szCs w:val="18"/>
                <w:color w:val="auto"/>
              </w:rPr>
            </w:pPr>
          </w:p>
        </w:tc>
      </w:tr>
      <w:tr>
        <w:trPr>
          <w:trHeight w:val="342"/>
        </w:trPr>
        <w:tc>
          <w:tcPr>
            <w:tcW w:w="3340" w:type="dxa"/>
            <w:vAlign w:val="bottom"/>
          </w:tcPr>
          <w:p>
            <w:pPr>
              <w:spacing w:after="0"/>
              <w:rPr>
                <w:sz w:val="24"/>
                <w:szCs w:val="24"/>
                <w:color w:val="auto"/>
              </w:rPr>
            </w:pPr>
          </w:p>
        </w:tc>
        <w:tc>
          <w:tcPr>
            <w:tcW w:w="4420" w:type="dxa"/>
            <w:vAlign w:val="bottom"/>
            <w:gridSpan w:val="4"/>
          </w:tcPr>
          <w:p>
            <w:pPr>
              <w:jc w:val="center"/>
              <w:ind w:left="3177"/>
              <w:spacing w:after="0"/>
              <w:rPr>
                <w:sz w:val="20"/>
                <w:szCs w:val="20"/>
                <w:color w:val="auto"/>
              </w:rPr>
            </w:pPr>
            <w:r>
              <w:rPr>
                <w:rFonts w:ascii="Arial" w:cs="Arial" w:eastAsia="Arial" w:hAnsi="Arial"/>
                <w:sz w:val="14"/>
                <w:szCs w:val="14"/>
                <w:b w:val="1"/>
                <w:bCs w:val="1"/>
                <w:color w:val="auto"/>
                <w:w w:val="90"/>
              </w:rPr>
              <w:t>Purchase Price</w:t>
            </w:r>
          </w:p>
        </w:tc>
      </w:tr>
      <w:tr>
        <w:trPr>
          <w:trHeight w:val="171"/>
        </w:trPr>
        <w:tc>
          <w:tcPr>
            <w:tcW w:w="33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Allocation</w:t>
            </w:r>
          </w:p>
        </w:tc>
      </w:tr>
      <w:tr>
        <w:trPr>
          <w:trHeight w:val="142"/>
        </w:trPr>
        <w:tc>
          <w:tcPr>
            <w:tcW w:w="33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Receivables</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6"/>
              </w:rPr>
              <w:t>Prepaid expenses and other current assets</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Goodwill</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972.1</w:t>
            </w:r>
          </w:p>
        </w:tc>
        <w:tc>
          <w:tcPr>
            <w:tcW w:w="12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2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Deferred charges and other</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Long-term debt</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(540.0)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Net assets acquired</w:t>
            </w:r>
          </w:p>
        </w:tc>
        <w:tc>
          <w:tcPr>
            <w:tcW w:w="3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929.3</w:t>
            </w:r>
          </w:p>
        </w:tc>
        <w:tc>
          <w:tcPr>
            <w:tcW w:w="12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3460" w:type="dxa"/>
            <w:vAlign w:val="bottom"/>
            <w:gridSpan w:val="2"/>
          </w:tcPr>
          <w:p>
            <w:pPr>
              <w:jc w:val="right"/>
              <w:ind w:right="2685"/>
              <w:spacing w:after="0"/>
              <w:rPr>
                <w:sz w:val="20"/>
                <w:szCs w:val="20"/>
                <w:color w:val="auto"/>
              </w:rPr>
            </w:pPr>
            <w:r>
              <w:rPr>
                <w:rFonts w:ascii="Arial" w:cs="Arial" w:eastAsia="Arial" w:hAnsi="Arial"/>
                <w:sz w:val="18"/>
                <w:szCs w:val="18"/>
                <w:color w:val="auto"/>
              </w:rPr>
              <w:t>F-16</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purchase price allocation resulted in goodwill of $972.1 million of which $4.9 million is deductible for tax purposes. Due to expected synergies in sales of legacy Spectrum branded products through new distribution channels, the Company has allocated $38.9 million of the acquired goodwill to its Global Batteries and Appliances segment. The remaining $933.2 million of goodwill is allocated to the Global Auto Care segment. The values allocated to intangible assets and the weighted average useful lives are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700" w:type="dxa"/>
            <w:vAlign w:val="bottom"/>
            <w:gridSpan w:val="3"/>
          </w:tcPr>
          <w:p>
            <w:pPr>
              <w:ind w:left="2120"/>
              <w:spacing w:after="0"/>
              <w:rPr>
                <w:sz w:val="20"/>
                <w:szCs w:val="20"/>
                <w:color w:val="auto"/>
              </w:rPr>
            </w:pPr>
            <w:r>
              <w:rPr>
                <w:rFonts w:ascii="Arial" w:cs="Arial" w:eastAsia="Arial" w:hAnsi="Arial"/>
                <w:sz w:val="14"/>
                <w:szCs w:val="14"/>
                <w:b w:val="1"/>
                <w:bCs w:val="1"/>
                <w:color w:val="auto"/>
                <w:w w:val="97"/>
              </w:rPr>
              <w:t>Carrying</w:t>
            </w:r>
          </w:p>
        </w:tc>
        <w:tc>
          <w:tcPr>
            <w:tcW w:w="2000" w:type="dxa"/>
            <w:vAlign w:val="bottom"/>
          </w:tcPr>
          <w:p>
            <w:pPr>
              <w:jc w:val="center"/>
              <w:ind w:left="738"/>
              <w:spacing w:after="0"/>
              <w:rPr>
                <w:sz w:val="20"/>
                <w:szCs w:val="20"/>
                <w:color w:val="auto"/>
              </w:rPr>
            </w:pPr>
            <w:r>
              <w:rPr>
                <w:rFonts w:ascii="Arial" w:cs="Arial" w:eastAsia="Arial" w:hAnsi="Arial"/>
                <w:sz w:val="14"/>
                <w:szCs w:val="14"/>
                <w:b w:val="1"/>
                <w:bCs w:val="1"/>
                <w:color w:val="auto"/>
                <w:w w:val="90"/>
              </w:rPr>
              <w:t>Weighted Average</w:t>
            </w: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0" w:type="dxa"/>
            <w:vAlign w:val="bottom"/>
            <w:tcBorders>
              <w:bottom w:val="single" w:sz="8" w:color="auto"/>
            </w:tcBorders>
          </w:tcPr>
          <w:p>
            <w:pPr>
              <w:jc w:val="center"/>
              <w:ind w:left="738"/>
              <w:spacing w:after="0"/>
              <w:rPr>
                <w:sz w:val="20"/>
                <w:szCs w:val="20"/>
                <w:color w:val="auto"/>
              </w:rPr>
            </w:pPr>
            <w:r>
              <w:rPr>
                <w:rFonts w:ascii="Arial" w:cs="Arial" w:eastAsia="Arial" w:hAnsi="Arial"/>
                <w:sz w:val="14"/>
                <w:szCs w:val="14"/>
                <w:b w:val="1"/>
                <w:bCs w:val="1"/>
                <w:color w:val="auto"/>
                <w:w w:val="92"/>
              </w:rPr>
              <w:t>Useful Life (Years)</w:t>
            </w: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295.0</w:t>
            </w:r>
          </w:p>
        </w:tc>
        <w:tc>
          <w:tcPr>
            <w:tcW w:w="2000" w:type="dxa"/>
            <w:vAlign w:val="bottom"/>
            <w:shd w:val="clear" w:color="auto" w:fill="CCEEFF"/>
          </w:tcPr>
          <w:p>
            <w:pPr>
              <w:jc w:val="center"/>
              <w:ind w:left="738"/>
              <w:spacing w:after="0"/>
              <w:rPr>
                <w:sz w:val="20"/>
                <w:szCs w:val="20"/>
                <w:color w:val="auto"/>
              </w:rPr>
            </w:pPr>
            <w:r>
              <w:rPr>
                <w:rFonts w:ascii="Arial" w:cs="Arial" w:eastAsia="Arial" w:hAnsi="Arial"/>
                <w:sz w:val="18"/>
                <w:szCs w:val="18"/>
                <w:color w:val="auto"/>
                <w:w w:val="95"/>
              </w:rPr>
              <w:t>Indefinite</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Technology</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41.0</w:t>
            </w:r>
          </w:p>
        </w:tc>
        <w:tc>
          <w:tcPr>
            <w:tcW w:w="2000" w:type="dxa"/>
            <w:vAlign w:val="bottom"/>
          </w:tcPr>
          <w:p>
            <w:pPr>
              <w:jc w:val="center"/>
              <w:ind w:left="738"/>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0" w:type="dxa"/>
            <w:vAlign w:val="bottom"/>
            <w:shd w:val="clear" w:color="auto" w:fill="CCEEFF"/>
          </w:tcPr>
          <w:p>
            <w:pPr>
              <w:jc w:val="center"/>
              <w:ind w:left="738"/>
              <w:spacing w:after="0"/>
              <w:rPr>
                <w:sz w:val="20"/>
                <w:szCs w:val="20"/>
                <w:color w:val="auto"/>
              </w:rPr>
            </w:pPr>
            <w:r>
              <w:rPr>
                <w:rFonts w:ascii="Arial" w:cs="Arial" w:eastAsia="Arial" w:hAnsi="Arial"/>
                <w:sz w:val="18"/>
                <w:szCs w:val="18"/>
                <w:color w:val="auto"/>
                <w:w w:val="89"/>
              </w:rPr>
              <w:t>10</w:t>
            </w: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2000" w:type="dxa"/>
            <w:vAlign w:val="bottom"/>
          </w:tcPr>
          <w:p>
            <w:pPr>
              <w:jc w:val="center"/>
              <w:ind w:left="738"/>
              <w:spacing w:after="0"/>
              <w:rPr>
                <w:sz w:val="20"/>
                <w:szCs w:val="20"/>
                <w:color w:val="auto"/>
              </w:rPr>
            </w:pPr>
            <w:r>
              <w:rPr>
                <w:rFonts w:ascii="Arial" w:cs="Arial" w:eastAsia="Arial" w:hAnsi="Arial"/>
                <w:sz w:val="18"/>
                <w:szCs w:val="18"/>
                <w:color w:val="auto"/>
                <w:w w:val="89"/>
              </w:rPr>
              <w:t>15</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intangibles acquired</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418.0</w:t>
            </w:r>
          </w:p>
        </w:tc>
        <w:tc>
          <w:tcPr>
            <w:tcW w:w="20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fair values recorded were determined based upon a valuation and the estimates and assumptions used in such valuation are subject to change, which could be significant, within the measurement period (up to one year from the May 21, 2015 acquisition date). The primary areas of acquisition accounting that are not yet finalized relate to amounts for intangible assets, residual goodwill and income taxes. The following is a summary of significant inputs to the valuation:</w:t>
      </w:r>
    </w:p>
    <w:p>
      <w:pPr>
        <w:spacing w:after="0" w:line="92" w:lineRule="exact"/>
        <w:rPr>
          <w:sz w:val="20"/>
          <w:szCs w:val="20"/>
          <w:color w:val="auto"/>
        </w:rPr>
      </w:pPr>
    </w:p>
    <w:p>
      <w:pPr>
        <w:ind w:left="900" w:right="100" w:hanging="446"/>
        <w:spacing w:after="0" w:line="286" w:lineRule="auto"/>
        <w:tabs>
          <w:tab w:leader="none" w:pos="90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Inventories—The replacement cost approach was applied to estimate the fair value of the raw materials and unbranded finished goods inventory. Branded finished goods were valued based on the comparative sales method, which estimates the expected sales price of the finished goods inventory, reduced for all costs expected to be incurred in its completion or disposition and a profit on those costs.</w:t>
      </w:r>
    </w:p>
    <w:p>
      <w:pPr>
        <w:spacing w:after="0" w:line="70"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Property, plant and equipment—The market approach was used to estimate the fair value of land. The direct cost approach was used to estimate the fair value of property, plant and equipment.</w:t>
      </w:r>
    </w:p>
    <w:p>
      <w:pPr>
        <w:spacing w:after="0" w:line="75" w:lineRule="exact"/>
        <w:rPr>
          <w:rFonts w:ascii="Arial" w:cs="Arial" w:eastAsia="Arial" w:hAnsi="Arial"/>
          <w:sz w:val="18"/>
          <w:szCs w:val="18"/>
          <w:color w:val="auto"/>
        </w:rPr>
      </w:pPr>
    </w:p>
    <w:p>
      <w:pPr>
        <w:ind w:left="900" w:right="180" w:hanging="446"/>
        <w:spacing w:after="0" w:line="302" w:lineRule="auto"/>
        <w:tabs>
          <w:tab w:leader="none" w:pos="90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Tradenames—The Company valued indefinite-lived trade names using an income approach, the relief from royalty method. Under this method, the asset value was determined by estimating the hypothetical royalties that would have to be paid if the trade names were not owned. Royalty rates were selected based on consideration of several factors, including prior transactions, related trademarks and trade names, other similar trademark licensing and transaction agreements and the relative profitability and perceived contribution of the trade names.</w:t>
      </w:r>
    </w:p>
    <w:p>
      <w:pPr>
        <w:spacing w:after="0" w:line="59" w:lineRule="exact"/>
        <w:rPr>
          <w:rFonts w:ascii="Arial" w:cs="Arial" w:eastAsia="Arial" w:hAnsi="Arial"/>
          <w:sz w:val="16"/>
          <w:szCs w:val="16"/>
          <w:color w:val="auto"/>
        </w:rPr>
      </w:pPr>
    </w:p>
    <w:p>
      <w:pPr>
        <w:ind w:left="900" w:hanging="446"/>
        <w:spacing w:after="0" w:line="276" w:lineRule="auto"/>
        <w:tabs>
          <w:tab w:leader="none" w:pos="90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Technology—The Company valued technology using an income approach, the relief from royalty method. Under this method, the asset value was determined by estimating the hypothetical royalties that would have to be paid if the technology was not owned. Royalty rates were selected based on consideration of several factors, including prior transactions, related licensing agreements and the importance of the technology and profit levels, among other considerations. The Company anticipates using these technologies through the legal life of the underlying patents; therefore, the expected useful life of these technologies is based on the remaining life of the underlying patents.</w:t>
      </w:r>
    </w:p>
    <w:p>
      <w:pPr>
        <w:spacing w:after="0" w:line="77"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Licensing Agreements—The Company valued licensing agreements using the income approach. Under this method, the asset value was determined by estimating the revenue stream over the implied life of the agreements.</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Customer relationships—The Company valued customer relationships using an income approach, the multi-period excess earnings method. In determining the fair value of the customer relationships, the multi-period excess earnings approach values the intangible asset at the present value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incremental after-tax cash flows attributable only to the customer relationship after deducting contributory asset charges. The incremental after-tax cash flows attributable to the subject intangible asset are then discounted to their present value. Only expected sales from current customers were used, which are estimated using annual expected growth rates of 2.0% to 12.1%. The Company assumed a customer retention rate of approximately 95.0%, which is supported by historical retention rates. Income taxes were estimated at 38% and amounts were discounted using a rate of 9.5%.</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unaudited pro forma combined financial information presents the Company’s pro forma results for the years ended September 30, 2015 and 2014 had the results of AAG been combined as of October 1, 2013: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(Unaudited)</w:t>
            </w:r>
          </w:p>
        </w:tc>
        <w:tc>
          <w:tcPr>
            <w:tcW w:w="76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r>
      <w:tr>
        <w:trPr>
          <w:trHeight w:val="171"/>
        </w:trPr>
        <w:tc>
          <w:tcPr>
            <w:tcW w:w="3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sales</w:t>
            </w:r>
          </w:p>
        </w:tc>
        <w:tc>
          <w:tcPr>
            <w:tcW w:w="25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4,966.2</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4,872.4</w:t>
            </w: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Pro forma net income</w:t>
            </w:r>
          </w:p>
        </w:tc>
        <w:tc>
          <w:tcPr>
            <w:tcW w:w="252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217.3</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2015 unaudited pro forma combined financial results exclude (1) a non-recurring interest expense of $35.7 million related to the extinguishment of AAG debt recognized in connection with the acquisition, (2) $47.3 million of acquisition and integration related charges incurred as a result of the acquisition</w:t>
      </w:r>
    </w:p>
    <w:p>
      <w:pPr>
        <w:ind w:right="140" w:firstLine="8"/>
        <w:spacing w:after="0" w:line="261" w:lineRule="auto"/>
        <w:tabs>
          <w:tab w:leader="none" w:pos="25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$18.8 million of non-recurring expense related to the fair value adjustment to acquisition date inventory and (4) $10.4 million of accelerated share based compensation costs incurred as a result of the acquisition.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Salix</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January 16, 2015, the Company completed the acquisition of Salix, a vertically integrated producer and distributor of premium, natural rawhide dog chews, treats and snacks. The results of Salix’s operations since January 16, 2015 are included in the Company’s Consolidated Statements of Operations and as part of the Global Pet Supplies segment for the year ended September 30, 2015.</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recorded an allocation of the purchase price to the Company’s tangible and identifiable intangible assets acquired and liabilities assumed based on their fair values as of the January 16, 2015 acquisition date. The excess of the purchase price over the fair value of the net tangible assets and identifiable intangible assets was recorded as goodwill, which includes value associated with the assembled workforce, including an experienced research team. The calculation of the purchase price and purchase price allocation is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0" w:type="dxa"/>
            <w:vAlign w:val="bottom"/>
            <w:gridSpan w:val="4"/>
          </w:tcPr>
          <w:p>
            <w:pPr>
              <w:ind w:left="3960"/>
              <w:spacing w:after="0"/>
              <w:rPr>
                <w:sz w:val="20"/>
                <w:szCs w:val="20"/>
                <w:color w:val="auto"/>
              </w:rPr>
            </w:pPr>
            <w:r>
              <w:rPr>
                <w:rFonts w:ascii="Arial" w:cs="Arial" w:eastAsia="Arial" w:hAnsi="Arial"/>
                <w:sz w:val="14"/>
                <w:szCs w:val="14"/>
                <w:b w:val="1"/>
                <w:bCs w:val="1"/>
                <w:color w:val="auto"/>
              </w:rPr>
              <w:t>Purchase Price</w:t>
            </w: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3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18"/>
                <w:szCs w:val="18"/>
                <w:color w:val="auto"/>
              </w:rPr>
              <w:t>F-18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Purchase Price</w:t>
            </w:r>
          </w:p>
        </w:tc>
      </w:tr>
      <w:tr>
        <w:trPr>
          <w:trHeight w:val="17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Allocation</w:t>
            </w:r>
          </w:p>
        </w:tc>
      </w:tr>
      <w:tr>
        <w:trPr>
          <w:trHeight w:val="142"/>
        </w:trPr>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allocation resulted in goodwill of $71.5 million of which $24.7 million is deductible for tax purposes. Goodwill was allocated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Global Pet Supplies segment. The values allocated to intangible assets and the weighted average useful lives are as follows: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60" w:type="dxa"/>
            <w:vAlign w:val="bottom"/>
            <w:gridSpan w:val="3"/>
          </w:tcPr>
          <w:p>
            <w:pPr>
              <w:ind w:left="2080"/>
              <w:spacing w:after="0"/>
              <w:rPr>
                <w:sz w:val="20"/>
                <w:szCs w:val="20"/>
                <w:color w:val="auto"/>
              </w:rPr>
            </w:pPr>
            <w:r>
              <w:rPr>
                <w:rFonts w:ascii="Arial" w:cs="Arial" w:eastAsia="Arial" w:hAnsi="Arial"/>
                <w:sz w:val="14"/>
                <w:szCs w:val="14"/>
                <w:b w:val="1"/>
                <w:bCs w:val="1"/>
                <w:color w:val="auto"/>
                <w:w w:val="97"/>
              </w:rPr>
              <w:t>Carrying</w:t>
            </w:r>
          </w:p>
        </w:tc>
        <w:tc>
          <w:tcPr>
            <w:tcW w:w="2080" w:type="dxa"/>
            <w:vAlign w:val="bottom"/>
          </w:tcPr>
          <w:p>
            <w:pPr>
              <w:jc w:val="center"/>
              <w:ind w:left="818"/>
              <w:spacing w:after="0"/>
              <w:rPr>
                <w:sz w:val="20"/>
                <w:szCs w:val="20"/>
                <w:color w:val="auto"/>
              </w:rPr>
            </w:pPr>
            <w:r>
              <w:rPr>
                <w:rFonts w:ascii="Arial" w:cs="Arial" w:eastAsia="Arial" w:hAnsi="Arial"/>
                <w:sz w:val="14"/>
                <w:szCs w:val="14"/>
                <w:b w:val="1"/>
                <w:bCs w:val="1"/>
                <w:color w:val="auto"/>
                <w:w w:val="90"/>
              </w:rPr>
              <w:t>Weighted Average</w:t>
            </w: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80" w:type="dxa"/>
            <w:vAlign w:val="bottom"/>
            <w:tcBorders>
              <w:bottom w:val="single" w:sz="8" w:color="auto"/>
            </w:tcBorders>
          </w:tcPr>
          <w:p>
            <w:pPr>
              <w:jc w:val="center"/>
              <w:ind w:left="818"/>
              <w:spacing w:after="0"/>
              <w:rPr>
                <w:sz w:val="20"/>
                <w:szCs w:val="20"/>
                <w:color w:val="auto"/>
              </w:rPr>
            </w:pPr>
            <w:r>
              <w:rPr>
                <w:rFonts w:ascii="Arial" w:cs="Arial" w:eastAsia="Arial" w:hAnsi="Arial"/>
                <w:sz w:val="14"/>
                <w:szCs w:val="14"/>
                <w:b w:val="1"/>
                <w:bCs w:val="1"/>
                <w:color w:val="auto"/>
                <w:w w:val="92"/>
              </w:rPr>
              <w:t>Useful Life (Years)</w:t>
            </w: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226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80" w:type="dxa"/>
            <w:vAlign w:val="bottom"/>
            <w:shd w:val="clear" w:color="auto" w:fill="CCEEFF"/>
          </w:tcPr>
          <w:p>
            <w:pPr>
              <w:jc w:val="center"/>
              <w:ind w:left="818"/>
              <w:spacing w:after="0"/>
              <w:rPr>
                <w:sz w:val="20"/>
                <w:szCs w:val="20"/>
                <w:color w:val="auto"/>
              </w:rPr>
            </w:pPr>
            <w:r>
              <w:rPr>
                <w:rFonts w:ascii="Arial" w:cs="Arial" w:eastAsia="Arial" w:hAnsi="Arial"/>
                <w:sz w:val="18"/>
                <w:szCs w:val="18"/>
                <w:color w:val="auto"/>
                <w:w w:val="95"/>
              </w:rPr>
              <w:t>Indefinite</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Definite-lived tradenames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80" w:type="dxa"/>
            <w:vAlign w:val="bottom"/>
          </w:tcPr>
          <w:p>
            <w:pPr>
              <w:jc w:val="center"/>
              <w:ind w:left="818"/>
              <w:spacing w:after="0"/>
              <w:rPr>
                <w:sz w:val="20"/>
                <w:szCs w:val="20"/>
                <w:color w:val="auto"/>
              </w:rPr>
            </w:pPr>
            <w:r>
              <w:rPr>
                <w:rFonts w:ascii="Arial" w:cs="Arial" w:eastAsia="Arial" w:hAnsi="Arial"/>
                <w:sz w:val="18"/>
                <w:szCs w:val="18"/>
                <w:color w:val="auto"/>
                <w:w w:val="89"/>
              </w:rPr>
              <w:t>13</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80" w:type="dxa"/>
            <w:vAlign w:val="bottom"/>
            <w:shd w:val="clear" w:color="auto" w:fill="CCEEFF"/>
          </w:tcPr>
          <w:p>
            <w:pPr>
              <w:jc w:val="center"/>
              <w:ind w:left="818"/>
              <w:spacing w:after="0"/>
              <w:rPr>
                <w:sz w:val="20"/>
                <w:szCs w:val="20"/>
                <w:color w:val="auto"/>
              </w:rPr>
            </w:pPr>
            <w:r>
              <w:rPr>
                <w:rFonts w:ascii="Arial" w:cs="Arial" w:eastAsia="Arial" w:hAnsi="Arial"/>
                <w:sz w:val="18"/>
                <w:szCs w:val="18"/>
                <w:color w:val="auto"/>
                <w:w w:val="89"/>
              </w:rPr>
              <w:t>17</w:t>
            </w: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80" w:type="dxa"/>
            <w:vAlign w:val="bottom"/>
          </w:tcPr>
          <w:p>
            <w:pPr>
              <w:jc w:val="center"/>
              <w:ind w:left="818"/>
              <w:spacing w:after="0"/>
              <w:rPr>
                <w:sz w:val="20"/>
                <w:szCs w:val="20"/>
                <w:color w:val="auto"/>
              </w:rPr>
            </w:pPr>
            <w:r>
              <w:rPr>
                <w:rFonts w:ascii="Arial" w:cs="Arial" w:eastAsia="Arial" w:hAnsi="Arial"/>
                <w:sz w:val="18"/>
                <w:szCs w:val="18"/>
                <w:color w:val="auto"/>
                <w:w w:val="89"/>
              </w:rPr>
              <w:t>13</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intangibles acquired</w:t>
            </w:r>
          </w:p>
        </w:tc>
        <w:tc>
          <w:tcPr>
            <w:tcW w:w="226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values were determined based upon a valuation and the estimates and assumptions used in such valuation are subject to change, which could be significant, within the measurement period (up to one year from the January 16, 2015 acquisition date). The Company performed a valuation of the acquired inventories, property, plant and equipment, tradenames, customer relationships and non-compete agreement. A summary of the significant inputs to the valuation is as follows:</w:t>
      </w:r>
    </w:p>
    <w:p>
      <w:pPr>
        <w:spacing w:after="0" w:line="92" w:lineRule="exact"/>
        <w:rPr>
          <w:sz w:val="20"/>
          <w:szCs w:val="20"/>
          <w:color w:val="auto"/>
        </w:rPr>
      </w:pPr>
    </w:p>
    <w:p>
      <w:pPr>
        <w:ind w:left="900" w:right="100" w:hanging="446"/>
        <w:spacing w:after="0" w:line="286" w:lineRule="auto"/>
        <w:tabs>
          <w:tab w:leader="none" w:pos="90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Inventories—The replacement cost approach was applied to estimate the fair value of the raw materials and unbranded finished goods inventory. Branded finished goods were valued based on the comparative sales method, which estimates the expected sales price of the finished goods inventory, reduced for all costs expected to be incurred in its completion or disposition and a profit on those costs.</w:t>
      </w:r>
    </w:p>
    <w:p>
      <w:pPr>
        <w:spacing w:after="0" w:line="70" w:lineRule="exact"/>
        <w:rPr>
          <w:rFonts w:ascii="Arial" w:cs="Arial" w:eastAsia="Arial" w:hAnsi="Arial"/>
          <w:sz w:val="17"/>
          <w:szCs w:val="17"/>
          <w:color w:val="auto"/>
        </w:rPr>
      </w:pPr>
    </w:p>
    <w:p>
      <w:pPr>
        <w:jc w:val="both"/>
        <w:ind w:left="900" w:right="600" w:hanging="446"/>
        <w:spacing w:after="0" w:line="342" w:lineRule="auto"/>
        <w:tabs>
          <w:tab w:leader="none" w:pos="9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Property, plant and equipment—The cost approach was utilized to estimate the fair value of approximately 98% of the property, plant and equipment. The sales comparison approach was used to estimate the fair value of the remaining 2% of the property, plant and equipment.</w:t>
      </w:r>
    </w:p>
    <w:p>
      <w:pPr>
        <w:spacing w:after="0" w:line="29" w:lineRule="exact"/>
        <w:rPr>
          <w:rFonts w:ascii="Arial" w:cs="Arial" w:eastAsia="Arial" w:hAnsi="Arial"/>
          <w:sz w:val="16"/>
          <w:szCs w:val="16"/>
          <w:color w:val="auto"/>
        </w:rPr>
      </w:pPr>
    </w:p>
    <w:p>
      <w:pPr>
        <w:ind w:left="900" w:right="180" w:hanging="446"/>
        <w:spacing w:after="0" w:line="302" w:lineRule="auto"/>
        <w:tabs>
          <w:tab w:leader="none" w:pos="9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Tradenames—The Company valued indefinite-lived trade names using an income approach, the relief from royalty method. Under this method, the asset value was determined by estimating the hypothetical royalties that would have to be paid if the trade names were not owned. Royalty rates were selected based on consideration of several factors, including prior transactions, related trademarks and trade names, other similar trademark licensing and transaction agreements and the relative profitability and perceived contribution of the trade names.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left="900" w:hanging="446"/>
        <w:spacing w:after="0" w:line="276" w:lineRule="auto"/>
        <w:tabs>
          <w:tab w:leader="none" w:pos="90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Technology—The Company valued technology using an income approach, the relief from royalty method. Under this method, the asset value was determined by estimating the hypothetical royalties that would have to be paid if the technology was not owned. Royalty rates were selected based on consideration of several factors, including prior transactions, related licensing agreements and the importance of the technology and profit levels, among other considerations. The Company anticipates using these technologies through the legal life of the underlying patents; therefore, the expected useful life of these technologies is based on the remaining life of the underlying patents.</w:t>
      </w:r>
    </w:p>
    <w:p>
      <w:pPr>
        <w:spacing w:after="0" w:line="77" w:lineRule="exact"/>
        <w:rPr>
          <w:rFonts w:ascii="Arial" w:cs="Arial" w:eastAsia="Arial" w:hAnsi="Arial"/>
          <w:sz w:val="17"/>
          <w:szCs w:val="17"/>
          <w:color w:val="auto"/>
        </w:rPr>
      </w:pPr>
    </w:p>
    <w:p>
      <w:pPr>
        <w:ind w:left="900" w:right="20" w:hanging="446"/>
        <w:spacing w:after="0" w:line="255" w:lineRule="auto"/>
        <w:tabs>
          <w:tab w:leader="none" w:pos="9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Customer relationships—The Company valued customer relationships using an income approach, the multi-period excess earnings method. In determining the fair value of the customer relationships, the multi-period excess earnings approach values the intangible asset at the present value of the incremental after-tax cash flows attributable only to the customer relationship after deducting contributory asset charges. The incremental after-tax cash flows attributable to the subject intangible asset are then discounted to their present value. Only expected sales from current customers were used, which are estimated using annual expected growth rates of 0% to 12.1%. The Company assumed a customer retention rate of approximately 92.5%, which is supported by historical retention rates. Income taxes were estimated at 38% and amounts were discounted using a rate of 12% to 13%.</w:t>
      </w:r>
    </w:p>
    <w:p>
      <w:pPr>
        <w:spacing w:after="0" w:line="94" w:lineRule="exact"/>
        <w:rPr>
          <w:rFonts w:ascii="Arial" w:cs="Arial" w:eastAsia="Arial" w:hAnsi="Arial"/>
          <w:sz w:val="18"/>
          <w:szCs w:val="18"/>
          <w:color w:val="auto"/>
        </w:rPr>
      </w:pPr>
    </w:p>
    <w:p>
      <w:pPr>
        <w:ind w:left="900" w:right="220" w:hanging="446"/>
        <w:spacing w:after="0" w:line="312" w:lineRule="auto"/>
        <w:tabs>
          <w:tab w:leader="none" w:pos="90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Non-compete agreement—The Company valued the non-compete agreement using the income approach that compares the prospective cash flows with and without the non-compete agreement in place. The value of the non-compete agreement is the difference between the discounted cash flows of the business under each of these two alternative scenarios, considering both tax expenditure and tax amortization benefits.</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Salix acquisition was not considered individually significant to the consolidated results of the Company and therefore pro forma results are not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IAMS and Eukanuba</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December 31, 2014, the Company completed the acquisition of European IAMS and Eukanuba, leading premium brands for dogs and cats. The results of European IAMS and Eukanuba’s operations since December 31, 2014 are included in the Company’s Consolidated Statements of Operations and as part of the Global Pet Supplies segment for the year ended September 30,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Company has recorded an allocation of the purchase price to the Company’s tangible and identifiable intangible assets acquired and liabilities assumed based on their fair values as of the December 31, 2014 acquisition date. The excess of the purchase price over the fair value of the net tangible assets and identifiable intangible assets was recorded as goodwill, which includes value associated with the assembled workforce, including an experienced research team. The calculation of the purchase price and purchase price allocation is as follows:</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Purchase Price</w:t>
            </w:r>
          </w:p>
        </w:tc>
      </w:tr>
      <w:tr>
        <w:trPr>
          <w:trHeight w:val="142"/>
        </w:trPr>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8"/>
                <w:szCs w:val="18"/>
                <w:color w:val="auto"/>
              </w:rPr>
            </w:pPr>
          </w:p>
        </w:tc>
      </w:tr>
      <w:tr>
        <w:trPr>
          <w:trHeight w:val="342"/>
        </w:trPr>
        <w:tc>
          <w:tcPr>
            <w:tcW w:w="672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Purchase Price</w:t>
            </w:r>
          </w:p>
        </w:tc>
      </w:tr>
      <w:tr>
        <w:trPr>
          <w:trHeight w:val="17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Allocation</w:t>
            </w:r>
          </w:p>
        </w:tc>
      </w:tr>
      <w:tr>
        <w:trPr>
          <w:trHeight w:val="142"/>
        </w:trPr>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purchase price allocation resulted in goodwill of $4.0 million which is not deductible for tax purposes. Goodwill was allocated to the Global Pet Supplies segment. The values allocated to intangible assets and the weighted average useful lives are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7"/>
              </w:rPr>
              <w:t>Carrying</w:t>
            </w:r>
          </w:p>
        </w:tc>
        <w:tc>
          <w:tcPr>
            <w:tcW w:w="2080" w:type="dxa"/>
            <w:vAlign w:val="bottom"/>
          </w:tcPr>
          <w:p>
            <w:pPr>
              <w:jc w:val="center"/>
              <w:ind w:left="819"/>
              <w:spacing w:after="0"/>
              <w:rPr>
                <w:sz w:val="20"/>
                <w:szCs w:val="20"/>
                <w:color w:val="auto"/>
              </w:rPr>
            </w:pPr>
            <w:r>
              <w:rPr>
                <w:rFonts w:ascii="Arial" w:cs="Arial" w:eastAsia="Arial" w:hAnsi="Arial"/>
                <w:sz w:val="14"/>
                <w:szCs w:val="14"/>
                <w:b w:val="1"/>
                <w:bCs w:val="1"/>
                <w:color w:val="auto"/>
                <w:w w:val="90"/>
              </w:rPr>
              <w:t>Weighted Average</w:t>
            </w:r>
          </w:p>
        </w:tc>
      </w:t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80" w:type="dxa"/>
            <w:vAlign w:val="bottom"/>
            <w:tcBorders>
              <w:bottom w:val="single" w:sz="8" w:color="auto"/>
            </w:tcBorders>
          </w:tcPr>
          <w:p>
            <w:pPr>
              <w:jc w:val="center"/>
              <w:ind w:left="819"/>
              <w:spacing w:after="0"/>
              <w:rPr>
                <w:sz w:val="20"/>
                <w:szCs w:val="20"/>
                <w:color w:val="auto"/>
              </w:rPr>
            </w:pPr>
            <w:r>
              <w:rPr>
                <w:rFonts w:ascii="Arial" w:cs="Arial" w:eastAsia="Arial" w:hAnsi="Arial"/>
                <w:sz w:val="14"/>
                <w:szCs w:val="14"/>
                <w:b w:val="1"/>
                <w:bCs w:val="1"/>
                <w:color w:val="auto"/>
                <w:w w:val="92"/>
              </w:rPr>
              <w:t>Useful Life (Years)</w:t>
            </w: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80" w:type="dxa"/>
            <w:vAlign w:val="bottom"/>
            <w:shd w:val="clear" w:color="auto" w:fill="CCEEFF"/>
          </w:tcPr>
          <w:p>
            <w:pPr>
              <w:jc w:val="center"/>
              <w:ind w:left="819"/>
              <w:spacing w:after="0"/>
              <w:rPr>
                <w:sz w:val="20"/>
                <w:szCs w:val="20"/>
                <w:color w:val="auto"/>
              </w:rPr>
            </w:pPr>
            <w:r>
              <w:rPr>
                <w:rFonts w:ascii="Arial" w:cs="Arial" w:eastAsia="Arial" w:hAnsi="Arial"/>
                <w:sz w:val="18"/>
                <w:szCs w:val="18"/>
                <w:color w:val="auto"/>
                <w:w w:val="95"/>
              </w:rPr>
              <w:t>Indefinite</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080" w:type="dxa"/>
            <w:vAlign w:val="bottom"/>
          </w:tcPr>
          <w:p>
            <w:pPr>
              <w:jc w:val="right"/>
              <w:ind w:right="459"/>
              <w:spacing w:after="0"/>
              <w:rPr>
                <w:sz w:val="20"/>
                <w:szCs w:val="20"/>
                <w:color w:val="auto"/>
              </w:rPr>
            </w:pPr>
            <w:r>
              <w:rPr>
                <w:rFonts w:ascii="Arial" w:cs="Arial" w:eastAsia="Arial" w:hAnsi="Arial"/>
                <w:sz w:val="18"/>
                <w:szCs w:val="18"/>
                <w:color w:val="auto"/>
              </w:rPr>
              <w:t>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8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15</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intangibles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08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values were determined based upon a valuation and the estimates and assumptions used in such valuation are subject to change, which could be significant, within the measurement period (up to one year from the December 31, 2014 acquisition date). The Company performed a valuation of the acquired inventories, property, plant and equipment, tradenames, technology and customer relationships. The following is a summary of significant inputs to the valuation:</w:t>
      </w:r>
    </w:p>
    <w:p>
      <w:pPr>
        <w:spacing w:after="0" w:line="92" w:lineRule="exact"/>
        <w:rPr>
          <w:sz w:val="20"/>
          <w:szCs w:val="20"/>
          <w:color w:val="auto"/>
        </w:rPr>
      </w:pPr>
    </w:p>
    <w:p>
      <w:pPr>
        <w:ind w:left="900" w:right="140" w:hanging="446"/>
        <w:spacing w:after="0" w:line="264" w:lineRule="auto"/>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Inventories—The replacement cost approach was applied to estimate the fair value of the raw materials inventory. Work-in-process and finished goods inventory were valued at estimated selling price less the sum of costs of disposal and a reasonable profit on the value added in the completion and disposal effort.</w:t>
      </w:r>
    </w:p>
    <w:p>
      <w:pPr>
        <w:spacing w:after="0" w:line="86"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Property, plant and equipment—The market approach was used to estimate the fair value of land. The direct cost approach was used to estimate the fair value of property, plant and equipment.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left="900" w:right="180" w:hanging="446"/>
        <w:spacing w:after="0" w:line="302" w:lineRule="auto"/>
        <w:tabs>
          <w:tab w:leader="none" w:pos="90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Tradenames—The Company valued indefinite-lived trade names using an income approach, the relief from royalty method. Under this method, the asset value was determined by estimating the hypothetical royalties that would have to be paid if the trade names were not owned. Royalty rates were selected based on consideration of several factors, including prior transactions, related trademarks and trade names, other similar trademark licensing and transaction agreements and the relative profitability and perceived contribution of the trade names.</w:t>
      </w:r>
    </w:p>
    <w:p>
      <w:pPr>
        <w:spacing w:after="0" w:line="59" w:lineRule="exact"/>
        <w:rPr>
          <w:rFonts w:ascii="Arial" w:cs="Arial" w:eastAsia="Arial" w:hAnsi="Arial"/>
          <w:sz w:val="16"/>
          <w:szCs w:val="16"/>
          <w:color w:val="auto"/>
        </w:rPr>
      </w:pPr>
    </w:p>
    <w:p>
      <w:pPr>
        <w:ind w:left="900" w:hanging="446"/>
        <w:spacing w:after="0" w:line="276" w:lineRule="auto"/>
        <w:tabs>
          <w:tab w:leader="none" w:pos="90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Technology—The Company valued technology using an income approach, the relief from royalty method. Under this method, the asset value was determined by estimating the hypothetical royalties that would have to be paid if the technology was not owned. Royalty rates were selected based on consideration of several factors, including prior transactions, related licensing agreements and the importance of the technology and profit levels, among other considerations. The Company anticipates using these technologies through the legal life of the underlying patents; therefore, the expected useful life of these technologies is based on the remaining life of the underlying patents.</w:t>
      </w:r>
    </w:p>
    <w:p>
      <w:pPr>
        <w:spacing w:after="0" w:line="77" w:lineRule="exact"/>
        <w:rPr>
          <w:rFonts w:ascii="Arial" w:cs="Arial" w:eastAsia="Arial" w:hAnsi="Arial"/>
          <w:sz w:val="17"/>
          <w:szCs w:val="17"/>
          <w:color w:val="auto"/>
        </w:rPr>
      </w:pPr>
    </w:p>
    <w:p>
      <w:pPr>
        <w:ind w:left="900" w:right="20" w:hanging="446"/>
        <w:spacing w:after="0" w:line="255" w:lineRule="auto"/>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Customer relationships—The Company valued customer relationships using an income approach, the multi-period excess earnings method. In determining the fair value of the customer relationships, the multi-period excess earnings approach values the intangible asset at the present value of the incremental after-tax cash flows attributable only to the customer relationship after deducting contributory asset charges. The incremental after-tax cash flows attributable to the subject intangible asset are then discounted to their present value. Only expected sales from current customers were used, which are estimated using annual expected growth rates of 0% to 5.6%. The Company assumed a customer retention rate of approximately 90% to 100%, which was supported by historical retention rates. Income taxes were estimated at 25% and amounts were discounted using a rate of 12.5%.</w:t>
      </w:r>
    </w:p>
    <w:p>
      <w:pPr>
        <w:spacing w:after="0" w:line="18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European IAMS and Eukanuba acquisition was not considered individually significant to the consolidated results of the Company and therefore pro forma results are not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Tell Manufacturing</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On October 1, 2014, the Company completed the acquisition of Tell, a leading manufacturer and distributor of commercial doors, locks, and hardware. The results of Tell’s operations since October 1, 2014 are included in the Company’s Consolidated Statements of Operations and as part of the Hardware and Home Improvement segment for the year ended September 30, 2015.</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recorded an allocation of the purchase price to the Company’s tangible and identifiable intangible assets acquired and liabilities assumed based on their fair values as of the October 1, 2014 acquisition date. The excess of the purchase price over the fair value of the net tangible assets and identifiable intangible assets was recorded as goodwill, which includes value associated with the assembled workforce, including an experienced research team. The calculation of the purchase price and purchase price allocation is as follows:</w:t>
      </w:r>
    </w:p>
    <w:p>
      <w:pPr>
        <w:spacing w:after="0" w:line="206"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u w:val="single" w:color="auto"/>
          <w:color w:val="auto"/>
        </w:rPr>
        <w:t>Purchase Price</w:t>
      </w:r>
    </w:p>
    <w:p>
      <w:pPr>
        <w:spacing w:after="0" w:line="13"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tabs>
          <w:tab w:leader="none" w:pos="8540" w:val="left"/>
          <w:tab w:leader="none" w:pos="9160" w:val="left"/>
        </w:tabs>
        <w:rPr>
          <w:sz w:val="20"/>
          <w:szCs w:val="20"/>
          <w:color w:val="auto"/>
        </w:rPr>
      </w:pPr>
      <w:r>
        <w:rPr>
          <w:rFonts w:ascii="Arial" w:cs="Arial" w:eastAsia="Arial" w:hAnsi="Arial"/>
          <w:sz w:val="18"/>
          <w:szCs w:val="18"/>
          <w:color w:val="auto"/>
        </w:rPr>
        <w:t>Cash consideration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30.3</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920" w:type="dxa"/>
            <w:vAlign w:val="bottom"/>
            <w:gridSpan w:val="4"/>
          </w:tcPr>
          <w:p>
            <w:pPr>
              <w:ind w:left="18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CEEFF"/>
          </w:tcPr>
          <w:p>
            <w:pPr>
              <w:ind w:left="18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Receivables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Goodwill</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960" w:type="dxa"/>
            <w:vAlign w:val="bottom"/>
            <w:gridSpan w:val="2"/>
            <w:shd w:val="clear" w:color="auto" w:fill="CCEEFF"/>
          </w:tcPr>
          <w:p>
            <w:pPr>
              <w:ind w:left="18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allocation resulted in goodwill of $7.1 million which is deductible for tax purposes. Goodwill was allocated to the Hardware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Home Improvement segment. The values allocated to intangible assets and the weighted average useful lives are as follows: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60" w:type="dxa"/>
            <w:vAlign w:val="bottom"/>
            <w:gridSpan w:val="3"/>
          </w:tcPr>
          <w:p>
            <w:pPr>
              <w:ind w:left="2080"/>
              <w:spacing w:after="0"/>
              <w:rPr>
                <w:sz w:val="20"/>
                <w:szCs w:val="20"/>
                <w:color w:val="auto"/>
              </w:rPr>
            </w:pPr>
            <w:r>
              <w:rPr>
                <w:rFonts w:ascii="Arial" w:cs="Arial" w:eastAsia="Arial" w:hAnsi="Arial"/>
                <w:sz w:val="14"/>
                <w:szCs w:val="14"/>
                <w:b w:val="1"/>
                <w:bCs w:val="1"/>
                <w:color w:val="auto"/>
                <w:w w:val="97"/>
              </w:rPr>
              <w:t>Carrying</w:t>
            </w:r>
          </w:p>
        </w:tc>
        <w:tc>
          <w:tcPr>
            <w:tcW w:w="2080" w:type="dxa"/>
            <w:vAlign w:val="bottom"/>
          </w:tcPr>
          <w:p>
            <w:pPr>
              <w:jc w:val="center"/>
              <w:ind w:left="821"/>
              <w:spacing w:after="0"/>
              <w:rPr>
                <w:sz w:val="20"/>
                <w:szCs w:val="20"/>
                <w:color w:val="auto"/>
              </w:rPr>
            </w:pPr>
            <w:r>
              <w:rPr>
                <w:rFonts w:ascii="Arial" w:cs="Arial" w:eastAsia="Arial" w:hAnsi="Arial"/>
                <w:sz w:val="14"/>
                <w:szCs w:val="14"/>
                <w:b w:val="1"/>
                <w:bCs w:val="1"/>
                <w:color w:val="auto"/>
                <w:w w:val="90"/>
              </w:rPr>
              <w:t>Weighted Average</w:t>
            </w: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80" w:type="dxa"/>
            <w:vAlign w:val="bottom"/>
            <w:tcBorders>
              <w:bottom w:val="single" w:sz="8" w:color="auto"/>
            </w:tcBorders>
          </w:tcPr>
          <w:p>
            <w:pPr>
              <w:jc w:val="center"/>
              <w:ind w:left="821"/>
              <w:spacing w:after="0"/>
              <w:rPr>
                <w:sz w:val="20"/>
                <w:szCs w:val="20"/>
                <w:color w:val="auto"/>
              </w:rPr>
            </w:pPr>
            <w:r>
              <w:rPr>
                <w:rFonts w:ascii="Arial" w:cs="Arial" w:eastAsia="Arial" w:hAnsi="Arial"/>
                <w:sz w:val="14"/>
                <w:szCs w:val="14"/>
                <w:b w:val="1"/>
                <w:bCs w:val="1"/>
                <w:color w:val="auto"/>
                <w:w w:val="92"/>
              </w:rPr>
              <w:t>Useful Life (Years)</w:t>
            </w: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226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80" w:type="dxa"/>
            <w:vAlign w:val="bottom"/>
            <w:shd w:val="clear" w:color="auto" w:fill="CCEEFF"/>
          </w:tcPr>
          <w:p>
            <w:pPr>
              <w:jc w:val="center"/>
              <w:ind w:left="821"/>
              <w:spacing w:after="0"/>
              <w:rPr>
                <w:sz w:val="20"/>
                <w:szCs w:val="20"/>
                <w:color w:val="auto"/>
              </w:rPr>
            </w:pPr>
            <w:r>
              <w:rPr>
                <w:rFonts w:ascii="Arial" w:cs="Arial" w:eastAsia="Arial" w:hAnsi="Arial"/>
                <w:sz w:val="18"/>
                <w:szCs w:val="18"/>
                <w:color w:val="auto"/>
                <w:w w:val="95"/>
              </w:rPr>
              <w:t>Indefinite</w:t>
            </w: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80" w:type="dxa"/>
            <w:vAlign w:val="bottom"/>
          </w:tcPr>
          <w:p>
            <w:pPr>
              <w:jc w:val="center"/>
              <w:ind w:left="821"/>
              <w:spacing w:after="0"/>
              <w:rPr>
                <w:sz w:val="20"/>
                <w:szCs w:val="20"/>
                <w:color w:val="auto"/>
              </w:rPr>
            </w:pPr>
            <w:r>
              <w:rPr>
                <w:rFonts w:ascii="Arial" w:cs="Arial" w:eastAsia="Arial" w:hAnsi="Arial"/>
                <w:sz w:val="18"/>
                <w:szCs w:val="18"/>
                <w:color w:val="auto"/>
                <w:w w:val="89"/>
              </w:rPr>
              <w:t>13</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intangibles acquired</w:t>
            </w:r>
          </w:p>
        </w:tc>
        <w:tc>
          <w:tcPr>
            <w:tcW w:w="226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performed a valuation of the acquired inventories, property, plant and equipment, tradenames and customer relationships. The following is a summary of significant inputs to the valuation:</w:t>
      </w:r>
    </w:p>
    <w:p>
      <w:pPr>
        <w:spacing w:after="0" w:line="76" w:lineRule="exact"/>
        <w:rPr>
          <w:sz w:val="20"/>
          <w:szCs w:val="20"/>
          <w:color w:val="auto"/>
        </w:rPr>
      </w:pPr>
    </w:p>
    <w:p>
      <w:pPr>
        <w:ind w:left="900" w:right="60" w:hanging="446"/>
        <w:spacing w:after="0" w:line="342" w:lineRule="auto"/>
        <w:tabs>
          <w:tab w:leader="none" w:pos="90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Inventories—The replacement cost approach was applied to estimate the fair value of the raw materials inventory. Finished goods were valued at estimated selling price less the sum of costs of disposal and a reasonable profit on the value added in the completion and disposal effort.</w:t>
      </w:r>
    </w:p>
    <w:p>
      <w:pPr>
        <w:spacing w:after="0" w:line="29" w:lineRule="exact"/>
        <w:rPr>
          <w:rFonts w:ascii="Arial" w:cs="Arial" w:eastAsia="Arial" w:hAnsi="Arial"/>
          <w:sz w:val="16"/>
          <w:szCs w:val="16"/>
          <w:color w:val="auto"/>
        </w:rPr>
      </w:pPr>
    </w:p>
    <w:p>
      <w:pPr>
        <w:ind w:left="900" w:right="420" w:hanging="446"/>
        <w:spacing w:after="0" w:line="342" w:lineRule="auto"/>
        <w:tabs>
          <w:tab w:leader="none" w:pos="90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Property, plant and equipment—The cost approach was used to estimate the fair value of approximately 97% of the property, plant and equipment. The sales comparison approach was utilized to estimate the fair value of the remaining 3% of the property, plant and equipment.</w:t>
      </w:r>
    </w:p>
    <w:p>
      <w:pPr>
        <w:spacing w:after="0" w:line="29" w:lineRule="exact"/>
        <w:rPr>
          <w:rFonts w:ascii="Arial" w:cs="Arial" w:eastAsia="Arial" w:hAnsi="Arial"/>
          <w:sz w:val="16"/>
          <w:szCs w:val="16"/>
          <w:color w:val="auto"/>
        </w:rPr>
      </w:pPr>
    </w:p>
    <w:p>
      <w:pPr>
        <w:ind w:left="900" w:hanging="446"/>
        <w:spacing w:after="0" w:line="302" w:lineRule="auto"/>
        <w:tabs>
          <w:tab w:leader="none" w:pos="90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Tradenames—The Company valued indefinite-lived trade names using an income approach, the relief from royalty method. Under this method, the asset value was determined by estimating the hypothetical royalties that would have to be paid if the trade name was not owned. Royalty rates were selected based on consideration of several factors, including prior transactions of Tell, related trademarks and trade names, other similar trademark licensing and transaction agreements and the relative profitability and perceived contribution of the trade names.</w:t>
      </w:r>
    </w:p>
    <w:p>
      <w:pPr>
        <w:spacing w:after="0" w:line="59" w:lineRule="exact"/>
        <w:rPr>
          <w:rFonts w:ascii="Arial" w:cs="Arial" w:eastAsia="Arial" w:hAnsi="Arial"/>
          <w:sz w:val="16"/>
          <w:szCs w:val="16"/>
          <w:color w:val="auto"/>
        </w:rPr>
      </w:pPr>
    </w:p>
    <w:p>
      <w:pPr>
        <w:ind w:left="900" w:hanging="446"/>
        <w:spacing w:after="0" w:line="297" w:lineRule="auto"/>
        <w:tabs>
          <w:tab w:leader="none" w:pos="90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Customer relationships—The Company valued customer relationships using an income approach, the multi-period excess earnings method. In determining the fair value of the customer relationships, the multi-period excess earnings approach values the intangible asset at the present value of the incremental after-tax cash flows attributable only to the customer relationship after deducting contributory asset charges. The incremental after-tax cash flows attributable to the subject intangible asset are then discounted to their present value. Only expected sales from current customers were used, which are estimated using annual expected growth rates of 2.5% to 7.1%. The Company assumed 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left="920" w:right="540"/>
        <w:spacing w:after="0" w:line="277" w:lineRule="auto"/>
        <w:rPr>
          <w:sz w:val="20"/>
          <w:szCs w:val="20"/>
          <w:color w:val="auto"/>
        </w:rPr>
      </w:pPr>
      <w:r>
        <w:rPr>
          <w:rFonts w:ascii="Arial" w:cs="Arial" w:eastAsia="Arial" w:hAnsi="Arial"/>
          <w:sz w:val="18"/>
          <w:szCs w:val="18"/>
          <w:color w:val="auto"/>
        </w:rPr>
        <w:t>customer retention rate of approximately 90%, which was supported by historical retention rates. Income taxes were estimated at 38% and amounts were discounted using a rate of 20%.</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Tell Manufacturing acquisition was not considered individually significant to the consolidated results of the Company and therefore pro forma results are not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 Fence</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January 2, 2014, the Company completed the acquisition of Liquid Fence, a producer of animal repellents. The results of Liquid Fence’s operations since January 2, 2014 are included in the Company’s Consolidated Statements of Operations and as part of the Home and Garden segment for the years ended September 30, 2015 and 2014.</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recorded an allocation of the purchase price to the Company’s tangible and identifiable intangible assets acquired and liabilities assumed based on their fair values as of the January 2, 2014 acquisition date. The excess of the purchase price over the fair value of the net tangible assets and identifiable intangible assets was recorded as goodwill, which includes value associated with the assembled workforce, including an experienced research team. The calculation of the purchase price and purchase price allocation is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Purchase Price</w:t>
            </w:r>
          </w:p>
        </w:tc>
      </w:tr>
      <w:tr>
        <w:trPr>
          <w:trHeight w:val="142"/>
        </w:trPr>
        <w:tc>
          <w:tcPr>
            <w:tcW w:w="3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Promissory note</w:t>
            </w: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Total purchase price</w:t>
            </w:r>
          </w:p>
        </w:tc>
        <w:tc>
          <w:tcPr>
            <w:tcW w:w="3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6"/>
        </w:trPr>
        <w:tc>
          <w:tcPr>
            <w:tcW w:w="3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Purchase Price</w:t>
            </w:r>
          </w:p>
        </w:tc>
      </w:tr>
      <w:tr>
        <w:trPr>
          <w:trHeight w:val="171"/>
        </w:trPr>
        <w:tc>
          <w:tcPr>
            <w:tcW w:w="3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Allocation</w:t>
            </w:r>
          </w:p>
        </w:tc>
      </w:tr>
      <w:tr>
        <w:trPr>
          <w:trHeight w:val="142"/>
        </w:trPr>
        <w:tc>
          <w:tcPr>
            <w:tcW w:w="3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Accounts receivable</w:t>
            </w: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Intangible assets</w:t>
            </w: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Total assets acquired</w:t>
            </w:r>
          </w:p>
        </w:tc>
        <w:tc>
          <w:tcPr>
            <w:tcW w:w="3440" w:type="dxa"/>
            <w:vAlign w:val="bottom"/>
            <w:gridSpan w:val="2"/>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500" w:type="dxa"/>
            <w:vAlign w:val="bottom"/>
            <w:gridSpan w:val="3"/>
          </w:tcPr>
          <w:p>
            <w:pPr>
              <w:jc w:val="right"/>
              <w:ind w:right="2710"/>
              <w:spacing w:after="0"/>
              <w:rPr>
                <w:sz w:val="20"/>
                <w:szCs w:val="20"/>
                <w:color w:val="auto"/>
              </w:rPr>
            </w:pPr>
            <w:r>
              <w:rPr>
                <w:rFonts w:ascii="Arial" w:cs="Arial" w:eastAsia="Arial" w:hAnsi="Arial"/>
                <w:sz w:val="18"/>
                <w:szCs w:val="18"/>
                <w:color w:val="auto"/>
              </w:rPr>
              <w:t>F-24</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purchase price included a promissory note to sellers and contingent consideration related to additional payments that may be made to the selling company subsequent to the acquisition date. The promissory note was due in four semi-annual installments over 24 months from the close of the transaction, and was paid in full during the year ended September 30, 2015. The contingent consideration is calculated based upon the probability weighted present value of expected payments based upon the achievement of specific revenue milestones through both January 1, 2015 and January 1, 2016. A contingent liability of $1.5 million was also recognized for the projected payments. The purchase price allocation resulted in goodwill of $7.1 million which is deductible for tax purposes. Goodwill was allocated to the Home &amp; Garden segment. The values allocated to intangible assets and the weighted average useful lives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7"/>
              </w:rPr>
              <w:t>Carrying</w:t>
            </w:r>
          </w:p>
        </w:tc>
        <w:tc>
          <w:tcPr>
            <w:tcW w:w="2080" w:type="dxa"/>
            <w:vAlign w:val="bottom"/>
          </w:tcPr>
          <w:p>
            <w:pPr>
              <w:jc w:val="center"/>
              <w:ind w:left="819"/>
              <w:spacing w:after="0"/>
              <w:rPr>
                <w:sz w:val="20"/>
                <w:szCs w:val="20"/>
                <w:color w:val="auto"/>
              </w:rPr>
            </w:pPr>
            <w:r>
              <w:rPr>
                <w:rFonts w:ascii="Arial" w:cs="Arial" w:eastAsia="Arial" w:hAnsi="Arial"/>
                <w:sz w:val="14"/>
                <w:szCs w:val="14"/>
                <w:b w:val="1"/>
                <w:bCs w:val="1"/>
                <w:color w:val="auto"/>
                <w:w w:val="90"/>
              </w:rPr>
              <w:t>Weighted Average</w:t>
            </w:r>
          </w:p>
        </w:tc>
      </w:t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80" w:type="dxa"/>
            <w:vAlign w:val="bottom"/>
            <w:tcBorders>
              <w:bottom w:val="single" w:sz="8" w:color="auto"/>
            </w:tcBorders>
          </w:tcPr>
          <w:p>
            <w:pPr>
              <w:jc w:val="center"/>
              <w:ind w:left="819"/>
              <w:spacing w:after="0"/>
              <w:rPr>
                <w:sz w:val="20"/>
                <w:szCs w:val="20"/>
                <w:color w:val="auto"/>
              </w:rPr>
            </w:pPr>
            <w:r>
              <w:rPr>
                <w:rFonts w:ascii="Arial" w:cs="Arial" w:eastAsia="Arial" w:hAnsi="Arial"/>
                <w:sz w:val="14"/>
                <w:szCs w:val="14"/>
                <w:b w:val="1"/>
                <w:bCs w:val="1"/>
                <w:color w:val="auto"/>
                <w:w w:val="92"/>
              </w:rPr>
              <w:t>Useful Life (Years)</w:t>
            </w: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80" w:type="dxa"/>
            <w:vAlign w:val="bottom"/>
            <w:shd w:val="clear" w:color="auto" w:fill="CCEEFF"/>
          </w:tcPr>
          <w:p>
            <w:pPr>
              <w:jc w:val="center"/>
              <w:ind w:left="819"/>
              <w:spacing w:after="0"/>
              <w:rPr>
                <w:sz w:val="20"/>
                <w:szCs w:val="20"/>
                <w:color w:val="auto"/>
              </w:rPr>
            </w:pPr>
            <w:r>
              <w:rPr>
                <w:rFonts w:ascii="Arial" w:cs="Arial" w:eastAsia="Arial" w:hAnsi="Arial"/>
                <w:sz w:val="18"/>
                <w:szCs w:val="18"/>
                <w:color w:val="auto"/>
                <w:w w:val="95"/>
              </w:rPr>
              <w:t>Indefinite</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2080" w:type="dxa"/>
            <w:vAlign w:val="bottom"/>
          </w:tcPr>
          <w:p>
            <w:pPr>
              <w:jc w:val="center"/>
              <w:ind w:left="819"/>
              <w:spacing w:after="0"/>
              <w:rPr>
                <w:sz w:val="20"/>
                <w:szCs w:val="20"/>
                <w:color w:val="auto"/>
              </w:rPr>
            </w:pPr>
            <w:r>
              <w:rPr>
                <w:rFonts w:ascii="Arial" w:cs="Arial" w:eastAsia="Arial" w:hAnsi="Arial"/>
                <w:sz w:val="18"/>
                <w:szCs w:val="18"/>
                <w:color w:val="auto"/>
                <w:w w:val="89"/>
              </w:rPr>
              <w:t>17</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80" w:type="dxa"/>
            <w:vAlign w:val="bottom"/>
            <w:shd w:val="clear" w:color="auto" w:fill="CCEEFF"/>
          </w:tcPr>
          <w:p>
            <w:pPr>
              <w:jc w:val="center"/>
              <w:ind w:left="819"/>
              <w:spacing w:after="0"/>
              <w:rPr>
                <w:sz w:val="20"/>
                <w:szCs w:val="20"/>
                <w:color w:val="auto"/>
              </w:rPr>
            </w:pPr>
            <w:r>
              <w:rPr>
                <w:rFonts w:ascii="Arial" w:cs="Arial" w:eastAsia="Arial" w:hAnsi="Arial"/>
                <w:sz w:val="18"/>
                <w:szCs w:val="18"/>
                <w:color w:val="auto"/>
                <w:w w:val="89"/>
              </w:rPr>
              <w:t>15</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intangibles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8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performed a valuation of the acquired tradenames, technology and customer relationships. The following is a summary of significant inputs to the valuation:</w:t>
      </w:r>
    </w:p>
    <w:p>
      <w:pPr>
        <w:spacing w:after="0" w:line="76" w:lineRule="exact"/>
        <w:rPr>
          <w:sz w:val="20"/>
          <w:szCs w:val="20"/>
          <w:color w:val="auto"/>
        </w:rPr>
      </w:pPr>
    </w:p>
    <w:p>
      <w:pPr>
        <w:jc w:val="both"/>
        <w:ind w:left="900" w:right="80" w:hanging="446"/>
        <w:spacing w:after="0" w:line="302" w:lineRule="auto"/>
        <w:tabs>
          <w:tab w:leader="none" w:pos="9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Tradenames—The Company valued the tradename using an income approach, the relief from royalty method. Under this method, the asset value was determined by estimating the hypothetical royalties that would have to be paid if the trade name was not owned. Royalty rates were selected based on consideration of several factors, including prior transactions, related trademarks and tradenames, other similar trademark licensing and transaction agreements and the relative profitability and perceived contribution of the trademarks and tradenames.</w:t>
      </w:r>
    </w:p>
    <w:p>
      <w:pPr>
        <w:spacing w:after="0" w:line="59" w:lineRule="exact"/>
        <w:rPr>
          <w:rFonts w:ascii="Arial" w:cs="Arial" w:eastAsia="Arial" w:hAnsi="Arial"/>
          <w:sz w:val="16"/>
          <w:szCs w:val="16"/>
          <w:color w:val="auto"/>
        </w:rPr>
      </w:pPr>
    </w:p>
    <w:p>
      <w:pPr>
        <w:ind w:left="900" w:hanging="446"/>
        <w:spacing w:after="0" w:line="273" w:lineRule="auto"/>
        <w:tabs>
          <w:tab w:leader="none" w:pos="90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Technology—The Company valued the technology assets related to formulas and processes using an income approach, the excess earnings method. Under this method, the asset value was determined by estimating the earnings attributable to the technology assets, adjusted for contributory asset charges. In estimating the fair value of the technology, net sales and associated earnings were forecasted and adjusted for a technical obsolescence factor to isolate the forecasted sales and earnings attributable to the acquired technology assets. The forecasted technology earnings were discounted to present value to arrive at the fair value. The useful life was determined by assessing the time period in which substantially all of the discounted cash flows are expected to be generated.</w:t>
      </w:r>
    </w:p>
    <w:p>
      <w:pPr>
        <w:spacing w:after="0" w:line="83" w:lineRule="exact"/>
        <w:rPr>
          <w:rFonts w:ascii="Arial" w:cs="Arial" w:eastAsia="Arial" w:hAnsi="Arial"/>
          <w:sz w:val="17"/>
          <w:szCs w:val="17"/>
          <w:color w:val="auto"/>
        </w:rPr>
      </w:pPr>
    </w:p>
    <w:p>
      <w:pPr>
        <w:ind w:left="900" w:right="100" w:hanging="446"/>
        <w:spacing w:after="0" w:line="259" w:lineRule="auto"/>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Customer relationships—The Company valued customer relationships using the distributor approach. Under this method, the asset value was determined by estimating the hypothetical earnings before interest and taxes (“EBIT”) that a comparable distributor would earn, further adjusted for contributory asset charges. In determining the fair value of the customer relationships, the distributor approach values the intangible asset at the present value of the incremental after-tax cash flows.</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Liquid Fence acquisition was not considered individually significant to the consolidated results of the Company and therefore pro forma results are not presented.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summarizes acquisition and integration related charges incurred by the Company during the years ended September 30, 2015, 2014 and 2013:</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380"/>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Armored AutoGroup</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$21.8</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Salix</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HHI Business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European IAMS and Eukanuba</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54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Tell</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Liquid Fence</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acquisition and integration related charges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58.8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48.4</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4—RESTRUCTURING AND RELATED CHARGES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related charges for the years ended September 30, 2015,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HHI business rationalization initiatives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10.3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Global expense rationalization initiatives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17.1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13.4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Global cost reduction initiatives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restructuring activities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and related charges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28.7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22.9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Reported as:</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goods sold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Operating expense</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26.6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19.2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HHI Business Rationalization Initiatives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fourth quarter of the year ended September 30, 2014, the Company implemented a series of initiatives throughout the Hardware &amp; Home Improvement segment to reduce operating costs and exit low margin business outside the U.S. These initiatives included headcount reductions, the exit of certain facilities and the sale of a portion of the global Hardware &amp; Home Improvement operations. Total costs associated with these initiatives are expected to be approximately $15 million, and are anticipated to be incurred through September 30, 2016. The following is a summary of costs incurred for the years ended September 30, 2015 and 2014 by type and cumulative costs incurred through September 30, 2015. All costs reflected are within the Hardware and Home Improvement segment.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w w:val="90"/>
              </w:rPr>
              <w:t>Benefits</w:t>
            </w:r>
          </w:p>
        </w:tc>
        <w:tc>
          <w:tcPr>
            <w:tcW w:w="1340" w:type="dxa"/>
            <w:vAlign w:val="bottom"/>
          </w:tcPr>
          <w:p>
            <w:pPr>
              <w:jc w:val="right"/>
              <w:ind w:right="378"/>
              <w:spacing w:after="0"/>
              <w:rPr>
                <w:sz w:val="20"/>
                <w:szCs w:val="20"/>
                <w:color w:val="auto"/>
              </w:rPr>
            </w:pPr>
            <w:r>
              <w:rPr>
                <w:rFonts w:ascii="Arial" w:cs="Arial" w:eastAsia="Arial" w:hAnsi="Arial"/>
                <w:sz w:val="14"/>
                <w:szCs w:val="14"/>
                <w:b w:val="1"/>
                <w:bCs w:val="1"/>
                <w:color w:val="auto"/>
              </w:rPr>
              <w:t>Costs</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(in millions)</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For the year ended September 30, 2015</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8"/>
              <w:spacing w:after="0"/>
              <w:rPr>
                <w:sz w:val="20"/>
                <w:szCs w:val="20"/>
                <w:color w:val="auto"/>
              </w:rPr>
            </w:pPr>
            <w:r>
              <w:rPr>
                <w:rFonts w:ascii="Arial" w:cs="Arial" w:eastAsia="Arial" w:hAnsi="Arial"/>
                <w:sz w:val="18"/>
                <w:szCs w:val="18"/>
                <w:color w:val="auto"/>
              </w:rPr>
              <w:t>$ 1.3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$ 1.3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For the year ended September 30, 2015</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(1.5)</w:t>
            </w:r>
          </w:p>
        </w:tc>
        <w:tc>
          <w:tcPr>
            <w:tcW w:w="1340" w:type="dxa"/>
            <w:vAlign w:val="bottom"/>
          </w:tcPr>
          <w:p>
            <w:pPr>
              <w:jc w:val="right"/>
              <w:ind w:right="338"/>
              <w:spacing w:after="0"/>
              <w:rPr>
                <w:sz w:val="20"/>
                <w:szCs w:val="20"/>
                <w:color w:val="auto"/>
              </w:rPr>
            </w:pPr>
            <w:r>
              <w:rPr>
                <w:rFonts w:ascii="Arial" w:cs="Arial" w:eastAsia="Arial" w:hAnsi="Arial"/>
                <w:sz w:val="18"/>
                <w:szCs w:val="18"/>
                <w:color w:val="auto"/>
              </w:rPr>
              <w:t>10.5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 the year ended September 30, 2014</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w:t>
            </w:r>
          </w:p>
        </w:tc>
        <w:tc>
          <w:tcPr>
            <w:tcW w:w="13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Cumulative costs through September 30, 2015</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3.0</w:t>
            </w:r>
          </w:p>
        </w:tc>
        <w:tc>
          <w:tcPr>
            <w:tcW w:w="1340" w:type="dxa"/>
            <w:vAlign w:val="bottom"/>
          </w:tcPr>
          <w:p>
            <w:pPr>
              <w:jc w:val="right"/>
              <w:ind w:right="338"/>
              <w:spacing w:after="0"/>
              <w:rPr>
                <w:sz w:val="20"/>
                <w:szCs w:val="20"/>
                <w:color w:val="auto"/>
              </w:rPr>
            </w:pPr>
            <w:r>
              <w:rPr>
                <w:rFonts w:ascii="Arial" w:cs="Arial" w:eastAsia="Arial" w:hAnsi="Arial"/>
                <w:sz w:val="18"/>
                <w:szCs w:val="18"/>
                <w:color w:val="auto"/>
              </w:rPr>
              <w:t>11.8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rollforward of the restructuring accrual related to the HHI business rationalization initiative for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Termination</w:t>
            </w:r>
          </w:p>
        </w:tc>
        <w:tc>
          <w:tcPr>
            <w:tcW w:w="5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Other</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Benefits</w:t>
            </w:r>
          </w:p>
        </w:tc>
        <w:tc>
          <w:tcPr>
            <w:tcW w:w="5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Costs</w:t>
            </w: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September 30, 2013</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78"/>
              </w:rPr>
              <w:t>$ —</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Provisions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expenditures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Accrual balance at September 30, 2014</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Provisions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1.5</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Cash expenditures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1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Non-cash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Accrual balance at September 30, 2015</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w:t>
            </w:r>
          </w:p>
        </w:tc>
        <w:tc>
          <w:tcPr>
            <w:tcW w:w="7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During the year ended September 30, 2015, the Company recognized $(0.6) million and $10.3 million of termination and other costs related to this initiative as paid.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Expense Rationalization Initiatives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third quarter of the fiscal year ended September 30, 2013, the Company implemented a series of initiatives throughout the Company to reduce operating costs. These initiatives consisted of headcount reductions in the Global Batteries &amp; Appliances and the Global Pet Supplies segments, and within Corporate. Total costs associated with these initiatives are expected to be approximately $46 million, and are anticipated to be incurred through September 30, 2018. The following summarizes costs incurred for the years ended September 30, 2015, 2014, and 2013 by type and cumulative costs incurred through September 30, 2015.</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Pr>
          <w:p>
            <w:pPr>
              <w:jc w:val="right"/>
              <w:ind w:right="315"/>
              <w:spacing w:after="0"/>
              <w:rPr>
                <w:sz w:val="20"/>
                <w:szCs w:val="20"/>
                <w:color w:val="auto"/>
              </w:rPr>
            </w:pPr>
            <w:r>
              <w:rPr>
                <w:rFonts w:ascii="Arial" w:cs="Arial" w:eastAsia="Arial" w:hAnsi="Arial"/>
                <w:sz w:val="14"/>
                <w:szCs w:val="14"/>
                <w:b w:val="1"/>
                <w:bCs w:val="1"/>
                <w:color w:val="auto"/>
              </w:rPr>
              <w:t>Other</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w w:val="90"/>
              </w:rPr>
              <w:t>Benefits</w:t>
            </w:r>
          </w:p>
        </w:tc>
        <w:tc>
          <w:tcPr>
            <w:tcW w:w="1340" w:type="dxa"/>
            <w:vAlign w:val="bottom"/>
          </w:tcPr>
          <w:p>
            <w:pPr>
              <w:jc w:val="right"/>
              <w:ind w:right="335"/>
              <w:spacing w:after="0"/>
              <w:rPr>
                <w:sz w:val="20"/>
                <w:szCs w:val="20"/>
                <w:color w:val="auto"/>
              </w:rPr>
            </w:pPr>
            <w:r>
              <w:rPr>
                <w:rFonts w:ascii="Arial" w:cs="Arial" w:eastAsia="Arial" w:hAnsi="Arial"/>
                <w:sz w:val="14"/>
                <w:szCs w:val="14"/>
                <w:b w:val="1"/>
                <w:bCs w:val="1"/>
                <w:color w:val="auto"/>
              </w:rPr>
              <w:t>Costs</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(in millions)</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For the year ended September 30, 2015</w:t>
            </w:r>
          </w:p>
        </w:tc>
        <w:tc>
          <w:tcPr>
            <w:tcW w:w="2520" w:type="dxa"/>
            <w:vAlign w:val="bottom"/>
            <w:gridSpan w:val="2"/>
          </w:tcPr>
          <w:p>
            <w:pPr>
              <w:ind w:left="24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$ 0.4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 the year ended September 30, 2014</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34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For the year ended September 30, 2013</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For the year ended September 30, 2015</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8.0</w:t>
            </w:r>
          </w:p>
        </w:tc>
        <w:tc>
          <w:tcPr>
            <w:tcW w:w="1340" w:type="dxa"/>
            <w:vAlign w:val="bottom"/>
          </w:tcPr>
          <w:p>
            <w:pPr>
              <w:jc w:val="right"/>
              <w:ind w:right="295"/>
              <w:spacing w:after="0"/>
              <w:rPr>
                <w:sz w:val="20"/>
                <w:szCs w:val="20"/>
                <w:color w:val="auto"/>
              </w:rPr>
            </w:pPr>
            <w:r>
              <w:rPr>
                <w:rFonts w:ascii="Arial" w:cs="Arial" w:eastAsia="Arial" w:hAnsi="Arial"/>
                <w:sz w:val="18"/>
                <w:szCs w:val="18"/>
                <w:color w:val="auto"/>
              </w:rPr>
              <w:t>8.7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 the year ended September 30, 2014</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w:t>
            </w:r>
          </w:p>
        </w:tc>
        <w:tc>
          <w:tcPr>
            <w:tcW w:w="13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For the year ended September 30, 2013</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1340" w:type="dxa"/>
            <w:vAlign w:val="bottom"/>
          </w:tcPr>
          <w:p>
            <w:pPr>
              <w:jc w:val="right"/>
              <w:ind w:right="295"/>
              <w:spacing w:after="0"/>
              <w:rPr>
                <w:sz w:val="20"/>
                <w:szCs w:val="20"/>
                <w:color w:val="auto"/>
              </w:rPr>
            </w:pPr>
            <w:r>
              <w:rPr>
                <w:rFonts w:ascii="Arial" w:cs="Arial" w:eastAsia="Arial" w:hAnsi="Arial"/>
                <w:sz w:val="18"/>
                <w:szCs w:val="18"/>
                <w:color w:val="auto"/>
              </w:rPr>
              <w:t>1.1</w:t>
            </w: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Cumulative costs through September 30, 2015</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25.1</w:t>
            </w:r>
          </w:p>
        </w:tc>
        <w:tc>
          <w:tcPr>
            <w:tcW w:w="13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16.7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365"/>
        </w:trPr>
        <w:tc>
          <w:tcPr>
            <w:tcW w:w="3980" w:type="dxa"/>
            <w:vAlign w:val="bottom"/>
          </w:tcPr>
          <w:p>
            <w:pPr>
              <w:spacing w:after="0"/>
              <w:rPr>
                <w:sz w:val="24"/>
                <w:szCs w:val="24"/>
                <w:color w:val="auto"/>
              </w:rPr>
            </w:pPr>
          </w:p>
        </w:tc>
        <w:tc>
          <w:tcPr>
            <w:tcW w:w="2520" w:type="dxa"/>
            <w:vAlign w:val="bottom"/>
            <w:gridSpan w:val="2"/>
          </w:tcPr>
          <w:p>
            <w:pPr>
              <w:ind w:left="640"/>
              <w:spacing w:after="0"/>
              <w:rPr>
                <w:sz w:val="20"/>
                <w:szCs w:val="20"/>
                <w:color w:val="auto"/>
              </w:rPr>
            </w:pPr>
            <w:r>
              <w:rPr>
                <w:rFonts w:ascii="Arial" w:cs="Arial" w:eastAsia="Arial" w:hAnsi="Arial"/>
                <w:sz w:val="18"/>
                <w:szCs w:val="18"/>
                <w:color w:val="auto"/>
              </w:rPr>
              <w:t>F-27</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summarizes the costs incurred for the years ended September 30, 2015, 2014 and 2013, the cumulative amount incurred to date and total future expected costs to be incurred related to this initiative by reporting segment.</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b w:val="1"/>
                <w:bCs w:val="1"/>
                <w:color w:val="auto"/>
                <w:w w:val="96"/>
              </w:rPr>
              <w:t>Global</w:t>
            </w:r>
          </w:p>
        </w:tc>
        <w:tc>
          <w:tcPr>
            <w:tcW w:w="17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Global Pet</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Batteries &amp;</w:t>
            </w:r>
          </w:p>
        </w:tc>
        <w:tc>
          <w:tcPr>
            <w:tcW w:w="172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Corporate</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Appliances</w:t>
            </w:r>
          </w:p>
        </w:tc>
        <w:tc>
          <w:tcPr>
            <w:tcW w:w="1720" w:type="dxa"/>
            <w:vAlign w:val="bottom"/>
            <w:gridSpan w:val="2"/>
          </w:tcPr>
          <w:p>
            <w:pPr>
              <w:jc w:val="right"/>
              <w:ind w:right="673"/>
              <w:spacing w:after="0"/>
              <w:rPr>
                <w:sz w:val="20"/>
                <w:szCs w:val="20"/>
                <w:color w:val="auto"/>
              </w:rPr>
            </w:pPr>
            <w:r>
              <w:rPr>
                <w:rFonts w:ascii="Arial" w:cs="Arial" w:eastAsia="Arial" w:hAnsi="Arial"/>
                <w:sz w:val="14"/>
                <w:szCs w:val="14"/>
                <w:b w:val="1"/>
                <w:bCs w:val="1"/>
                <w:color w:val="auto"/>
              </w:rPr>
              <w:t>Supplies</w:t>
            </w: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related charges: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For the year ended September 30, 2015</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8.1</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93"/>
              <w:spacing w:after="0"/>
              <w:rPr>
                <w:sz w:val="20"/>
                <w:szCs w:val="20"/>
                <w:color w:val="auto"/>
              </w:rPr>
            </w:pPr>
            <w:r>
              <w:rPr>
                <w:rFonts w:ascii="Arial" w:cs="Arial" w:eastAsia="Arial" w:hAnsi="Arial"/>
                <w:sz w:val="18"/>
                <w:szCs w:val="18"/>
                <w:color w:val="auto"/>
              </w:rPr>
              <w:t>8.7</w:t>
            </w:r>
          </w:p>
        </w:tc>
        <w:tc>
          <w:tcPr>
            <w:tcW w:w="3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 the year ended September 30, 2014</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11.1</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For the year ended September 30, 2013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114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Cumulative costs through September 30, 2015</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29.2</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Future costs to be incurred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0"/>
                <w:szCs w:val="20"/>
                <w:color w:val="auto"/>
              </w:rPr>
            </w:pPr>
          </w:p>
        </w:tc>
        <w:tc>
          <w:tcPr>
            <w:tcW w:w="1140" w:type="dxa"/>
            <w:vAlign w:val="bottom"/>
          </w:tcPr>
          <w:p>
            <w:pPr>
              <w:jc w:val="right"/>
              <w:ind w:right="593"/>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0"/>
                <w:szCs w:val="20"/>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rollforward of the restructuring accrual related to the global expense rationalization initiative for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480" w:type="dxa"/>
            <w:vAlign w:val="bottom"/>
          </w:tcPr>
          <w:p>
            <w:pPr>
              <w:spacing w:after="0"/>
              <w:rPr>
                <w:sz w:val="14"/>
                <w:szCs w:val="14"/>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Costs</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Benefits</w:t>
            </w:r>
          </w:p>
        </w:tc>
        <w:tc>
          <w:tcPr>
            <w:tcW w:w="48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September 30, 2013</w:t>
            </w:r>
          </w:p>
        </w:tc>
        <w:tc>
          <w:tcPr>
            <w:tcW w:w="16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$ 7.3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Provisions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1.5</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expenditures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Non-cash items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(0.1)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September 30, 2014</w:t>
            </w:r>
          </w:p>
        </w:tc>
        <w:tc>
          <w:tcPr>
            <w:tcW w:w="1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Provisions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2.4</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expenditures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Non-cash items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September 30, 2015</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$ 5.1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During the year ended September 30, 2015, the Company recognized $2.5 million and $6.3 million of termination and other costs, respectively, as they were paid. During the year ended September 30, 2014, the Company recognized $3.0 million and $5.4 million of termination benefits and other costs, respectively, as they were paid.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Cost Reduction Initiatives</w:t>
      </w:r>
    </w:p>
    <w:p>
      <w:pPr>
        <w:spacing w:after="0" w:line="117" w:lineRule="exact"/>
        <w:rPr>
          <w:sz w:val="20"/>
          <w:szCs w:val="20"/>
          <w:color w:val="auto"/>
        </w:rPr>
      </w:pPr>
    </w:p>
    <w:p>
      <w:pPr>
        <w:ind w:right="340" w:firstLine="456"/>
        <w:spacing w:after="0" w:line="297" w:lineRule="auto"/>
        <w:rPr>
          <w:sz w:val="20"/>
          <w:szCs w:val="20"/>
          <w:color w:val="auto"/>
        </w:rPr>
      </w:pPr>
      <w:r>
        <w:rPr>
          <w:rFonts w:ascii="Arial" w:cs="Arial" w:eastAsia="Arial" w:hAnsi="Arial"/>
          <w:sz w:val="16"/>
          <w:szCs w:val="16"/>
          <w:color w:val="auto"/>
        </w:rPr>
        <w:t>During the year ended September 30, 2009, the Company implemented a series of initiatives within the Global Batteries &amp; Appliances, Global Pet Supplies and Home and Garden segments to reduce operating costs, and to evaluate opportunities to improve the Company’s capital structure. These initiatives included headcount reductions and the exit of certain facilities within each of these segments as well as consultation, legal and accounting fees related to the evaluation of the Company’s capital structure all of which were completed during the year ended September 30, 2015. The following summarizes costs incurred for the years ended September 30, 2015, 2014 and 2013 by type and cumulative costs incurred through September 30, 2015.</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60" w:right="29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Termination</w:t>
            </w:r>
          </w:p>
        </w:tc>
        <w:tc>
          <w:tcPr>
            <w:tcW w:w="1400" w:type="dxa"/>
            <w:vAlign w:val="bottom"/>
          </w:tcPr>
          <w:p>
            <w:pPr>
              <w:jc w:val="right"/>
              <w:ind w:right="355"/>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w w:val="90"/>
              </w:rPr>
              <w:t>Benefits</w:t>
            </w:r>
          </w:p>
        </w:tc>
        <w:tc>
          <w:tcPr>
            <w:tcW w:w="1400" w:type="dxa"/>
            <w:vAlign w:val="bottom"/>
          </w:tcPr>
          <w:p>
            <w:pPr>
              <w:jc w:val="right"/>
              <w:ind w:right="375"/>
              <w:spacing w:after="0"/>
              <w:rPr>
                <w:sz w:val="20"/>
                <w:szCs w:val="20"/>
                <w:color w:val="auto"/>
              </w:rPr>
            </w:pPr>
            <w:r>
              <w:rPr>
                <w:rFonts w:ascii="Arial" w:cs="Arial" w:eastAsia="Arial" w:hAnsi="Arial"/>
                <w:sz w:val="14"/>
                <w:szCs w:val="14"/>
                <w:b w:val="1"/>
                <w:bCs w:val="1"/>
                <w:color w:val="auto"/>
              </w:rPr>
              <w:t>Costs</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(in millions)</w:t>
            </w: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For the year ended September 30, 2015</w:t>
            </w:r>
          </w:p>
        </w:tc>
        <w:tc>
          <w:tcPr>
            <w:tcW w:w="1540" w:type="dxa"/>
            <w:vAlign w:val="bottom"/>
            <w:gridSpan w:val="2"/>
          </w:tcPr>
          <w:p>
            <w:pPr>
              <w:ind w:left="14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5"/>
              <w:spacing w:after="0"/>
              <w:rPr>
                <w:sz w:val="20"/>
                <w:szCs w:val="20"/>
                <w:color w:val="auto"/>
              </w:rPr>
            </w:pPr>
            <w:r>
              <w:rPr>
                <w:rFonts w:ascii="Arial" w:cs="Arial" w:eastAsia="Arial" w:hAnsi="Arial"/>
                <w:sz w:val="18"/>
                <w:szCs w:val="18"/>
                <w:color w:val="auto"/>
              </w:rPr>
              <w:t>$ 0.4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  0.4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 the year ended September 30, 2014</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0.1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For the year ended September 30, 2013</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1400" w:type="dxa"/>
            <w:vAlign w:val="bottom"/>
          </w:tcPr>
          <w:p>
            <w:pPr>
              <w:jc w:val="right"/>
              <w:ind w:right="335"/>
              <w:spacing w:after="0"/>
              <w:rPr>
                <w:sz w:val="20"/>
                <w:szCs w:val="20"/>
                <w:color w:val="auto"/>
              </w:rPr>
            </w:pPr>
            <w:r>
              <w:rPr>
                <w:rFonts w:ascii="Arial" w:cs="Arial" w:eastAsia="Arial" w:hAnsi="Arial"/>
                <w:sz w:val="18"/>
                <w:szCs w:val="18"/>
                <w:color w:val="auto"/>
              </w:rPr>
              <w:t>3.3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For the year ended September 30, 2015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0.1</w:t>
            </w:r>
          </w:p>
        </w:tc>
        <w:tc>
          <w:tcPr>
            <w:tcW w:w="1400" w:type="dxa"/>
            <w:vAlign w:val="bottom"/>
          </w:tcPr>
          <w:p>
            <w:pPr>
              <w:jc w:val="right"/>
              <w:ind w:right="335"/>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 the year ended September 30, 2014</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0.2</w:t>
            </w:r>
          </w:p>
        </w:tc>
        <w:tc>
          <w:tcPr>
            <w:tcW w:w="14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For the year ended September 30, 2013</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6.4</w:t>
            </w:r>
          </w:p>
        </w:tc>
        <w:tc>
          <w:tcPr>
            <w:tcW w:w="1400" w:type="dxa"/>
            <w:vAlign w:val="bottom"/>
          </w:tcPr>
          <w:p>
            <w:pPr>
              <w:jc w:val="right"/>
              <w:ind w:right="335"/>
              <w:spacing w:after="0"/>
              <w:rPr>
                <w:sz w:val="20"/>
                <w:szCs w:val="20"/>
                <w:color w:val="auto"/>
              </w:rPr>
            </w:pPr>
            <w:r>
              <w:rPr>
                <w:rFonts w:ascii="Arial" w:cs="Arial" w:eastAsia="Arial" w:hAnsi="Arial"/>
                <w:sz w:val="18"/>
                <w:szCs w:val="18"/>
                <w:color w:val="auto"/>
              </w:rPr>
              <w:t>6.5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Cumulative costs through September 30, 2015</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38.4</w:t>
            </w:r>
          </w:p>
        </w:tc>
        <w:tc>
          <w:tcPr>
            <w:tcW w:w="14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63.4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summarizes the costs incurred for the years ended September 30, 2015, 2014 and 2013, and the cumulative amount incurred through September 30, 2015 by reporting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Global</w:t>
            </w:r>
          </w:p>
        </w:tc>
        <w:tc>
          <w:tcPr>
            <w:tcW w:w="12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Global Pet</w:t>
            </w:r>
          </w:p>
        </w:tc>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Home and</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Batteries &amp;</w:t>
            </w:r>
          </w:p>
        </w:tc>
        <w:tc>
          <w:tcPr>
            <w:tcW w:w="120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Corporate</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Appliances</w:t>
            </w: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Supplies</w:t>
            </w:r>
          </w:p>
        </w:tc>
        <w:tc>
          <w:tcPr>
            <w:tcW w:w="480" w:type="dxa"/>
            <w:vAlign w:val="bottom"/>
          </w:tcPr>
          <w:p>
            <w:pPr>
              <w:spacing w:after="0"/>
              <w:rPr>
                <w:sz w:val="14"/>
                <w:szCs w:val="1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w w:val="89"/>
              </w:rPr>
              <w:t>Garden</w:t>
            </w:r>
          </w:p>
        </w:tc>
        <w:tc>
          <w:tcPr>
            <w:tcW w:w="12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294"/>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related charges: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For the year ended September 30,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0.4</w:t>
            </w: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0.8</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 the year ended September 30, 2014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0.1</w:t>
            </w: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For the year ended September 30, 2013</w:t>
            </w:r>
          </w:p>
        </w:tc>
        <w:tc>
          <w:tcPr>
            <w:tcW w:w="120" w:type="dxa"/>
            <w:vAlign w:val="bottom"/>
          </w:tcPr>
          <w:p>
            <w:pPr>
              <w:spacing w:after="0"/>
              <w:rPr>
                <w:sz w:val="18"/>
                <w:szCs w:val="18"/>
                <w:color w:val="auto"/>
              </w:rPr>
            </w:pP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4.6</w:t>
            </w: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11.2</w:t>
            </w:r>
          </w:p>
        </w:tc>
        <w:tc>
          <w:tcPr>
            <w:tcW w:w="480" w:type="dxa"/>
            <w:vAlign w:val="bottom"/>
          </w:tcPr>
          <w:p>
            <w:pPr>
              <w:spacing w:after="0"/>
              <w:rPr>
                <w:sz w:val="18"/>
                <w:szCs w:val="18"/>
                <w:color w:val="auto"/>
              </w:rPr>
            </w:pP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Cumulative costs as of September 30, 2015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25.8</w:t>
            </w: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50.2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18.2</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a rollforward of the restructuring accrual related to the global cost reduction initiative for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500" w:type="dxa"/>
            <w:vAlign w:val="bottom"/>
          </w:tcPr>
          <w:p>
            <w:pPr>
              <w:spacing w:after="0"/>
              <w:rPr>
                <w:sz w:val="14"/>
                <w:szCs w:val="14"/>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Benefits</w:t>
            </w:r>
          </w:p>
        </w:tc>
        <w:tc>
          <w:tcPr>
            <w:tcW w:w="500" w:type="dxa"/>
            <w:vAlign w:val="bottom"/>
          </w:tcPr>
          <w:p>
            <w:pPr>
              <w:spacing w:after="0"/>
              <w:rPr>
                <w:sz w:val="14"/>
                <w:szCs w:val="14"/>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Costs</w:t>
            </w: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September 30,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6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$ 0.4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$ 5.3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Provisions</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expenditures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Non-cash items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600" w:type="dxa"/>
            <w:vAlign w:val="bottom"/>
            <w:gridSpan w:val="3"/>
          </w:tcPr>
          <w:p>
            <w:pPr>
              <w:jc w:val="right"/>
              <w:ind w:right="700"/>
              <w:spacing w:after="0"/>
              <w:rPr>
                <w:sz w:val="20"/>
                <w:szCs w:val="20"/>
                <w:color w:val="auto"/>
              </w:rPr>
            </w:pPr>
            <w:r>
              <w:rPr>
                <w:rFonts w:ascii="Arial" w:cs="Arial" w:eastAsia="Arial" w:hAnsi="Arial"/>
                <w:sz w:val="18"/>
                <w:szCs w:val="18"/>
                <w:color w:val="auto"/>
              </w:rPr>
              <w:t>0.5</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September 30, 2014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6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0.2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Provisions</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expenditures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Non-cash items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600" w:type="dxa"/>
            <w:vAlign w:val="bottom"/>
            <w:gridSpan w:val="3"/>
          </w:tcPr>
          <w:p>
            <w:pPr>
              <w:jc w:val="right"/>
              <w:ind w:right="700"/>
              <w:spacing w:after="0"/>
              <w:rPr>
                <w:sz w:val="20"/>
                <w:szCs w:val="20"/>
                <w:color w:val="auto"/>
              </w:rPr>
            </w:pPr>
            <w:r>
              <w:rPr>
                <w:rFonts w:ascii="Arial" w:cs="Arial" w:eastAsia="Arial" w:hAnsi="Arial"/>
                <w:sz w:val="18"/>
                <w:szCs w:val="18"/>
                <w:color w:val="auto"/>
              </w:rPr>
              <w:t>0.1</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September 30, 2015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6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$ 0.1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$ 0.3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During the year ended September 30, 2015, the Company recognized $1.1 million of other costs related to this initiative as they were paid. During the year ended September 30, 2014, the Company recognized $1.1 million of other costs related to this initiative as they were paid.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fair values of the Company’s financial assets and liabilities are defined as the exchange price that would be received for an asset or paid to transfer a liability (an exit price) in the principal or most advantageous market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asset or liability in an orderly transaction between market participants. Fair value measurements are classified using a fair value hierarchy that is based upon the observability of inputs used in measuring fair value. Observable inputs (highest level) reflect market data obtained from independent sources, while unobservable inputs (lowest level) reflect internally developed assumptions about hypothetical transactions in the absent of market data. Fair value measurements are classified under the following hierarchy:</w:t>
      </w:r>
    </w:p>
    <w:p>
      <w:pPr>
        <w:spacing w:after="0" w:line="92" w:lineRule="exact"/>
        <w:rPr>
          <w:sz w:val="20"/>
          <w:szCs w:val="20"/>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Level 1—Unadjusted quoted prices for identical instruments in active markets.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Level 3—Significant inputs to the valuation model are unobservable.</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utilizes valuation techniques that attempt to maximize the use of observable inputs and minimize the use of unobservable inputs. The Company’s derivatives are valued on a recurring basis using internal models, which are based on market observable inputs including interest rate curves and both forward and spot prices for currencies and commodities, which are generally based on quoted or observed market prices (Level 2). The fair value of certain derivative financial instruments is estimated using pricing models based on contracts with similar terms and risks. Modeling techniques assume market correlation and volatility, such as using prices of one delivery point to calculate the price of the contract’s different delivery point. The nominal value of interest rate transactions is discounted using applicable forward interest rate curves. In addition, by applying a credit reserve which is calculated based on credit default swaps or published default probabilities for the actual and potential asset value, the fair value of the Company’s derivative financial instrument assets reflects the risk that the counterparties to these contracts may default on the obligations. Likewise, by assessing the requirements of a reserve for non-performance which is calculated based on the probability of default by the Company, the Company adjusts its derivative contract liabilities to reflect the price at which a potential market participant would be willing to assume the Company’s liabilities. The Company has not changed the valuation techniques used in measuring the fair value of any financial assets and liabilities during the year. The fair values of derivative instruments as of September 30, 2015 and 2014 are as follows (See Note 11, “Derivatives” for additional detail):</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Carrying</w:t>
            </w:r>
          </w:p>
        </w:tc>
        <w:tc>
          <w:tcPr>
            <w:tcW w:w="132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95"/>
              </w:rPr>
              <w:t>Fair Value</w:t>
            </w:r>
          </w:p>
        </w:tc>
        <w:tc>
          <w:tcPr>
            <w:tcW w:w="76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4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8"/>
              </w:rPr>
              <w:t>Amount</w:t>
            </w:r>
          </w:p>
        </w:tc>
        <w:tc>
          <w:tcPr>
            <w:tcW w:w="13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8"/>
              </w:rPr>
              <w:t>Amount</w:t>
            </w: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2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24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860" w:type="dxa"/>
            <w:vAlign w:val="bottom"/>
          </w:tcPr>
          <w:p>
            <w:pPr>
              <w:ind w:left="6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carrying values of cash and cash equivalents, receivables, accounts payable and short term debt approximate fair value based on the short-term nature of these assets and liabilities. The carrying values of goodwill, intangible assets and other long-lived assets are tested annually or more frequently if an event occurs that indicates an impairment loss may have been incurred, using fair value measurements with unobservable inputs (Level 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values and estimated fair values for debt as of September 30, 2015 and 2014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jc w:val="center"/>
              <w:ind w:right="390"/>
              <w:spacing w:after="0" w:line="119" w:lineRule="exact"/>
              <w:rPr>
                <w:sz w:val="20"/>
                <w:szCs w:val="20"/>
                <w:color w:val="auto"/>
              </w:rPr>
            </w:pPr>
            <w:r>
              <w:rPr>
                <w:rFonts w:ascii="Arial" w:cs="Arial" w:eastAsia="Arial" w:hAnsi="Arial"/>
                <w:sz w:val="13"/>
                <w:szCs w:val="13"/>
                <w:b w:val="1"/>
                <w:bCs w:val="1"/>
                <w:color w:val="auto"/>
              </w:rPr>
              <w:t>Carrying</w:t>
            </w: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2"/>
              </w:rPr>
              <w:t>Fair Value</w:t>
            </w:r>
          </w:p>
        </w:tc>
        <w:tc>
          <w:tcPr>
            <w:tcW w:w="5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2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jc w:val="center"/>
              <w:ind w:right="41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rPr>
              <w:t>(in millions)</w:t>
            </w: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debt—SB/RH Holdings, LLC</w:t>
            </w:r>
          </w:p>
        </w:tc>
        <w:tc>
          <w:tcPr>
            <w:tcW w:w="2960" w:type="dxa"/>
            <w:vAlign w:val="bottom"/>
            <w:gridSpan w:val="2"/>
            <w:shd w:val="clear" w:color="auto" w:fill="CCEEFF"/>
          </w:tcPr>
          <w:p>
            <w:pPr>
              <w:jc w:val="center"/>
              <w:ind w:left="1310"/>
              <w:spacing w:after="0"/>
              <w:rPr>
                <w:sz w:val="20"/>
                <w:szCs w:val="20"/>
                <w:color w:val="auto"/>
              </w:rPr>
            </w:pPr>
            <w:r>
              <w:rPr>
                <w:rFonts w:ascii="Arial" w:cs="Arial" w:eastAsia="Arial" w:hAnsi="Arial"/>
                <w:sz w:val="18"/>
                <w:szCs w:val="18"/>
                <w:color w:val="auto"/>
                <w:w w:val="91"/>
              </w:rPr>
              <w:t>$4,005.7</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$ 4,120.5</w:t>
            </w:r>
          </w:p>
        </w:tc>
        <w:tc>
          <w:tcPr>
            <w:tcW w:w="120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8"/>
              </w:rPr>
              <w:t>$3,006.7</w:t>
            </w:r>
          </w:p>
        </w:tc>
        <w:tc>
          <w:tcPr>
            <w:tcW w:w="1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2"/>
              </w:rPr>
              <w:t>$ 3,077.4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fair value measurements of the Company’s debt represent non-active market exchange-traded securities which are valued at quoted input prices that are directly observable or indirectly observable through corroboration with observable market data (Level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6—INVENTORY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September 30, 2015 and 2014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5"/>
          </w:tcPr>
          <w:p>
            <w:pPr>
              <w:jc w:val="right"/>
              <w:ind w:right="44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Work-in-process</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37.9</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780.8</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7—PROPERTY, PLANT AND EQUIPMENT</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ind w:left="460"/>
              <w:spacing w:after="0"/>
              <w:rPr>
                <w:sz w:val="20"/>
                <w:szCs w:val="20"/>
                <w:color w:val="auto"/>
              </w:rPr>
            </w:pPr>
            <w:r>
              <w:rPr>
                <w:rFonts w:ascii="Arial" w:cs="Arial" w:eastAsia="Arial" w:hAnsi="Arial"/>
                <w:sz w:val="18"/>
                <w:szCs w:val="18"/>
                <w:color w:val="auto"/>
                <w:w w:val="98"/>
              </w:rPr>
              <w:t>Property, plant and equipment as of September 30, 2015 and 2014 consist of the following:</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1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4"/>
                <w:szCs w:val="24"/>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5"/>
          </w:tcPr>
          <w:p>
            <w:pPr>
              <w:jc w:val="right"/>
              <w:ind w:right="41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improvements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$ 190.9</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Machinery, equipment and other</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491.9</w:t>
            </w:r>
          </w:p>
        </w:tc>
        <w:tc>
          <w:tcPr>
            <w:tcW w:w="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Capitalized leases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$ 831.9</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(324.8)</w:t>
            </w: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$ 507.1</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40" w:type="dxa"/>
            <w:vAlign w:val="bottom"/>
            <w:vMerge w:val="restart"/>
          </w:tcPr>
          <w:p>
            <w:pPr>
              <w:ind w:left="4160"/>
              <w:spacing w:after="0"/>
              <w:rPr>
                <w:sz w:val="20"/>
                <w:szCs w:val="20"/>
                <w:color w:val="auto"/>
              </w:rPr>
            </w:pPr>
            <w:r>
              <w:rPr>
                <w:rFonts w:ascii="Arial" w:cs="Arial" w:eastAsia="Arial" w:hAnsi="Arial"/>
                <w:sz w:val="18"/>
                <w:szCs w:val="18"/>
                <w:color w:val="auto"/>
              </w:rPr>
              <w:t>F-31</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 AND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by reporting segment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Global Batteries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Hardware &amp;</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Global Pet</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Home</w:t>
            </w:r>
          </w:p>
        </w:tc>
        <w:tc>
          <w:tcPr>
            <w:tcW w:w="200" w:type="dxa"/>
            <w:vAlign w:val="bottom"/>
          </w:tcPr>
          <w:p>
            <w:pPr>
              <w:spacing w:after="0"/>
              <w:rPr>
                <w:sz w:val="14"/>
                <w:szCs w:val="14"/>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Global</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Home</w:t>
            </w:r>
          </w:p>
        </w:tc>
        <w:tc>
          <w:tcPr>
            <w:tcW w:w="1080" w:type="dxa"/>
            <w:vAlign w:val="bottom"/>
            <w:gridSpan w:val="3"/>
            <w:vMerge w:val="continue"/>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Auto</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&amp; Appliances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Improvement</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Supplies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Garden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Care</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2013</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239.1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Liquid Fence acquisition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Foreign currency impact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AAG acquisition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933.2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European IAMS and Eukanuba acquisition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Salix acquisition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71.5</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Tell Manufacturing acquisition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Foreign currency impact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2015</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932.6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Definite-lived intangible assets as of September 30, 2015 and 2014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5"/>
              </w:rPr>
              <w:t>Gross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Gross</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gridSpan w:val="3"/>
            <w:vMerge w:val="continue"/>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3"/>
            <w:vMerge w:val="continue"/>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920" w:type="dxa"/>
            <w:vAlign w:val="bottom"/>
            <w:gridSpan w:val="2"/>
            <w:vMerge w:val="continue"/>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(247.4)</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$737.8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Technology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238.6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(78.1)</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160.5</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192.2</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(57.6)</w:t>
            </w:r>
          </w:p>
        </w:tc>
        <w:tc>
          <w:tcPr>
            <w:tcW w:w="50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1,389.2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990.0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1,240.4</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Certain trade names intangible assets have an indefinite life and are not amortized. The balance of trade names not subject to amortization was $1,490.3 million and $1,174.3 million as of September 30, 2015 and 2014. There was no impairment loss on indefinite-lived trade names for the years ended September 30, 2015, 2014 or 2013.</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Amortization expense from intangible assets for the years ended September 30, 2015, 2014 and 2013 was $87.8 million, $81.7 million and $77.8 million, respectively. Excluding the impact of any future acquisitions or changes in foreign currency, the Company anticipates the annual amortization for each of the next five years to be the following:</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5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20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2016</w:t>
            </w:r>
          </w:p>
        </w:tc>
        <w:tc>
          <w:tcPr>
            <w:tcW w:w="51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jc w:val="right"/>
              <w:ind w:right="1590"/>
              <w:spacing w:after="0"/>
              <w:rPr>
                <w:sz w:val="20"/>
                <w:szCs w:val="20"/>
                <w:color w:val="auto"/>
              </w:rPr>
            </w:pPr>
            <w:r>
              <w:rPr>
                <w:rFonts w:ascii="Arial" w:cs="Arial" w:eastAsia="Arial" w:hAnsi="Arial"/>
                <w:sz w:val="18"/>
                <w:szCs w:val="18"/>
                <w:color w:val="auto"/>
                <w:w w:val="84"/>
              </w:rPr>
              <w:t>2017</w:t>
            </w: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2018</w:t>
            </w:r>
          </w:p>
        </w:tc>
        <w:tc>
          <w:tcPr>
            <w:tcW w:w="4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jc w:val="right"/>
              <w:ind w:right="1590"/>
              <w:spacing w:after="0"/>
              <w:rPr>
                <w:sz w:val="20"/>
                <w:szCs w:val="20"/>
                <w:color w:val="auto"/>
              </w:rPr>
            </w:pPr>
            <w:r>
              <w:rPr>
                <w:rFonts w:ascii="Arial" w:cs="Arial" w:eastAsia="Arial" w:hAnsi="Arial"/>
                <w:sz w:val="18"/>
                <w:szCs w:val="18"/>
                <w:color w:val="auto"/>
                <w:w w:val="84"/>
              </w:rPr>
              <w:t>2019</w:t>
            </w: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2020</w:t>
            </w:r>
          </w:p>
        </w:tc>
        <w:tc>
          <w:tcPr>
            <w:tcW w:w="4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r>
      <w:tr>
        <w:trPr>
          <w:trHeight w:val="365"/>
        </w:trPr>
        <w:tc>
          <w:tcPr>
            <w:tcW w:w="2040" w:type="dxa"/>
            <w:vAlign w:val="bottom"/>
          </w:tcPr>
          <w:p>
            <w:pPr>
              <w:spacing w:after="0"/>
              <w:rPr>
                <w:sz w:val="24"/>
                <w:szCs w:val="24"/>
                <w:color w:val="auto"/>
              </w:rPr>
            </w:pPr>
          </w:p>
        </w:tc>
        <w:tc>
          <w:tcPr>
            <w:tcW w:w="5100" w:type="dxa"/>
            <w:vAlign w:val="bottom"/>
            <w:gridSpan w:val="2"/>
          </w:tcPr>
          <w:p>
            <w:pPr>
              <w:jc w:val="right"/>
              <w:ind w:right="3028"/>
              <w:spacing w:after="0"/>
              <w:rPr>
                <w:sz w:val="20"/>
                <w:szCs w:val="20"/>
                <w:color w:val="auto"/>
              </w:rPr>
            </w:pPr>
            <w:r>
              <w:rPr>
                <w:rFonts w:ascii="Arial" w:cs="Arial" w:eastAsia="Arial" w:hAnsi="Arial"/>
                <w:sz w:val="18"/>
                <w:szCs w:val="18"/>
                <w:color w:val="auto"/>
              </w:rPr>
              <w:t>F-32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as of September 30, 2015 and 2014 consists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SB/RH Holdings, LLC</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Amount</w:t>
            </w:r>
          </w:p>
        </w:tc>
        <w:tc>
          <w:tcPr>
            <w:tcW w:w="4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92"/>
              </w:rPr>
              <w:t>Rate</w:t>
            </w: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85"/>
              </w:rPr>
              <w:t>Rate</w:t>
            </w: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right"/>
              <w:ind w:right="880"/>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Term loan, variable rate, due June 23, 2022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9"/>
              </w:rPr>
              <w:t>$1,226.9</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6"/>
                <w:szCs w:val="16"/>
                <w:color w:val="auto"/>
              </w:rPr>
              <w:t>Term loan, variable rate, due September 4, 2017 (Tranche A)</w:t>
            </w: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648.4</w:t>
            </w:r>
          </w:p>
        </w:tc>
        <w:tc>
          <w:tcPr>
            <w:tcW w:w="4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Term loan, variable rate, due September 4, 2019 (Tranche C)</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6"/>
                <w:szCs w:val="16"/>
                <w:color w:val="auto"/>
              </w:rPr>
              <w:t>CAD Term Loan, variable rate, due June 23, 2022</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55.7</w:t>
            </w: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CAD Term Loan, variable rate, due December 17, 2019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6"/>
                <w:szCs w:val="16"/>
                <w:color w:val="auto"/>
              </w:rPr>
              <w:t>Euro Term Loan, variable rate, due June 23, 2022</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255.8</w:t>
            </w: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Euro Term Loan, variable rate, due September 4, 2019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6"/>
                <w:szCs w:val="16"/>
                <w:color w:val="auto"/>
              </w:rPr>
              <w:t>5.75% Notes, due July 15, 2025</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1,000.0</w:t>
            </w: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6.125% Notes, due December 15, 2024</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6"/>
                <w:szCs w:val="16"/>
                <w:color w:val="auto"/>
              </w:rPr>
              <w:t>6.375% Notes, due November 15, 2020</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520.0</w:t>
            </w: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520.0</w:t>
            </w:r>
          </w:p>
        </w:tc>
        <w:tc>
          <w:tcPr>
            <w:tcW w:w="4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6.4%</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6.625% Notes, due November 15, 2022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570.0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6"/>
                <w:szCs w:val="16"/>
                <w:color w:val="auto"/>
              </w:rPr>
              <w:t>6.75% Notes, due March 15, 2020</w:t>
            </w: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300.0</w:t>
            </w:r>
          </w:p>
        </w:tc>
        <w:tc>
          <w:tcPr>
            <w:tcW w:w="4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6.8%</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Revolver Facility, variable rate, expiring June 23, 2020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6"/>
                <w:szCs w:val="16"/>
                <w:color w:val="auto"/>
              </w:rPr>
              <w:t>Other notes and obligations</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45.9</w:t>
            </w: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52.4</w:t>
            </w:r>
          </w:p>
        </w:tc>
        <w:tc>
          <w:tcPr>
            <w:tcW w:w="4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6.7%</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Obligations under capital leases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r>
      <w:tr>
        <w:trPr>
          <w:trHeight w:val="204"/>
        </w:trPr>
        <w:tc>
          <w:tcPr>
            <w:tcW w:w="702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4,012.5</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3,012.9</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Unamortized discount on debt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6"/>
                <w:szCs w:val="16"/>
                <w:color w:val="auto"/>
              </w:rPr>
              <w:t>Less current portion</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(68.5)</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(112.6)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3,937.2</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2,894.1</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held by SB/RH includes a loan with SBH of $34.7 million and $15.8 million as of September 30, 2015 and 2014, respectively.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aggregate scheduled maturities of debt and capital lease obligations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6"/>
              </w:rPr>
              <w:t>SB/RH Holdings, LLC</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Capital Lease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Obligations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3,801.3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3,857.8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3,924.3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4,012.5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 and Revolver Facility</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June 23, 2015, SBI entered into term loan facilities pursuant to a Senior Credit Agreement consisting of (i) a $1,450 million USD Term Loan due June 23, 2022, (ii) a $75 million CAD Term Loan due June 23, 2022 and (iii) a €300 million Euro Term Loan due June 23, 2022, (collectively, “Term Loans”) and (iv) entered into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$500 million Revolver Facility due June 23, 2020 (the “Revolver”). The proceeds from the Term Loans and draws on the Revolver were used to repay SBI’s then-existing senior term credit facility, repay SBI’s outstanding 6.75% senior unsecured notes due 2020, repay and replace SBI’s then-existing asset based revolving loan facility, and to pay fees and expenses in connection with the refinancing and for general corporate purposes.</w:t>
      </w:r>
    </w:p>
    <w:p>
      <w:pPr>
        <w:spacing w:after="0" w:line="16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Term Loans and Revolver are subject to variable interest rates, (i) the USD Term Loan is subject to either adjusted LIBOR (International Exchange London Interbank Offered Rate), subject to a 0.75% floor, plus 3.0% per annum, or base rate plus 2.0% per annum, (ii) the CAD Term Loan is subject to either CDOR (Canadian Dollar Offered Rate), subject to a 0.75% floor plus 3.5% per annum, or base rate plus 2.5% per annum, (iii) the Euro Term Loan is subject to either EURIBOR (Euro Interbank Offered Rate), subject to a 0.75% floor, plus 2.75% per annum, with no base rate option available and (iv) the Revolver is subject to either adjusted LIBOR plus 3.0% per annum, or base rate plus 2.0% per annum.</w:t>
      </w:r>
    </w:p>
    <w:p>
      <w:pPr>
        <w:spacing w:after="0" w:line="1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Subject to certain mandatory prepayment events, the Term Loans are subject to repayment according to scheduled amortizations, with the final payments of all amounts outstanding, plus accrued and unpaid interest, due at maturity. The Senior Credit Agreement contains customary affirmative and negative covenants, including, but not limited to, restrictions on SBI and its restricted subsidiaries’ ability to incur indebtedness, create liens, make investments, pay dividends or make certain other distributions, and merge or consolidate or sell assets, in each case subject to certain exceptions set forth in the Senior Credit Agreement. Additionally, the Senior Credit Agreement, solely with respect to the Revolver Facility, contains a financial covenant on the maximum net total leverage ratio that is tested on the last day of each fiscal quarter commencing with the fiscal quarter ended September 30, 2015. The Company was in compliance with all covenants as of September 30, 2015.</w:t>
      </w:r>
    </w:p>
    <w:p>
      <w:pPr>
        <w:spacing w:after="0" w:line="17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Pursuant to a guarantee agreement, SB/RH and the material wholly-owned domestic subsidiaries of SBI have guaranteed SBI’s obligations under the Senior Credit Agreement and related loan documents. Pursuant to a security agreement, SBI and such subsidiary guarantors have pledged substantially all of their respective assets to secure such obligations and, in addition, SB/RH has pledged the capital stock of SBI to secure such obligations. The Senior Credit Agreement also provides for customary events of default including payment defaults and cross-defaults to other material indebtedness.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Loans were issued net of a $5.1 million discount, which is amortized with a corresponding charge to interest expense over the remaining life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loans. The Company incurred $18.5 million of debt issuance costs of which $8.1 million was capitalized as debt issuance costs and the remainder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$10.4 million was recognized as interest expense during the year ended September 30, 2015. The Company recognized accelerated amortization of portions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unamortized discount and unamortized debt issuance costs related to the then-existing Term Loans of $7.7 million.</w:t>
      </w:r>
    </w:p>
    <w:p>
      <w:pPr>
        <w:spacing w:after="0" w:line="21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connection with the new Revolver Facility, the Company incurred $5.7 million of fees that were capitalized as debt issuance costs and are being amortized over the remaining life of the Revolver Facility. The Company recorded accelerated amortization of portions of the unamortized debt issuance costs related to the refinancing of the previous revolver facility totaling $1.1 million as an increase to interest expense during the year ended September 30, 2015. As of September 30, 2015, the Company had aggregate borrowing availability of $467.3 million, net of outstanding letters of credit of $32.7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5.75% Notes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On May 20, 2015, in connection with the acquisition of the AAG Business, SBI issued $1,000 million aggregate principal amount of 5.75% Notes at par value, due July 15, 2025 (the “5.75% Notes”). The 5.75% Notes are guaranteed by SB/RH as well as by SBI’s existing and future domestic subsidiaries.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SBI may redeem all or a part of the 5.75% Notes, at any time on or after July 15, 2020, at specified redemption prices. In addition, prior to July 15, 2020, SBI may redeem the notes at a redemption price equal to 100% of the principal amount plus a “make-whole” premium. SBI is also entitled to redeem up to 35% of the aggregate principal amount of the notes before July 15, 2018 with an amount of cash equal to the net proceeds that SBI raises in equity offerings at specified redemption prices. Further, the indenture governing the 5.75% Notes (the “2025 Indenture”) requires SBI to make an offer, in cash, to repurchase all or a portion of the applicable outstanding notes for a specified redemption price, including a redemption premium, upon the occurrence of a change of control of SBI, as defined in the 2025 Indenture.</w:t>
      </w:r>
    </w:p>
    <w:p>
      <w:pPr>
        <w:spacing w:after="0" w:line="1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2025 Indenture contains customary covenants that limit, among other things, the incurrence of additional indebtedness, payment of dividends on or redemption or repurchase of equity interests, the making of certain investments, expansion into unrelated businesses, creation of liens on assets, merger or consolidation with another company, transfer or sale of all or substantially all assets, and transactions with affiliates.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2025 Indenture provides for customary events of default, including failure to make required payments, failure to comply with certain agreements or covenants, failure to make payments when due or on acceleration of certain other indebtedness, and certain events of bankruptcy and insolvency. Events of default under the 2025 Indenture arising from certain events of bankruptcy or insolvency will automatically cause the acceleration of the amounts due under the 5.75% Notes. If any other event of default under the 2025 Indenture occurs and is continuing, the trustee for the 2025 Indenture or the registered holders of at least 25% in the then aggregate outstanding principal amount of the 5.75% Notes, may declare the acceleration of the amounts due under those notes.</w:t>
      </w:r>
    </w:p>
    <w:p>
      <w:pPr>
        <w:spacing w:after="0" w:line="19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Company recorded $19.7 million of fees in connection with the offering of the 5.75% Notes during the year ended September 30, 2015, which have been capitalized as debt issuance costs and are being amortized over the remaining life of the 5.75%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6.125% Notes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December 4, 2014, SBI issued $250 million aggregate principal amount of 6.125% Notes at par value, due December 15, 2024 (the”6.125% Notes”). The 6.125% Notes are guaranteed SB/RH, as well as by SBI’s existing and future domestic subsidiaries.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SBI may redeem all or a part of the 6.125% Notes, at any time on or after December 15, 2019, at specified redemption prices. Prior to December 15, 2019, SBI may redeem the notes at a redemption price equal to 100% of the principal amount plus a “make-whole” premium. SBI is also entitled to redeem up to 35% of the aggregate principal amount of the notes before December 15, 2017 with an amount of cash equal to the net proceeds that SBI raises in equity offerings at specified redemption prices. Further, the indenture governing the 6.125% Notes (the “2024 Indenture”) requires SBI to make an offer, in cash, to repurchase all or a portion of the applicable outstanding notes for a specified redemption price, including a redemption premium, upon the occurrence of a change of control of SBI, as defined in the 2024 Indenture.</w:t>
      </w:r>
    </w:p>
    <w:p>
      <w:pPr>
        <w:spacing w:after="0" w:line="1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2024 Indenture contains customary covenants that limit, among other things, the incurrence of additional indebtedness, payment of dividends on or redemption or repurchase of equity interests, the making of certain investments, expansion into unrelated businesses, creation of liens on assets, merger or consolidation with another company, transfer or sale of all or substantially all assets, and transactions with affiliates.</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the 2024 Indenture provides for customary events of default, including failure to make required payments, failure to comply with certain agreements or covenants, failure to make payments when due or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acceleration of certain other indebtedness, and certain events of bankruptcy and insolvency. Events of default under the 2024 Indenture arising from certain events of bankruptcy or insolvency will automatically cause the acceleration of the amounts due under the 6.125% Notes. If any other event of default under the 2024 Indenture occurs and is continuing, the trustee for the 2024 Indenture or the registered holders of at least 25% in the then aggregate outstanding principal amount of the 6.125% Notes, may declare the acceleration of the amounts due under those notes.</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Company recorded $4.6 million of fees in connection with the offering of the 6.125% Notes during the year ended September 30, 2015, which have been capitalized as debt issuance costs and are being amortized over the remaining life of the 6.125%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6.375% Notes and 6.625%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17, 2012, in connection with the acquisition of HHI Business, the Company assumed $520 million aggregate principal amount of 6.375% Notes at par value, due November 15, 2020 (the “6.375% Notes”), and $570 million aggregate principal amount of 6.625% Notes at par value, due November 15, 2022 (the “6.625% Notes”). The 6.375% Notes and 6.625% Notes are unsecured and guaranteed by SB/RH, as well as by existing and future domestic restricted subsidiaries.</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may redeem all or a part of the 6.375% Notes and the 6.625% Notes, upon not less than 30 or more than 60 days notice, at specified redemption prices. Further, the indenture governing the 6.375% Notes and the 6.625% Notes (the “2020/22 Indenture”) requires the Company to make an offer, in cash, to repurchase all or a portion of the applicable outstanding notes for a specified redemption price, including a redemption premium, upon the occurrence of a change of control of the Company, as defined in such indenture.</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2020/22 Indenture contains customary covenants that limit, among other things, the incurrence of additional indebtedness, payment of dividends on or redemption or repurchase of equity interests, the making of certain investments, expansion into unrelated businesses, creation of liens on assets, merger or consolidation with another company, transfer or sale of all or substantially all assets, and transactions with affiliates.</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addition, the 2020/22 Indenture provides for customary events of default, including failure to make required payments, failure to comply with certain agreements or covenants, failure to make payments when due or on acceleration of certain other indebtedness, and certain events of bankruptcy and insolvency. Events of default under the 2020/22 Indenture arising from certain events of bankruptcy or insolvency will automatically cause the acceleration of the amounts due under the 6.375% Notes and the 6.625% Notes. If any other event of default under the 2020/22 Indenture occurs and is continuing, the trustee for the 2020/22 Indenture or the registered holders of at least 25% in the then aggregate outstanding principal amount of the 6.375% Notes, or the 6.625% Notes, may declare the acceleration of the amounts due under those notes.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recorded $12.9 million and $14.1 million of fees in connection with the offering of the 6.375% Notes and the 6.625% Notes, respectively during the year ended September 30, 2013 which were capitalized as debt issuance costs and amortized over the remaining lives of the 6.375% Notes and 6.625% Notes,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6.75% Notes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On June 23, 2015, SBI called the 6.75% Notes. In connection with the call, SBI paid the trustee principal, interest and a call premium sufficient to redeem the $300 million of 6.75% Notes outstanding. The trustee under the indenture governing the 6.75% Notes accepted those funds in trust for the benefit of the holders and has acknowledged the satisfaction and discharge of the 6.75% Notes and the indenture governing the 6.75% Notes.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July 23, 2015, the Trustee redeemed the 6.75% Notes. In connection with the redemption, the Company recognized $16.9 million of fees and expenses as interest expense and wrote off $4.1 million of debt issuance costs as a non-cash charge to interest expense for the year ended September 30,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10—LEASES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leases primarily pertaining to land, buildings and equipment that expire at various times through July 2024. The Company’s minimum rent payments under operating leases are recognized on a straight-line basis over the term of the leases. Future minimum rental commitments under non-cancelable operating leases are as follows: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2017</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2019</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Thereafter</w:t>
            </w:r>
          </w:p>
        </w:tc>
        <w:tc>
          <w:tcPr>
            <w:tcW w:w="2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was $36.3 million, $40.8 million and $41.8 million for the years ended September 30, 2015, 2014 and 2013,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w:t>
      </w:r>
    </w:p>
    <w:p>
      <w:pPr>
        <w:spacing w:after="0" w:line="12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Derivative financial instruments are used by the Company principally in the management of its interest rate, foreign currency exchange rate and raw material price exposures. The Company does not hold or issue derivative financial instruments for trading purposes. For derivative instruments that are designated and qualify as cash flow hedges, the gain or loss on the effective portion of the derivative is reported as a component of Accumulated Other Comprehensive Income (“AOCI”) and reclassified into earnings in the same period or periods during which the hedged transaction affects earnings. Gains and losses on derivatives representing either hedge ineffectiveness or hedge components excluded from the assessment of effectiveness are recognized in current earnings.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Interest Rate Swaps. </w:t>
      </w:r>
      <w:r>
        <w:rPr>
          <w:rFonts w:ascii="Arial" w:cs="Arial" w:eastAsia="Arial" w:hAnsi="Arial"/>
          <w:sz w:val="17"/>
          <w:szCs w:val="17"/>
          <w:color w:val="auto"/>
        </w:rPr>
        <w:t>The Company uses interest rate swaps to manage its interest rate risk. The swaps are designated as cash flow hedges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fair value recorded in AOCI and as a derivative asset or liability, as applicable. The swaps settle periodically in arrears with the related amounts for the current settlement period payable to, or receivable from, the counter-parties included in accrued liabilities or receivables, respectively, and recognized in earnings as an adjustment to Interest expense from the underlying debt to which the swap is designated. As of September 30, 2015 and 2014, the Company had a series of U.S. dollar denominated interest rate swaps outstanding which effectively fix the interest on variable rate debt, exclusive of lender spreads, at 1.36% for a notional principal amount of $300.0 million through April 2017.</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60"/>
          </w:cols>
          <w:pgMar w:left="240" w:top="459" w:right="29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interest rate swap derivative financial instruments at September 30, 2015 and 2014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25"/>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19"/>
        </w:trPr>
        <w:tc>
          <w:tcPr>
            <w:tcW w:w="6040" w:type="dxa"/>
            <w:vAlign w:val="bottom"/>
          </w:tcPr>
          <w:p>
            <w:pPr>
              <w:spacing w:after="0"/>
              <w:rPr>
                <w:sz w:val="10"/>
                <w:szCs w:val="10"/>
                <w:color w:val="auto"/>
              </w:rPr>
            </w:pPr>
          </w:p>
        </w:tc>
        <w:tc>
          <w:tcPr>
            <w:tcW w:w="660" w:type="dxa"/>
            <w:vAlign w:val="bottom"/>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2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Remaining</w:t>
            </w:r>
          </w:p>
        </w:tc>
        <w:tc>
          <w:tcPr>
            <w:tcW w:w="640" w:type="dxa"/>
            <w:vAlign w:val="bottom"/>
          </w:tcPr>
          <w:p>
            <w:pPr>
              <w:spacing w:after="0"/>
              <w:rPr>
                <w:sz w:val="10"/>
                <w:szCs w:val="10"/>
                <w:color w:val="auto"/>
              </w:rPr>
            </w:pPr>
          </w:p>
        </w:tc>
        <w:tc>
          <w:tcPr>
            <w:tcW w:w="660" w:type="dxa"/>
            <w:vAlign w:val="bottom"/>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2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Remaining</w:t>
            </w:r>
          </w:p>
        </w:tc>
        <w:tc>
          <w:tcPr>
            <w:tcW w:w="100" w:type="dxa"/>
            <w:vAlign w:val="bottom"/>
          </w:tcPr>
          <w:p>
            <w:pPr>
              <w:spacing w:after="0"/>
              <w:rPr>
                <w:sz w:val="10"/>
                <w:szCs w:val="10"/>
                <w:color w:val="auto"/>
              </w:rPr>
            </w:pPr>
          </w:p>
        </w:tc>
      </w:tr>
      <w:tr>
        <w:trPr>
          <w:trHeight w:val="171"/>
        </w:trPr>
        <w:tc>
          <w:tcPr>
            <w:tcW w:w="60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1840" w:type="dxa"/>
            <w:vAlign w:val="bottom"/>
            <w:gridSpan w:val="2"/>
          </w:tcPr>
          <w:p>
            <w:pPr>
              <w:ind w:left="680"/>
              <w:spacing w:after="0"/>
              <w:rPr>
                <w:sz w:val="20"/>
                <w:szCs w:val="20"/>
                <w:color w:val="auto"/>
              </w:rPr>
            </w:pPr>
            <w:r>
              <w:rPr>
                <w:rFonts w:ascii="Arial" w:cs="Arial" w:eastAsia="Arial" w:hAnsi="Arial"/>
                <w:sz w:val="14"/>
                <w:szCs w:val="14"/>
                <w:b w:val="1"/>
                <w:bCs w:val="1"/>
                <w:color w:val="auto"/>
              </w:rPr>
              <w:t>Years</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Years</w:t>
            </w:r>
          </w:p>
        </w:tc>
      </w:tr>
      <w:tr>
        <w:trPr>
          <w:trHeight w:val="142"/>
        </w:trPr>
        <w:tc>
          <w:tcPr>
            <w:tcW w:w="6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3"/>
          </w:tcPr>
          <w:p>
            <w:pPr>
              <w:ind w:left="1140"/>
              <w:spacing w:after="0" w:line="142" w:lineRule="exact"/>
              <w:rPr>
                <w:sz w:val="20"/>
                <w:szCs w:val="20"/>
                <w:color w:val="auto"/>
              </w:rPr>
            </w:pPr>
            <w:r>
              <w:rPr>
                <w:rFonts w:ascii="Arial" w:cs="Arial" w:eastAsia="Arial" w:hAnsi="Arial"/>
                <w:sz w:val="14"/>
                <w:szCs w:val="14"/>
                <w:b w:val="1"/>
                <w:bCs w:val="1"/>
                <w:color w:val="auto"/>
              </w:rPr>
              <w:t>(in millions)</w:t>
            </w: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swaps—fixed</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$ 300.0</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$ 300.0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i w:val="1"/>
          <w:iCs w:val="1"/>
          <w:color w:val="auto"/>
        </w:rPr>
        <w:t xml:space="preserve">Commodity Swaps. </w:t>
      </w:r>
      <w:r>
        <w:rPr>
          <w:rFonts w:ascii="Arial" w:cs="Arial" w:eastAsia="Arial" w:hAnsi="Arial"/>
          <w:sz w:val="17"/>
          <w:szCs w:val="17"/>
          <w:color w:val="auto"/>
        </w:rPr>
        <w:t>The Company is exposed to risk from fluctuating prices for raw materials, specifically zinc and brass used in its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processes. The Company hedges a portion of the risk associated with the purchase of these materials through the use of commodity swaps. The hedge contracts are designated as cash flow hedges with the fair value changes recorded in AOCI and as a hedge asset or liability, as applicable. The unrecognized changes in fair value of the hedge contracts are reclassified from AOCI into earnings when the hedged purchase of raw materials also affects earnings. The swaps effectively fix the floating price on a specified quantity of raw materials through a specified date. The Company had the following outstanding commodity swap contracts outstanding as of September 30, 2015 and 2014.</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Notional</w:t>
            </w:r>
          </w:p>
        </w:tc>
        <w:tc>
          <w:tcPr>
            <w:tcW w:w="1060" w:type="dxa"/>
            <w:vAlign w:val="bottom"/>
            <w:gridSpan w:val="2"/>
          </w:tcPr>
          <w:p>
            <w:pPr>
              <w:ind w:left="500"/>
              <w:spacing w:after="0" w:line="119" w:lineRule="exact"/>
              <w:rPr>
                <w:sz w:val="20"/>
                <w:szCs w:val="20"/>
                <w:color w:val="auto"/>
              </w:rPr>
            </w:pPr>
            <w:r>
              <w:rPr>
                <w:rFonts w:ascii="Arial" w:cs="Arial" w:eastAsia="Arial" w:hAnsi="Arial"/>
                <w:sz w:val="13"/>
                <w:szCs w:val="13"/>
                <w:b w:val="1"/>
                <w:bCs w:val="1"/>
                <w:color w:val="auto"/>
              </w:rPr>
              <w:t>Contract</w:t>
            </w:r>
          </w:p>
        </w:tc>
        <w:tc>
          <w:tcPr>
            <w:tcW w:w="500" w:type="dxa"/>
            <w:vAlign w:val="bottom"/>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Notional</w:t>
            </w:r>
          </w:p>
        </w:tc>
        <w:tc>
          <w:tcPr>
            <w:tcW w:w="1020" w:type="dxa"/>
            <w:vAlign w:val="bottom"/>
            <w:gridSpan w:val="2"/>
          </w:tcPr>
          <w:p>
            <w:pPr>
              <w:ind w:left="480"/>
              <w:spacing w:after="0" w:line="119" w:lineRule="exact"/>
              <w:rPr>
                <w:sz w:val="20"/>
                <w:szCs w:val="20"/>
                <w:color w:val="auto"/>
              </w:rPr>
            </w:pPr>
            <w:r>
              <w:rPr>
                <w:rFonts w:ascii="Arial" w:cs="Arial" w:eastAsia="Arial" w:hAnsi="Arial"/>
                <w:sz w:val="13"/>
                <w:szCs w:val="13"/>
                <w:b w:val="1"/>
                <w:bCs w:val="1"/>
                <w:color w:val="auto"/>
                <w:w w:val="97"/>
              </w:rPr>
              <w:t>Contract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Value</w:t>
            </w: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w w:val="98"/>
              </w:rPr>
              <w:t>(in millions, except notional)</w:t>
            </w:r>
          </w:p>
        </w:tc>
        <w:tc>
          <w:tcPr>
            <w:tcW w:w="5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Zinc swap contracts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 Tons</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 Tons</w:t>
            </w: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Brass swap contracts</w:t>
            </w:r>
          </w:p>
        </w:tc>
        <w:tc>
          <w:tcPr>
            <w:tcW w:w="760" w:type="dxa"/>
            <w:vAlign w:val="bottom"/>
          </w:tcPr>
          <w:p>
            <w:pPr>
              <w:jc w:val="right"/>
              <w:spacing w:after="0"/>
              <w:rPr>
                <w:sz w:val="20"/>
                <w:szCs w:val="20"/>
                <w:color w:val="auto"/>
              </w:rPr>
            </w:pPr>
            <w:r>
              <w:rPr>
                <w:rFonts w:ascii="Arial" w:cs="Arial" w:eastAsia="Arial" w:hAnsi="Arial"/>
                <w:sz w:val="18"/>
                <w:szCs w:val="18"/>
                <w:color w:val="auto"/>
              </w:rPr>
              <w:t>1.8 Ton</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700" w:type="dxa"/>
            <w:vAlign w:val="bottom"/>
          </w:tcPr>
          <w:p>
            <w:pPr>
              <w:jc w:val="right"/>
              <w:spacing w:after="0"/>
              <w:rPr>
                <w:sz w:val="20"/>
                <w:szCs w:val="20"/>
                <w:color w:val="auto"/>
              </w:rPr>
            </w:pPr>
            <w:r>
              <w:rPr>
                <w:rFonts w:ascii="Arial" w:cs="Arial" w:eastAsia="Arial" w:hAnsi="Arial"/>
                <w:sz w:val="18"/>
                <w:szCs w:val="18"/>
                <w:color w:val="auto"/>
              </w:rPr>
              <w:t>0.6 Ton</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 periodically enters into forward foreign exchange contracts to hedge the risk from forecasted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denominated third party and intercompany sales or payments. These obligations generally require the Company to exchange foreign currencies for U.S. Dollars, Euros, Pounds Sterling, Australian Dollars, Brazilian Reals, Mexican Pesos, Canadian Dollars or Japanese Yen. These foreign exchange contracts are cash flow hedges of fluctuating foreign exchange rates related to sales of product or raw material purchases. Until the sale or purchase is recognized, the fair value of the related hedge is recorded in AOCI and as a derivative asset or liability, as applicable. At the time the sale or purchase is recognized, the fair value of the related hedge is reclassified as an adjustment to Net Sales or Cost of Goods Sold, respectively. At September 30, 2015 and 2014, the Company had foreign exchange derivative contracts designated as cash flow hedges with a notional value of $300.6 million and $226.7 million,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Contracts Not Designated As Hedges for Accounting Purposes</w:t>
      </w:r>
    </w:p>
    <w:p>
      <w:pPr>
        <w:spacing w:after="0" w:line="11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i w:val="1"/>
          <w:iCs w:val="1"/>
          <w:color w:val="auto"/>
        </w:rPr>
        <w:t xml:space="preserve">Foreign exchange contracts. </w:t>
      </w:r>
      <w:r>
        <w:rPr>
          <w:rFonts w:ascii="Arial" w:cs="Arial" w:eastAsia="Arial" w:hAnsi="Arial"/>
          <w:sz w:val="17"/>
          <w:szCs w:val="17"/>
          <w:color w:val="auto"/>
        </w:rPr>
        <w:t>The Company periodically enters into forward and swap foreign exchange contracts to economically hedge the risk from</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party and intercompany payments resulting from existing obligations. These obligations generally require the Company to exchange foreign currencies for U.S. Dollars, Canadian Dollars, Euros or Australian Dollars. These foreign exchange contracts are economic hedges of a related liability or asset recorded in the accompanying Consolidated Statements of Financial Position. The gain or loss on the derivative hedge contracts is recorded in earnings as an offset to the change in value of the related liability or asset at each period end. At September 30, 2015 and 2014, the Company had $126.8 million and $108.9 million, respectively, of notional value for such foreign exchange derivative contracts outstanding.</w:t>
      </w:r>
    </w:p>
    <w:p>
      <w:pPr>
        <w:spacing w:after="0" w:line="17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i w:val="1"/>
          <w:iCs w:val="1"/>
          <w:color w:val="auto"/>
        </w:rPr>
        <w:t xml:space="preserve">Commodity Swaps. </w:t>
      </w:r>
      <w:r>
        <w:rPr>
          <w:rFonts w:ascii="Arial" w:cs="Arial" w:eastAsia="Arial" w:hAnsi="Arial"/>
          <w:sz w:val="18"/>
          <w:szCs w:val="18"/>
          <w:color w:val="auto"/>
        </w:rPr>
        <w:t>The Company periodically enters into commodity swap contracts to economically hedge the risk from fluctuating prices for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specifically the pass-through of market prices for silver used in manufacturing purchased watch batteries. The Company hedges a portion of the risk associated with these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459" w:right="29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materials through the use of commodity swaps. The swap contracts are designated as economic hedges with the unrealized gain or loss recorded in earnings and as an asset or liability at each period end. The unrecognized changes in fair value of the hedge contracts are adjusted through earnings when the realized gains or losses affect earnings upon settlement of the hedges. The swaps effectively fix the floating price on a specified quantity of silver through a specified date. The Company had the following outstanding commodity swap contracts outstanding as of September 30, 2015 and 2014.</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3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360" w:type="dxa"/>
            <w:vAlign w:val="bottom"/>
            <w:vMerge w:val="restart"/>
          </w:tcPr>
          <w:p>
            <w:pPr>
              <w:jc w:val="right"/>
              <w:ind w:right="542"/>
              <w:spacing w:after="0"/>
              <w:rPr>
                <w:sz w:val="20"/>
                <w:szCs w:val="20"/>
                <w:color w:val="auto"/>
              </w:rPr>
            </w:pPr>
            <w:r>
              <w:rPr>
                <w:rFonts w:ascii="Arial" w:cs="Arial" w:eastAsia="Arial" w:hAnsi="Arial"/>
                <w:sz w:val="14"/>
                <w:szCs w:val="14"/>
                <w:b w:val="1"/>
                <w:bCs w:val="1"/>
                <w:color w:val="auto"/>
              </w:rPr>
              <w:t>Notional</w:t>
            </w:r>
          </w:p>
        </w:tc>
        <w:tc>
          <w:tcPr>
            <w:tcW w:w="74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Contract</w:t>
            </w:r>
          </w:p>
        </w:tc>
        <w:tc>
          <w:tcPr>
            <w:tcW w:w="580" w:type="dxa"/>
            <w:vAlign w:val="bottom"/>
          </w:tcPr>
          <w:p>
            <w:pPr>
              <w:spacing w:after="0"/>
              <w:rPr>
                <w:sz w:val="10"/>
                <w:szCs w:val="10"/>
                <w:color w:val="auto"/>
              </w:rPr>
            </w:pPr>
          </w:p>
        </w:tc>
        <w:tc>
          <w:tcPr>
            <w:tcW w:w="1380" w:type="dxa"/>
            <w:vAlign w:val="bottom"/>
            <w:vMerge w:val="restart"/>
          </w:tcPr>
          <w:p>
            <w:pPr>
              <w:jc w:val="right"/>
              <w:ind w:right="562"/>
              <w:spacing w:after="0"/>
              <w:rPr>
                <w:sz w:val="20"/>
                <w:szCs w:val="20"/>
                <w:color w:val="auto"/>
              </w:rPr>
            </w:pPr>
            <w:r>
              <w:rPr>
                <w:rFonts w:ascii="Arial" w:cs="Arial" w:eastAsia="Arial" w:hAnsi="Arial"/>
                <w:sz w:val="14"/>
                <w:szCs w:val="14"/>
                <w:b w:val="1"/>
                <w:bCs w:val="1"/>
                <w:color w:val="auto"/>
              </w:rPr>
              <w:t>Notional</w:t>
            </w:r>
          </w:p>
        </w:tc>
        <w:tc>
          <w:tcPr>
            <w:tcW w:w="7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w w:val="97"/>
              </w:rPr>
              <w:t>Contract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Value</w:t>
            </w: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4"/>
          </w:tcPr>
          <w:p>
            <w:pPr>
              <w:jc w:val="right"/>
              <w:ind w:right="722"/>
              <w:spacing w:after="0" w:line="142" w:lineRule="exact"/>
              <w:rPr>
                <w:sz w:val="20"/>
                <w:szCs w:val="20"/>
                <w:color w:val="auto"/>
              </w:rPr>
            </w:pPr>
            <w:r>
              <w:rPr>
                <w:rFonts w:ascii="Arial" w:cs="Arial" w:eastAsia="Arial" w:hAnsi="Arial"/>
                <w:sz w:val="14"/>
                <w:szCs w:val="14"/>
                <w:b w:val="1"/>
                <w:bCs w:val="1"/>
                <w:color w:val="auto"/>
                <w:w w:val="99"/>
              </w:rPr>
              <w:t>(in millions, except notional)</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Silver</w:t>
            </w:r>
          </w:p>
        </w:tc>
        <w:tc>
          <w:tcPr>
            <w:tcW w:w="13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w w:val="94"/>
              </w:rPr>
              <w:t>25.0 troy oz.</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w:t>
            </w:r>
          </w:p>
        </w:tc>
        <w:tc>
          <w:tcPr>
            <w:tcW w:w="138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w w:val="96"/>
              </w:rPr>
              <w:t>25.0 troy oz.</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Company’s outstanding derivative instruments in the Consolidated Statements of Financial Position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Line Item</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2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Interest rate swaps—designated as hedge</w:t>
            </w:r>
          </w:p>
        </w:tc>
        <w:tc>
          <w:tcPr>
            <w:tcW w:w="2620" w:type="dxa"/>
            <w:vAlign w:val="bottom"/>
          </w:tcPr>
          <w:p>
            <w:pPr>
              <w:spacing w:after="0"/>
              <w:rPr>
                <w:sz w:val="20"/>
                <w:szCs w:val="20"/>
                <w:color w:val="auto"/>
              </w:rPr>
            </w:pPr>
            <w:r>
              <w:rPr>
                <w:rFonts w:ascii="Arial" w:cs="Arial" w:eastAsia="Arial" w:hAnsi="Arial"/>
                <w:sz w:val="18"/>
                <w:szCs w:val="18"/>
                <w:color w:val="auto"/>
              </w:rPr>
              <w:t>Deferred charges and other</w:t>
            </w: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Commodity swaps—designated as hedge</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Receivables—Other</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Foreign exchange contracts—designated as hedge</w:t>
            </w:r>
          </w:p>
        </w:tc>
        <w:tc>
          <w:tcPr>
            <w:tcW w:w="2620" w:type="dxa"/>
            <w:vAlign w:val="bottom"/>
          </w:tcPr>
          <w:p>
            <w:pPr>
              <w:spacing w:after="0"/>
              <w:rPr>
                <w:sz w:val="20"/>
                <w:szCs w:val="20"/>
                <w:color w:val="auto"/>
              </w:rPr>
            </w:pPr>
            <w:r>
              <w:rPr>
                <w:rFonts w:ascii="Arial" w:cs="Arial" w:eastAsia="Arial" w:hAnsi="Arial"/>
                <w:sz w:val="18"/>
                <w:szCs w:val="18"/>
                <w:color w:val="auto"/>
              </w:rPr>
              <w:t>Receivables—Other</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contracts—designated as hedge</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Foreign exchange contracts—not designated as hedge</w:t>
            </w:r>
          </w:p>
        </w:tc>
        <w:tc>
          <w:tcPr>
            <w:tcW w:w="2620" w:type="dxa"/>
            <w:vAlign w:val="bottom"/>
          </w:tcPr>
          <w:p>
            <w:pPr>
              <w:spacing w:after="0"/>
              <w:rPr>
                <w:sz w:val="20"/>
                <w:szCs w:val="20"/>
                <w:color w:val="auto"/>
              </w:rPr>
            </w:pPr>
            <w:r>
              <w:rPr>
                <w:rFonts w:ascii="Arial" w:cs="Arial" w:eastAsia="Arial" w:hAnsi="Arial"/>
                <w:sz w:val="18"/>
                <w:szCs w:val="18"/>
                <w:color w:val="auto"/>
              </w:rPr>
              <w:t>Receivables—Other</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Derivative Assets</w:t>
            </w:r>
          </w:p>
        </w:tc>
        <w:tc>
          <w:tcPr>
            <w:tcW w:w="26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14.7</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swaps—designated as hedge</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Interest rate swaps—designated as hedge</w:t>
            </w:r>
          </w:p>
        </w:tc>
        <w:tc>
          <w:tcPr>
            <w:tcW w:w="2620" w:type="dxa"/>
            <w:vAlign w:val="bottom"/>
          </w:tcPr>
          <w:p>
            <w:pPr>
              <w:spacing w:after="0"/>
              <w:rPr>
                <w:sz w:val="20"/>
                <w:szCs w:val="20"/>
                <w:color w:val="auto"/>
              </w:rPr>
            </w:pPr>
            <w:r>
              <w:rPr>
                <w:rFonts w:ascii="Arial" w:cs="Arial" w:eastAsia="Arial" w:hAnsi="Arial"/>
                <w:sz w:val="18"/>
                <w:szCs w:val="18"/>
                <w:color w:val="auto"/>
              </w:rPr>
              <w:t>Accrued interest</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swaps—designated as hedge</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Commodity swaps—designated as hedge</w:t>
            </w:r>
          </w:p>
        </w:tc>
        <w:tc>
          <w:tcPr>
            <w:tcW w:w="2620" w:type="dxa"/>
            <w:vAlign w:val="bottom"/>
          </w:tcPr>
          <w:p>
            <w:pPr>
              <w:spacing w:after="0"/>
              <w:rPr>
                <w:sz w:val="20"/>
                <w:szCs w:val="20"/>
                <w:color w:val="auto"/>
              </w:rPr>
            </w:pPr>
            <w:r>
              <w:rPr>
                <w:rFonts w:ascii="Arial" w:cs="Arial" w:eastAsia="Arial" w:hAnsi="Arial"/>
                <w:sz w:val="18"/>
                <w:szCs w:val="18"/>
                <w:color w:val="auto"/>
              </w:rPr>
              <w:t>Accounts payable</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Commodity swaps—designated as hedge</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Commodity swaps—not designated as hedge</w:t>
            </w:r>
          </w:p>
        </w:tc>
        <w:tc>
          <w:tcPr>
            <w:tcW w:w="2620" w:type="dxa"/>
            <w:vAlign w:val="bottom"/>
          </w:tcPr>
          <w:p>
            <w:pPr>
              <w:spacing w:after="0"/>
              <w:rPr>
                <w:sz w:val="20"/>
                <w:szCs w:val="20"/>
                <w:color w:val="auto"/>
              </w:rPr>
            </w:pPr>
            <w:r>
              <w:rPr>
                <w:rFonts w:ascii="Arial" w:cs="Arial" w:eastAsia="Arial" w:hAnsi="Arial"/>
                <w:sz w:val="18"/>
                <w:szCs w:val="18"/>
                <w:color w:val="auto"/>
              </w:rPr>
              <w:t>Accounts payable</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contracts—designated as hedge</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Foreign exchange contracts—not designated as hedge</w:t>
            </w:r>
          </w:p>
        </w:tc>
        <w:tc>
          <w:tcPr>
            <w:tcW w:w="262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Derivative Liabilities</w:t>
            </w:r>
          </w:p>
        </w:tc>
        <w:tc>
          <w:tcPr>
            <w:tcW w:w="26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Company is exposed to the risk of default by the counterparties with which it transacts and generally does not require collateral or other security to support financial instruments subject to credit risk. The Company monitors counterparty credit risk on an individual basis by periodically assessing each such counterparty’s credit rating exposure. The maximum loss due to credit risk equals the fair value of the gross asset derivatives that are concentrated with certain domestic and foreign financial institution counterparties. The Company considers these exposures when measuring its credit reserve on its derivative assets, which was less than $0.1 million for the years ended September 30, 2015 and 2014.</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Company’s standard contracts do not contain credit risk related contingent features whereby the Company would be required to post additional cash collateral as a result of a credit event. However, the Company is typically required to post collateral in the normal course of business to offset its liability positions.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September 30, 2015 and 2014, there was $3.5 million and less than $0.1 million, respectively, of posted cash collateral related to such liability positions. In addition, as of September 30, 2015 and 2014, the Company had no posted standby letters of credit related to such liability positions. The cash collateral is included in Other Receivables within the Consolidated Statements of Financial Position.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impact of the effective and ineffective portions of cash flow hedges and the gain (loss) recognized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for the years ended September 30, 2015, 2014 and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Effective Portion</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vMerge w:val="restart"/>
          </w:tcPr>
          <w:p>
            <w:pPr>
              <w:ind w:left="740"/>
              <w:spacing w:after="0"/>
              <w:rPr>
                <w:sz w:val="20"/>
                <w:szCs w:val="20"/>
                <w:color w:val="auto"/>
              </w:rPr>
            </w:pPr>
            <w:r>
              <w:rPr>
                <w:rFonts w:ascii="Arial" w:cs="Arial" w:eastAsia="Arial" w:hAnsi="Arial"/>
                <w:sz w:val="14"/>
                <w:szCs w:val="14"/>
                <w:b w:val="1"/>
                <w:bCs w:val="1"/>
                <w:color w:val="auto"/>
                <w:w w:val="95"/>
              </w:rPr>
              <w:t>Ineffective portion</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 the year ended September 30, 2015</w:t>
            </w:r>
          </w:p>
        </w:tc>
        <w:tc>
          <w:tcPr>
            <w:tcW w:w="2040" w:type="dxa"/>
            <w:vAlign w:val="bottom"/>
          </w:tcPr>
          <w:p>
            <w:pPr>
              <w:spacing w:after="0"/>
              <w:rPr>
                <w:sz w:val="13"/>
                <w:szCs w:val="13"/>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Gain (Loss)</w:t>
            </w:r>
          </w:p>
        </w:tc>
        <w:tc>
          <w:tcPr>
            <w:tcW w:w="2200" w:type="dxa"/>
            <w:vAlign w:val="bottom"/>
            <w:tcBorders>
              <w:bottom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w w:val="98"/>
              </w:rPr>
              <w:t>Reclassified to Earnings</w:t>
            </w:r>
          </w:p>
        </w:tc>
        <w:tc>
          <w:tcPr>
            <w:tcW w:w="4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9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Borders>
              <w:bottom w:val="single" w:sz="8" w:color="auto"/>
            </w:tcBorders>
            <w:vMerge w:val="continue"/>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in OCI</w:t>
            </w:r>
          </w:p>
        </w:tc>
        <w:tc>
          <w:tcPr>
            <w:tcW w:w="1580" w:type="dxa"/>
            <w:vAlign w:val="bottom"/>
            <w:tcBorders>
              <w:bottom w:val="single" w:sz="8" w:color="auto"/>
            </w:tcBorders>
          </w:tcPr>
          <w:p>
            <w:pPr>
              <w:ind w:left="480"/>
              <w:spacing w:after="0" w:line="155" w:lineRule="exact"/>
              <w:rPr>
                <w:sz w:val="20"/>
                <w:szCs w:val="20"/>
                <w:color w:val="auto"/>
              </w:rPr>
            </w:pPr>
            <w:r>
              <w:rPr>
                <w:rFonts w:ascii="Arial" w:cs="Arial" w:eastAsia="Arial" w:hAnsi="Arial"/>
                <w:sz w:val="14"/>
                <w:szCs w:val="14"/>
                <w:b w:val="1"/>
                <w:bCs w:val="1"/>
                <w:color w:val="auto"/>
              </w:rPr>
              <w:t>Line Item</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Gain (Loss)</w:t>
            </w:r>
          </w:p>
        </w:tc>
        <w:tc>
          <w:tcPr>
            <w:tcW w:w="4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ind w:left="480"/>
              <w:spacing w:after="0" w:line="155" w:lineRule="exact"/>
              <w:rPr>
                <w:sz w:val="20"/>
                <w:szCs w:val="20"/>
                <w:color w:val="auto"/>
              </w:rPr>
            </w:pPr>
            <w:r>
              <w:rPr>
                <w:rFonts w:ascii="Arial" w:cs="Arial" w:eastAsia="Arial" w:hAnsi="Arial"/>
                <w:sz w:val="14"/>
                <w:szCs w:val="14"/>
                <w:b w:val="1"/>
                <w:bCs w:val="1"/>
                <w:color w:val="auto"/>
              </w:rPr>
              <w:t>Line Item</w:t>
            </w:r>
          </w:p>
        </w:tc>
        <w:tc>
          <w:tcPr>
            <w:tcW w:w="7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Gain (Loss)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0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(3.4)</w:t>
            </w: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(1.9)</w:t>
            </w: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Commodity swaps</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(7.2)</w:t>
            </w:r>
          </w:p>
        </w:tc>
        <w:tc>
          <w:tcPr>
            <w:tcW w:w="1580" w:type="dxa"/>
            <w:vAlign w:val="bottom"/>
          </w:tcPr>
          <w:p>
            <w:pPr>
              <w:spacing w:after="0"/>
              <w:rPr>
                <w:sz w:val="20"/>
                <w:szCs w:val="20"/>
                <w:color w:val="auto"/>
              </w:rPr>
            </w:pPr>
            <w:r>
              <w:rPr>
                <w:rFonts w:ascii="Arial" w:cs="Arial" w:eastAsia="Arial" w:hAnsi="Arial"/>
                <w:sz w:val="16"/>
                <w:szCs w:val="16"/>
                <w:color w:val="auto"/>
              </w:rPr>
              <w:t>Cost of goods sold</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(0.7)</w:t>
            </w:r>
          </w:p>
        </w:tc>
        <w:tc>
          <w:tcPr>
            <w:tcW w:w="1920" w:type="dxa"/>
            <w:vAlign w:val="bottom"/>
          </w:tcPr>
          <w:p>
            <w:pPr>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contracts</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w:t>
            </w: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w:t>
            </w: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21.8</w:t>
            </w:r>
          </w:p>
        </w:tc>
        <w:tc>
          <w:tcPr>
            <w:tcW w:w="1580" w:type="dxa"/>
            <w:vAlign w:val="bottom"/>
          </w:tcPr>
          <w:p>
            <w:pPr>
              <w:spacing w:after="0"/>
              <w:rPr>
                <w:sz w:val="20"/>
                <w:szCs w:val="20"/>
                <w:color w:val="auto"/>
              </w:rPr>
            </w:pPr>
            <w:r>
              <w:rPr>
                <w:rFonts w:ascii="Arial" w:cs="Arial" w:eastAsia="Arial" w:hAnsi="Arial"/>
                <w:sz w:val="16"/>
                <w:szCs w:val="16"/>
                <w:color w:val="auto"/>
              </w:rPr>
              <w:t>Cost of goods sold</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30.0</w:t>
            </w:r>
          </w:p>
        </w:tc>
        <w:tc>
          <w:tcPr>
            <w:tcW w:w="1920" w:type="dxa"/>
            <w:vAlign w:val="bottom"/>
          </w:tcPr>
          <w:p>
            <w:pPr>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11.3</w:t>
            </w:r>
          </w:p>
        </w:tc>
        <w:tc>
          <w:tcPr>
            <w:tcW w:w="15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27.5</w:t>
            </w: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Effective Portion</w:t>
            </w: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vMerge w:val="restart"/>
          </w:tcPr>
          <w:p>
            <w:pPr>
              <w:ind w:left="740"/>
              <w:spacing w:after="0"/>
              <w:rPr>
                <w:sz w:val="20"/>
                <w:szCs w:val="20"/>
                <w:color w:val="auto"/>
              </w:rPr>
            </w:pPr>
            <w:r>
              <w:rPr>
                <w:rFonts w:ascii="Arial" w:cs="Arial" w:eastAsia="Arial" w:hAnsi="Arial"/>
                <w:sz w:val="14"/>
                <w:szCs w:val="14"/>
                <w:b w:val="1"/>
                <w:bCs w:val="1"/>
                <w:color w:val="auto"/>
                <w:w w:val="95"/>
              </w:rPr>
              <w:t>Ineffective portion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 the year ended September 30, 2014</w:t>
            </w:r>
          </w:p>
        </w:tc>
        <w:tc>
          <w:tcPr>
            <w:tcW w:w="2040" w:type="dxa"/>
            <w:vAlign w:val="bottom"/>
          </w:tcPr>
          <w:p>
            <w:pPr>
              <w:spacing w:after="0"/>
              <w:rPr>
                <w:sz w:val="13"/>
                <w:szCs w:val="13"/>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Gain (Loss)</w:t>
            </w:r>
          </w:p>
        </w:tc>
        <w:tc>
          <w:tcPr>
            <w:tcW w:w="2200" w:type="dxa"/>
            <w:vAlign w:val="bottom"/>
            <w:tcBorders>
              <w:bottom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w w:val="98"/>
              </w:rPr>
              <w:t>Reclassified to Earnings</w:t>
            </w:r>
          </w:p>
        </w:tc>
        <w:tc>
          <w:tcPr>
            <w:tcW w:w="4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9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Borders>
              <w:bottom w:val="single" w:sz="8" w:color="auto"/>
            </w:tcBorders>
            <w:vMerge w:val="continue"/>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in OCI</w:t>
            </w:r>
          </w:p>
        </w:tc>
        <w:tc>
          <w:tcPr>
            <w:tcW w:w="1580" w:type="dxa"/>
            <w:vAlign w:val="bottom"/>
            <w:tcBorders>
              <w:bottom w:val="single" w:sz="8" w:color="auto"/>
            </w:tcBorders>
          </w:tcPr>
          <w:p>
            <w:pPr>
              <w:ind w:left="480"/>
              <w:spacing w:after="0" w:line="155" w:lineRule="exact"/>
              <w:rPr>
                <w:sz w:val="20"/>
                <w:szCs w:val="20"/>
                <w:color w:val="auto"/>
              </w:rPr>
            </w:pPr>
            <w:r>
              <w:rPr>
                <w:rFonts w:ascii="Arial" w:cs="Arial" w:eastAsia="Arial" w:hAnsi="Arial"/>
                <w:sz w:val="14"/>
                <w:szCs w:val="14"/>
                <w:b w:val="1"/>
                <w:bCs w:val="1"/>
                <w:color w:val="auto"/>
              </w:rPr>
              <w:t>Line Item</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Gain (Loss)</w:t>
            </w:r>
          </w:p>
        </w:tc>
        <w:tc>
          <w:tcPr>
            <w:tcW w:w="4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ind w:left="480"/>
              <w:spacing w:after="0" w:line="155" w:lineRule="exact"/>
              <w:rPr>
                <w:sz w:val="20"/>
                <w:szCs w:val="20"/>
                <w:color w:val="auto"/>
              </w:rPr>
            </w:pPr>
            <w:r>
              <w:rPr>
                <w:rFonts w:ascii="Arial" w:cs="Arial" w:eastAsia="Arial" w:hAnsi="Arial"/>
                <w:sz w:val="14"/>
                <w:szCs w:val="14"/>
                <w:b w:val="1"/>
                <w:bCs w:val="1"/>
                <w:color w:val="auto"/>
              </w:rPr>
              <w:t>Line Item</w:t>
            </w:r>
          </w:p>
        </w:tc>
        <w:tc>
          <w:tcPr>
            <w:tcW w:w="7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Gain (Loss)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0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(1.6)</w:t>
            </w: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w:t>
            </w: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Commodity swaps</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1.9</w:t>
            </w:r>
          </w:p>
        </w:tc>
        <w:tc>
          <w:tcPr>
            <w:tcW w:w="1580" w:type="dxa"/>
            <w:vAlign w:val="bottom"/>
          </w:tcPr>
          <w:p>
            <w:pPr>
              <w:spacing w:after="0"/>
              <w:rPr>
                <w:sz w:val="20"/>
                <w:szCs w:val="20"/>
                <w:color w:val="auto"/>
              </w:rPr>
            </w:pPr>
            <w:r>
              <w:rPr>
                <w:rFonts w:ascii="Arial" w:cs="Arial" w:eastAsia="Arial" w:hAnsi="Arial"/>
                <w:sz w:val="16"/>
                <w:szCs w:val="16"/>
                <w:color w:val="auto"/>
              </w:rPr>
              <w:t>Cost of goods sold</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0.8</w:t>
            </w:r>
          </w:p>
        </w:tc>
        <w:tc>
          <w:tcPr>
            <w:tcW w:w="1920" w:type="dxa"/>
            <w:vAlign w:val="bottom"/>
          </w:tcPr>
          <w:p>
            <w:pPr>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contracts</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w:t>
            </w: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w:t>
            </w: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12.7</w:t>
            </w:r>
          </w:p>
        </w:tc>
        <w:tc>
          <w:tcPr>
            <w:tcW w:w="1580" w:type="dxa"/>
            <w:vAlign w:val="bottom"/>
          </w:tcPr>
          <w:p>
            <w:pPr>
              <w:spacing w:after="0"/>
              <w:rPr>
                <w:sz w:val="20"/>
                <w:szCs w:val="20"/>
                <w:color w:val="auto"/>
              </w:rPr>
            </w:pPr>
            <w:r>
              <w:rPr>
                <w:rFonts w:ascii="Arial" w:cs="Arial" w:eastAsia="Arial" w:hAnsi="Arial"/>
                <w:sz w:val="16"/>
                <w:szCs w:val="16"/>
                <w:color w:val="auto"/>
              </w:rPr>
              <w:t>Cost of goods sold</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(2.6)</w:t>
            </w:r>
          </w:p>
        </w:tc>
        <w:tc>
          <w:tcPr>
            <w:tcW w:w="1920" w:type="dxa"/>
            <w:vAlign w:val="bottom"/>
          </w:tcPr>
          <w:p>
            <w:pPr>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13.1</w:t>
            </w:r>
          </w:p>
        </w:tc>
        <w:tc>
          <w:tcPr>
            <w:tcW w:w="15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w:t>
            </w: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Effective Portion</w:t>
            </w: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vMerge w:val="restart"/>
          </w:tcPr>
          <w:p>
            <w:pPr>
              <w:ind w:left="740"/>
              <w:spacing w:after="0"/>
              <w:rPr>
                <w:sz w:val="20"/>
                <w:szCs w:val="20"/>
                <w:color w:val="auto"/>
              </w:rPr>
            </w:pPr>
            <w:r>
              <w:rPr>
                <w:rFonts w:ascii="Arial" w:cs="Arial" w:eastAsia="Arial" w:hAnsi="Arial"/>
                <w:sz w:val="14"/>
                <w:szCs w:val="14"/>
                <w:b w:val="1"/>
                <w:bCs w:val="1"/>
                <w:color w:val="auto"/>
                <w:w w:val="95"/>
              </w:rPr>
              <w:t>Ineffective portion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 the year ended September 30, 2013</w:t>
            </w:r>
          </w:p>
        </w:tc>
        <w:tc>
          <w:tcPr>
            <w:tcW w:w="2040" w:type="dxa"/>
            <w:vAlign w:val="bottom"/>
          </w:tcPr>
          <w:p>
            <w:pPr>
              <w:spacing w:after="0"/>
              <w:rPr>
                <w:sz w:val="13"/>
                <w:szCs w:val="13"/>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Gain (Loss)</w:t>
            </w:r>
          </w:p>
        </w:tc>
        <w:tc>
          <w:tcPr>
            <w:tcW w:w="2200" w:type="dxa"/>
            <w:vAlign w:val="bottom"/>
            <w:tcBorders>
              <w:bottom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w w:val="98"/>
              </w:rPr>
              <w:t>Reclassified to Earnings</w:t>
            </w:r>
          </w:p>
        </w:tc>
        <w:tc>
          <w:tcPr>
            <w:tcW w:w="4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9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Borders>
              <w:bottom w:val="single" w:sz="8" w:color="auto"/>
            </w:tcBorders>
            <w:vMerge w:val="continue"/>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in OCI</w:t>
            </w:r>
          </w:p>
        </w:tc>
        <w:tc>
          <w:tcPr>
            <w:tcW w:w="1580" w:type="dxa"/>
            <w:vAlign w:val="bottom"/>
            <w:tcBorders>
              <w:bottom w:val="single" w:sz="8" w:color="auto"/>
            </w:tcBorders>
          </w:tcPr>
          <w:p>
            <w:pPr>
              <w:ind w:left="480"/>
              <w:spacing w:after="0" w:line="155" w:lineRule="exact"/>
              <w:rPr>
                <w:sz w:val="20"/>
                <w:szCs w:val="20"/>
                <w:color w:val="auto"/>
              </w:rPr>
            </w:pPr>
            <w:r>
              <w:rPr>
                <w:rFonts w:ascii="Arial" w:cs="Arial" w:eastAsia="Arial" w:hAnsi="Arial"/>
                <w:sz w:val="14"/>
                <w:szCs w:val="14"/>
                <w:b w:val="1"/>
                <w:bCs w:val="1"/>
                <w:color w:val="auto"/>
              </w:rPr>
              <w:t>Line Item</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Gain (Loss)</w:t>
            </w:r>
          </w:p>
        </w:tc>
        <w:tc>
          <w:tcPr>
            <w:tcW w:w="4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ind w:left="480"/>
              <w:spacing w:after="0" w:line="155" w:lineRule="exact"/>
              <w:rPr>
                <w:sz w:val="20"/>
                <w:szCs w:val="20"/>
                <w:color w:val="auto"/>
              </w:rPr>
            </w:pPr>
            <w:r>
              <w:rPr>
                <w:rFonts w:ascii="Arial" w:cs="Arial" w:eastAsia="Arial" w:hAnsi="Arial"/>
                <w:sz w:val="14"/>
                <w:szCs w:val="14"/>
                <w:b w:val="1"/>
                <w:bCs w:val="1"/>
                <w:color w:val="auto"/>
              </w:rPr>
              <w:t>Line Item</w:t>
            </w:r>
          </w:p>
        </w:tc>
        <w:tc>
          <w:tcPr>
            <w:tcW w:w="7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Gain (Loss)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0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Commodity swaps</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(2.6)</w:t>
            </w: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(0.6)</w:t>
            </w: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0.9</w:t>
            </w:r>
          </w:p>
        </w:tc>
        <w:tc>
          <w:tcPr>
            <w:tcW w:w="1580" w:type="dxa"/>
            <w:vAlign w:val="bottom"/>
          </w:tcPr>
          <w:p>
            <w:pPr>
              <w:spacing w:after="0"/>
              <w:rPr>
                <w:sz w:val="20"/>
                <w:szCs w:val="20"/>
                <w:color w:val="auto"/>
              </w:rPr>
            </w:pPr>
            <w:r>
              <w:rPr>
                <w:rFonts w:ascii="Arial" w:cs="Arial" w:eastAsia="Arial" w:hAnsi="Arial"/>
                <w:sz w:val="16"/>
                <w:szCs w:val="16"/>
                <w:color w:val="auto"/>
              </w:rPr>
              <w:t>Net sales</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0.9</w:t>
            </w:r>
          </w:p>
        </w:tc>
        <w:tc>
          <w:tcPr>
            <w:tcW w:w="1920" w:type="dxa"/>
            <w:vAlign w:val="bottom"/>
          </w:tcPr>
          <w:p>
            <w:pPr>
              <w:spacing w:after="0"/>
              <w:rPr>
                <w:sz w:val="20"/>
                <w:szCs w:val="20"/>
                <w:color w:val="auto"/>
              </w:rPr>
            </w:pPr>
            <w:r>
              <w:rPr>
                <w:rFonts w:ascii="Arial" w:cs="Arial" w:eastAsia="Arial" w:hAnsi="Arial"/>
                <w:sz w:val="16"/>
                <w:szCs w:val="16"/>
                <w:color w:val="auto"/>
              </w:rPr>
              <w:t>Net sales</w:t>
            </w:r>
          </w:p>
        </w:tc>
        <w:tc>
          <w:tcPr>
            <w:tcW w:w="28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contracts</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(0.3)</w:t>
            </w:r>
          </w:p>
        </w:tc>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0.6</w:t>
            </w: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340"/>
              <w:spacing w:after="0"/>
              <w:rPr>
                <w:sz w:val="20"/>
                <w:szCs w:val="20"/>
                <w:color w:val="auto"/>
              </w:rPr>
            </w:pPr>
            <w:r>
              <w:rPr>
                <w:rFonts w:ascii="Arial" w:cs="Arial" w:eastAsia="Arial" w:hAnsi="Arial"/>
                <w:sz w:val="16"/>
                <w:szCs w:val="16"/>
                <w:color w:val="auto"/>
              </w:rPr>
              <w:t>Total</w:t>
            </w: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2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(2.0)</w:t>
            </w:r>
          </w:p>
        </w:tc>
        <w:tc>
          <w:tcPr>
            <w:tcW w:w="158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0.9</w:t>
            </w:r>
          </w:p>
        </w:tc>
        <w:tc>
          <w:tcPr>
            <w:tcW w:w="19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unrealized loss on derivative contracts in Accumulated Other Comprehensive Loss expected to be recognized during the year ended September 30, 2016 is $2.8 million.</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following table summarizes the gain (loss) associated with derivative contracts not designated at hedges in the Consolidated Statements of Operations for the years ended September 30, 2015, 2014 and 2013.</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860" w:type="dxa"/>
            <w:vAlign w:val="bottom"/>
            <w:gridSpan w:val="2"/>
          </w:tcPr>
          <w:p>
            <w:pPr>
              <w:ind w:left="520"/>
              <w:spacing w:after="0"/>
              <w:rPr>
                <w:sz w:val="20"/>
                <w:szCs w:val="20"/>
                <w:color w:val="auto"/>
              </w:rPr>
            </w:pPr>
            <w:r>
              <w:rPr>
                <w:rFonts w:ascii="Arial" w:cs="Arial" w:eastAsia="Arial" w:hAnsi="Arial"/>
                <w:sz w:val="14"/>
                <w:szCs w:val="14"/>
                <w:b w:val="1"/>
                <w:bCs w:val="1"/>
                <w:color w:val="auto"/>
              </w:rPr>
              <w:t>Line Item</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r>
      <w:tr>
        <w:trPr>
          <w:trHeight w:val="142"/>
        </w:trPr>
        <w:tc>
          <w:tcPr>
            <w:tcW w:w="652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Commodity swaps</w:t>
            </w:r>
          </w:p>
        </w:tc>
        <w:tc>
          <w:tcPr>
            <w:tcW w:w="1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Cost of goods sold</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$(0.1)</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1860" w:type="dxa"/>
            <w:vAlign w:val="bottom"/>
            <w:gridSpan w:val="2"/>
          </w:tcPr>
          <w:p>
            <w:pPr>
              <w:ind w:left="440"/>
              <w:spacing w:after="0"/>
              <w:rPr>
                <w:sz w:val="20"/>
                <w:szCs w:val="20"/>
                <w:color w:val="auto"/>
              </w:rPr>
            </w:pPr>
            <w:r>
              <w:rPr>
                <w:rFonts w:ascii="Arial" w:cs="Arial" w:eastAsia="Arial" w:hAnsi="Arial"/>
                <w:sz w:val="16"/>
                <w:szCs w:val="16"/>
                <w:color w:val="auto"/>
              </w:rPr>
              <w:t>Other expense, net</w:t>
            </w:r>
          </w:p>
        </w:tc>
        <w:tc>
          <w:tcPr>
            <w:tcW w:w="2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(2.5)</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w w:val="89"/>
              </w:rPr>
              <w:t>$ 3.1</w:t>
            </w:r>
          </w:p>
        </w:tc>
        <w:tc>
          <w:tcPr>
            <w:tcW w:w="30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(3.6)</w:t>
            </w:r>
          </w:p>
        </w:tc>
      </w:tr>
      <w:tr>
        <w:trPr>
          <w:trHeight w:val="27"/>
        </w:trPr>
        <w:tc>
          <w:tcPr>
            <w:tcW w:w="6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(2.6)</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$ 3.0</w:t>
            </w:r>
          </w:p>
        </w:tc>
        <w:tc>
          <w:tcPr>
            <w:tcW w:w="3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(3.7)</w:t>
            </w: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various defined benefit pension plans covering some of its employees in the United States and certain employees in other countries, primarily the United Kingdom and Germany. Plans generally provide benefits of stated amounts for each year of service. The Company funds its U.S. pension plans in accordance with the requirements of the defined benefit pension plans and, where applicable, in amounts sufficient to satisfy the minimum funding requirements of applicable laws. Additionally, in compliance with the Company’s funding policy, annual contributions to non-U.S. defined benefit plans are equal to the actuarial recommendations or statutory requirements in the respective countries. The Company also sponsors or participates in a number of other non-U.S. pension arrangements, including various retirement and termination benefit plans, some of which are covered by local law or coordinated with government-sponsored plans, which are not significant in the aggregate and therefore are not included in the information presented below. The Company also has various nonqualified deferred compensation agreements with certain of its employees. Under certain of these agreements, the Company has agreed to pay certain amounts annually for the first 15 years subsequent to retirement or to a designated beneficiary upon death. It is management’s intent that life insurance contracts owned by the Company will fund these agreements. Under the remaining agreements, the Company has agreed to pay such deferred amounts in up to 15 annual installments beginning on a date specified by the employee, subsequent to retirement or disability, or to a designated beneficiary upon death.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60" w:right="2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additional information on the Company’s pension plans as of September 30, 2015 and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U.S. Plans</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Non U.S. Plans</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2015</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2014</w:t>
            </w: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4"/>
          </w:tcPr>
          <w:p>
            <w:pPr>
              <w:jc w:val="right"/>
              <w:ind w:right="90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Changes in benefit obligation:</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Benefit obligation, 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8"/>
              <w:spacing w:after="0"/>
              <w:rPr>
                <w:sz w:val="20"/>
                <w:szCs w:val="20"/>
                <w:color w:val="auto"/>
              </w:rPr>
            </w:pPr>
            <w:r>
              <w:rPr>
                <w:rFonts w:ascii="Arial" w:cs="Arial" w:eastAsia="Arial" w:hAnsi="Arial"/>
                <w:sz w:val="18"/>
                <w:szCs w:val="18"/>
                <w:color w:val="auto"/>
              </w:rPr>
              <w:t>70.9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66.9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196.2</w:t>
            </w: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assumed from acquisitions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Transfer of obligation</w:t>
            </w:r>
          </w:p>
        </w:tc>
        <w:tc>
          <w:tcPr>
            <w:tcW w:w="100" w:type="dxa"/>
            <w:vAlign w:val="bottom"/>
          </w:tcPr>
          <w:p>
            <w:pPr>
              <w:spacing w:after="0"/>
              <w:rPr>
                <w:sz w:val="18"/>
                <w:szCs w:val="18"/>
                <w:color w:val="auto"/>
              </w:rPr>
            </w:pPr>
          </w:p>
        </w:tc>
        <w:tc>
          <w:tcPr>
            <w:tcW w:w="10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Actuarial (gain) loss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Curtailments</w:t>
            </w:r>
          </w:p>
        </w:tc>
        <w:tc>
          <w:tcPr>
            <w:tcW w:w="100" w:type="dxa"/>
            <w:vAlign w:val="bottom"/>
          </w:tcPr>
          <w:p>
            <w:pPr>
              <w:spacing w:after="0"/>
              <w:rPr>
                <w:sz w:val="18"/>
                <w:szCs w:val="18"/>
                <w:color w:val="auto"/>
              </w:rPr>
            </w:pPr>
          </w:p>
        </w:tc>
        <w:tc>
          <w:tcPr>
            <w:tcW w:w="10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Participant contributions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1080" w:type="dxa"/>
            <w:vAlign w:val="bottom"/>
            <w:gridSpan w:val="2"/>
          </w:tcPr>
          <w:p>
            <w:pPr>
              <w:jc w:val="right"/>
              <w:ind w:right="56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Benefit obligation,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Changes in plan assets: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Fair value of plan assets, 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8"/>
              <w:spacing w:after="0"/>
              <w:rPr>
                <w:sz w:val="20"/>
                <w:szCs w:val="20"/>
                <w:color w:val="auto"/>
              </w:rPr>
            </w:pPr>
            <w:r>
              <w:rPr>
                <w:rFonts w:ascii="Arial" w:cs="Arial" w:eastAsia="Arial" w:hAnsi="Arial"/>
                <w:sz w:val="18"/>
                <w:szCs w:val="18"/>
                <w:color w:val="auto"/>
              </w:rPr>
              <w:t>62.4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58.5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126.5</w:t>
            </w: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contributions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1080" w:type="dxa"/>
            <w:vAlign w:val="bottom"/>
            <w:gridSpan w:val="2"/>
          </w:tcPr>
          <w:p>
            <w:pPr>
              <w:jc w:val="right"/>
              <w:ind w:right="56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Fair value of plan assets,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w w:val="89"/>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recognized in statement of financial position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charges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80" w:type="dxa"/>
            <w:vAlign w:val="bottom"/>
            <w:gridSpan w:val="2"/>
          </w:tcPr>
          <w:p>
            <w:pPr>
              <w:jc w:val="right"/>
              <w:ind w:right="568"/>
              <w:spacing w:after="0"/>
              <w:rPr>
                <w:sz w:val="20"/>
                <w:szCs w:val="20"/>
                <w:color w:val="auto"/>
              </w:rPr>
            </w:pPr>
            <w:r>
              <w:rPr>
                <w:rFonts w:ascii="Arial" w:cs="Arial" w:eastAsia="Arial" w:hAnsi="Arial"/>
                <w:sz w:val="18"/>
                <w:szCs w:val="18"/>
                <w:color w:val="auto"/>
                <w:w w:val="89"/>
              </w:rPr>
              <w:t>(20.4)</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assumptions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8"/>
                <w:szCs w:val="18"/>
                <w:color w:val="auto"/>
              </w:rPr>
            </w:pPr>
          </w:p>
        </w:tc>
        <w:tc>
          <w:tcPr>
            <w:tcW w:w="1080" w:type="dxa"/>
            <w:vAlign w:val="bottom"/>
            <w:gridSpan w:val="2"/>
          </w:tcPr>
          <w:p>
            <w:pPr>
              <w:jc w:val="right"/>
              <w:ind w:right="488"/>
              <w:spacing w:after="0"/>
              <w:rPr>
                <w:sz w:val="20"/>
                <w:szCs w:val="20"/>
                <w:color w:val="auto"/>
              </w:rPr>
            </w:pPr>
            <w:r>
              <w:rPr>
                <w:rFonts w:ascii="Arial" w:cs="Arial" w:eastAsia="Arial" w:hAnsi="Arial"/>
                <w:sz w:val="18"/>
                <w:szCs w:val="18"/>
                <w:color w:val="auto"/>
                <w:w w:val="97"/>
              </w:rPr>
              <w:t>4.25%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1.75 - 13.81%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2.00 - 13.50%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7"/>
              </w:rPr>
              <w:t>7.25%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3.50 - 5.26%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2.00 - 5.26%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Rate of compensation increase</w:t>
            </w:r>
          </w:p>
        </w:tc>
        <w:tc>
          <w:tcPr>
            <w:tcW w:w="100" w:type="dxa"/>
            <w:vAlign w:val="bottom"/>
          </w:tcPr>
          <w:p>
            <w:pPr>
              <w:spacing w:after="0"/>
              <w:rPr>
                <w:sz w:val="20"/>
                <w:szCs w:val="20"/>
                <w:color w:val="auto"/>
              </w:rPr>
            </w:pPr>
          </w:p>
        </w:tc>
        <w:tc>
          <w:tcPr>
            <w:tcW w:w="1080" w:type="dxa"/>
            <w:vAlign w:val="bottom"/>
            <w:gridSpan w:val="2"/>
          </w:tcPr>
          <w:p>
            <w:pPr>
              <w:jc w:val="right"/>
              <w:ind w:right="628"/>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2.25 - 5.50%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2.25 - 5.50%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Amounts reclassified from Accumulated Other Comprehensive Loss associated with employee benefit plan costs and recognized on the Company’s Consolidated Statements of Operations for the years ended September 30, 2015, 2014 and 2013 were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Selling expenses</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0.3</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0.3</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0.5</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4620"/>
              <w:spacing w:after="0"/>
              <w:rPr>
                <w:sz w:val="20"/>
                <w:szCs w:val="20"/>
                <w:color w:val="auto"/>
              </w:rPr>
            </w:pPr>
            <w:r>
              <w:rPr>
                <w:rFonts w:ascii="Arial" w:cs="Arial" w:eastAsia="Arial" w:hAnsi="Arial"/>
                <w:sz w:val="18"/>
                <w:szCs w:val="18"/>
                <w:color w:val="auto"/>
              </w:rPr>
              <w:t>F-42</w:t>
            </w: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net loss in Accumulated Other Comprehensive Loss expected to be recognized during the year ended September 30, 2016 is $2.4 million.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contains the components of net periodic benefit cost for the years ended September 30, 2015, 2014 and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U.S. Plans</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4"/>
              </w:rPr>
              <w:t>Non U.S. Plans</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4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(4.1)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Curtailment</w:t>
            </w:r>
          </w:p>
        </w:tc>
        <w:tc>
          <w:tcPr>
            <w:tcW w:w="120" w:type="dxa"/>
            <w:vAlign w:val="bottom"/>
          </w:tcPr>
          <w:p>
            <w:pPr>
              <w:spacing w:after="0"/>
              <w:rPr>
                <w:sz w:val="18"/>
                <w:szCs w:val="18"/>
                <w:color w:val="auto"/>
              </w:rPr>
            </w:pPr>
          </w:p>
        </w:tc>
        <w:tc>
          <w:tcPr>
            <w:tcW w:w="5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(0.8</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assumptions</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1520" w:type="dxa"/>
            <w:vAlign w:val="bottom"/>
          </w:tcPr>
          <w:p>
            <w:pPr>
              <w:ind w:left="760"/>
              <w:spacing w:after="0"/>
              <w:rPr>
                <w:sz w:val="20"/>
                <w:szCs w:val="20"/>
                <w:color w:val="auto"/>
              </w:rPr>
            </w:pPr>
            <w:r>
              <w:rPr>
                <w:rFonts w:ascii="Arial" w:cs="Arial" w:eastAsia="Arial" w:hAnsi="Arial"/>
                <w:sz w:val="18"/>
                <w:szCs w:val="18"/>
                <w:color w:val="auto"/>
              </w:rPr>
              <w:t>4.15%</w:t>
            </w:r>
          </w:p>
        </w:tc>
        <w:tc>
          <w:tcPr>
            <w:tcW w:w="1020" w:type="dxa"/>
            <w:vAlign w:val="bottom"/>
          </w:tcPr>
          <w:p>
            <w:pPr>
              <w:ind w:left="280"/>
              <w:spacing w:after="0"/>
              <w:rPr>
                <w:sz w:val="20"/>
                <w:szCs w:val="20"/>
                <w:color w:val="auto"/>
              </w:rPr>
            </w:pPr>
            <w:r>
              <w:rPr>
                <w:rFonts w:ascii="Arial" w:cs="Arial" w:eastAsia="Arial" w:hAnsi="Arial"/>
                <w:sz w:val="18"/>
                <w:szCs w:val="18"/>
                <w:color w:val="auto"/>
              </w:rPr>
              <w:t>4.65%</w:t>
            </w:r>
          </w:p>
        </w:tc>
        <w:tc>
          <w:tcPr>
            <w:tcW w:w="1020" w:type="dxa"/>
            <w:vAlign w:val="bottom"/>
          </w:tcPr>
          <w:p>
            <w:pPr>
              <w:ind w:left="280"/>
              <w:spacing w:after="0"/>
              <w:rPr>
                <w:sz w:val="20"/>
                <w:szCs w:val="20"/>
                <w:color w:val="auto"/>
              </w:rPr>
            </w:pPr>
            <w:r>
              <w:rPr>
                <w:rFonts w:ascii="Arial" w:cs="Arial" w:eastAsia="Arial" w:hAnsi="Arial"/>
                <w:sz w:val="18"/>
                <w:szCs w:val="18"/>
                <w:color w:val="auto"/>
              </w:rPr>
              <w:t>3.75%</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2.00 - 13.50%</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2.25 - 12.50%</w:t>
            </w:r>
          </w:p>
        </w:tc>
        <w:tc>
          <w:tcPr>
            <w:tcW w:w="1360" w:type="dxa"/>
            <w:vAlign w:val="bottom"/>
          </w:tcPr>
          <w:p>
            <w:pPr>
              <w:jc w:val="right"/>
              <w:spacing w:after="0"/>
              <w:rPr>
                <w:sz w:val="20"/>
                <w:szCs w:val="20"/>
                <w:color w:val="auto"/>
              </w:rPr>
            </w:pPr>
            <w:r>
              <w:rPr>
                <w:rFonts w:ascii="Arial" w:cs="Arial" w:eastAsia="Arial" w:hAnsi="Arial"/>
                <w:sz w:val="18"/>
                <w:szCs w:val="18"/>
                <w:color w:val="auto"/>
              </w:rPr>
              <w:t>1.75 - 13.00%</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15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7.50%</w:t>
            </w:r>
          </w:p>
        </w:tc>
        <w:tc>
          <w:tcPr>
            <w:tcW w:w="1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7.75%</w:t>
            </w:r>
          </w:p>
        </w:tc>
        <w:tc>
          <w:tcPr>
            <w:tcW w:w="1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7.75%</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2.00 - 5.26%</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4.00 - 5.76%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3.60 - 5.00%</w:t>
            </w: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Rate of compensation increase</w:t>
            </w:r>
          </w:p>
        </w:tc>
        <w:tc>
          <w:tcPr>
            <w:tcW w:w="1520" w:type="dxa"/>
            <w:vAlign w:val="bottom"/>
          </w:tcPr>
          <w:p>
            <w:pPr>
              <w:ind w:left="780"/>
              <w:spacing w:after="0"/>
              <w:rPr>
                <w:sz w:val="20"/>
                <w:szCs w:val="20"/>
                <w:color w:val="auto"/>
              </w:rPr>
            </w:pPr>
            <w:r>
              <w:rPr>
                <w:rFonts w:ascii="Arial" w:cs="Arial" w:eastAsia="Arial" w:hAnsi="Arial"/>
                <w:sz w:val="18"/>
                <w:szCs w:val="18"/>
                <w:color w:val="auto"/>
              </w:rPr>
              <w:t>N/A</w:t>
            </w:r>
          </w:p>
        </w:tc>
        <w:tc>
          <w:tcPr>
            <w:tcW w:w="1020" w:type="dxa"/>
            <w:vAlign w:val="bottom"/>
          </w:tcPr>
          <w:p>
            <w:pPr>
              <w:ind w:left="280"/>
              <w:spacing w:after="0"/>
              <w:rPr>
                <w:sz w:val="20"/>
                <w:szCs w:val="20"/>
                <w:color w:val="auto"/>
              </w:rPr>
            </w:pPr>
            <w:r>
              <w:rPr>
                <w:rFonts w:ascii="Arial" w:cs="Arial" w:eastAsia="Arial" w:hAnsi="Arial"/>
                <w:sz w:val="18"/>
                <w:szCs w:val="18"/>
                <w:color w:val="auto"/>
              </w:rPr>
              <w:t>N/A</w:t>
            </w:r>
          </w:p>
        </w:tc>
        <w:tc>
          <w:tcPr>
            <w:tcW w:w="1020" w:type="dxa"/>
            <w:vAlign w:val="bottom"/>
          </w:tcPr>
          <w:p>
            <w:pPr>
              <w:ind w:left="280"/>
              <w:spacing w:after="0"/>
              <w:rPr>
                <w:sz w:val="20"/>
                <w:szCs w:val="20"/>
                <w:color w:val="auto"/>
              </w:rPr>
            </w:pPr>
            <w:r>
              <w:rPr>
                <w:rFonts w:ascii="Arial" w:cs="Arial" w:eastAsia="Arial" w:hAnsi="Arial"/>
                <w:sz w:val="18"/>
                <w:szCs w:val="18"/>
                <w:color w:val="auto"/>
              </w:rPr>
              <w:t>N/A</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2.25 - 5.50%</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2.25 - 5.50%</w:t>
            </w:r>
          </w:p>
        </w:tc>
        <w:tc>
          <w:tcPr>
            <w:tcW w:w="1360" w:type="dxa"/>
            <w:vAlign w:val="bottom"/>
          </w:tcPr>
          <w:p>
            <w:pPr>
              <w:jc w:val="right"/>
              <w:spacing w:after="0"/>
              <w:rPr>
                <w:sz w:val="20"/>
                <w:szCs w:val="20"/>
                <w:color w:val="auto"/>
              </w:rPr>
            </w:pPr>
            <w:r>
              <w:rPr>
                <w:rFonts w:ascii="Arial" w:cs="Arial" w:eastAsia="Arial" w:hAnsi="Arial"/>
                <w:sz w:val="18"/>
                <w:szCs w:val="18"/>
                <w:color w:val="auto"/>
              </w:rPr>
              <w:t>2.25 - 5.50%</w:t>
            </w: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discount rate is used to calculate the projected benefit obligation. The discount rate used is based on the rate of return on government bonds as well as current market conditions of the respective countries where the plans are established. The expected return on plan assets is based on the Company’s expectation of the long-term average rate of return of the capital market in which the plans invest. The expected return reflects the target asset allocations and considers the historical returns earned for each asset category.</w:t>
      </w:r>
    </w:p>
    <w:p>
      <w:pPr>
        <w:spacing w:after="0" w:line="18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The Company has established formal investment policies for the assets associated with these plans. Policy objectives include maximizing long-term return at acceptable risk levels, diversifying among asset classes, if appropriate, and among investment managers, as well as establishing relevant risk parameters within each asset class. Specific asset class targets are based on the results of periodic asset/liability studies. The investment policies permit variances from the targets within certain parameters. The plan assets currently do not include holdings of the Company’s common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allocation of all pension plan assets as of September 30, 2015 and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8"/>
              </w:rPr>
              <w:t>Asset Type</w:t>
            </w:r>
          </w:p>
        </w:tc>
        <w:tc>
          <w:tcPr>
            <w:tcW w:w="2740" w:type="dxa"/>
            <w:vAlign w:val="bottom"/>
            <w:vMerge w:val="restart"/>
          </w:tcPr>
          <w:p>
            <w:pPr>
              <w:spacing w:after="0"/>
              <w:rPr>
                <w:sz w:val="14"/>
                <w:szCs w:val="14"/>
                <w:color w:val="auto"/>
              </w:rPr>
            </w:pPr>
          </w:p>
        </w:tc>
        <w:tc>
          <w:tcPr>
            <w:tcW w:w="3860" w:type="dxa"/>
            <w:vAlign w:val="bottom"/>
          </w:tcPr>
          <w:p>
            <w:pPr>
              <w:spacing w:after="0"/>
              <w:rPr>
                <w:sz w:val="14"/>
                <w:szCs w:val="14"/>
                <w:color w:val="auto"/>
              </w:rPr>
            </w:pPr>
          </w:p>
        </w:tc>
        <w:tc>
          <w:tcPr>
            <w:tcW w:w="178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U.S. Plans</w:t>
            </w:r>
          </w:p>
        </w:tc>
        <w:tc>
          <w:tcPr>
            <w:tcW w:w="14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Non U.S. Plans</w:t>
            </w:r>
          </w:p>
        </w:tc>
        <w:tc>
          <w:tcPr>
            <w:tcW w:w="0" w:type="dxa"/>
            <w:vAlign w:val="bottom"/>
          </w:tcPr>
          <w:p>
            <w:pPr>
              <w:spacing w:after="0"/>
              <w:rPr>
                <w:sz w:val="1"/>
                <w:szCs w:val="1"/>
                <w:color w:val="auto"/>
              </w:rPr>
            </w:pPr>
          </w:p>
        </w:tc>
      </w:tr>
      <w:tr>
        <w:trPr>
          <w:trHeight w:val="142"/>
        </w:trPr>
        <w:tc>
          <w:tcPr>
            <w:tcW w:w="680" w:type="dxa"/>
            <w:vAlign w:val="bottom"/>
            <w:tcBorders>
              <w:bottom w:val="single" w:sz="8" w:color="auto"/>
            </w:tcBorders>
            <w:vMerge w:val="continue"/>
          </w:tcPr>
          <w:p>
            <w:pPr>
              <w:spacing w:after="0"/>
              <w:rPr>
                <w:sz w:val="12"/>
                <w:szCs w:val="12"/>
                <w:color w:val="auto"/>
              </w:rPr>
            </w:pPr>
          </w:p>
        </w:tc>
        <w:tc>
          <w:tcPr>
            <w:tcW w:w="2740" w:type="dxa"/>
            <w:vAlign w:val="bottom"/>
            <w:tcBorders>
              <w:bottom w:val="single" w:sz="8" w:color="CCEEFF"/>
            </w:tcBorders>
            <w:vMerge w:val="continue"/>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5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5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5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3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63%</w:t>
            </w:r>
          </w:p>
        </w:tc>
        <w:tc>
          <w:tcPr>
            <w:tcW w:w="9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61%</w:t>
            </w:r>
          </w:p>
        </w:tc>
        <w:tc>
          <w:tcPr>
            <w:tcW w:w="8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Fixed Income Securities</w:t>
            </w:r>
          </w:p>
        </w:tc>
        <w:tc>
          <w:tcPr>
            <w:tcW w:w="4740" w:type="dxa"/>
            <w:vAlign w:val="bottom"/>
            <w:gridSpan w:val="3"/>
          </w:tcPr>
          <w:p>
            <w:pPr>
              <w:jc w:val="right"/>
              <w:ind w:right="330"/>
              <w:spacing w:after="0"/>
              <w:rPr>
                <w:sz w:val="20"/>
                <w:szCs w:val="20"/>
                <w:color w:val="auto"/>
              </w:rPr>
            </w:pPr>
            <w:r>
              <w:rPr>
                <w:rFonts w:ascii="Arial" w:cs="Arial" w:eastAsia="Arial" w:hAnsi="Arial"/>
                <w:sz w:val="18"/>
                <w:szCs w:val="18"/>
                <w:color w:val="auto"/>
              </w:rPr>
              <w:t>35%</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37%</w:t>
            </w:r>
          </w:p>
        </w:tc>
        <w:tc>
          <w:tcPr>
            <w:tcW w:w="880" w:type="dxa"/>
            <w:vAlign w:val="bottom"/>
            <w:gridSpan w:val="2"/>
          </w:tcPr>
          <w:p>
            <w:pPr>
              <w:jc w:val="right"/>
              <w:ind w:right="330"/>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8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330"/>
              <w:spacing w:after="0"/>
              <w:rPr>
                <w:sz w:val="20"/>
                <w:szCs w:val="20"/>
                <w:color w:val="auto"/>
              </w:rPr>
            </w:pPr>
            <w:r>
              <w:rPr>
                <w:rFonts w:ascii="Arial" w:cs="Arial" w:eastAsia="Arial" w:hAnsi="Arial"/>
                <w:sz w:val="18"/>
                <w:szCs w:val="18"/>
                <w:color w:val="auto"/>
                <w:w w:val="74"/>
              </w:rPr>
              <w:t>%</w:t>
            </w:r>
          </w:p>
        </w:tc>
        <w:tc>
          <w:tcPr>
            <w:tcW w:w="320" w:type="dxa"/>
            <w:vAlign w:val="bottom"/>
            <w:shd w:val="clear" w:color="auto" w:fill="000000"/>
          </w:tcPr>
          <w:p>
            <w:pPr>
              <w:spacing w:after="0" w:line="20" w:lineRule="exact"/>
              <w:rPr>
                <w:sz w:val="1"/>
                <w:szCs w:val="1"/>
                <w:color w:val="auto"/>
              </w:rPr>
            </w:pPr>
          </w:p>
        </w:tc>
        <w:tc>
          <w:tcPr>
            <w:tcW w:w="580" w:type="dxa"/>
            <w:vAlign w:val="bottom"/>
            <w:vMerge w:val="restart"/>
          </w:tcPr>
          <w:p>
            <w:pPr>
              <w:jc w:val="right"/>
              <w:ind w:right="330"/>
              <w:spacing w:after="0"/>
              <w:rPr>
                <w:sz w:val="20"/>
                <w:szCs w:val="20"/>
                <w:color w:val="auto"/>
              </w:rPr>
            </w:pPr>
            <w:r>
              <w:rPr>
                <w:rFonts w:ascii="Arial" w:cs="Arial" w:eastAsia="Arial" w:hAnsi="Arial"/>
                <w:sz w:val="18"/>
                <w:szCs w:val="18"/>
                <w:color w:val="auto"/>
                <w:w w:val="87"/>
              </w:rPr>
              <w:t>%</w:t>
            </w:r>
          </w:p>
        </w:tc>
        <w:tc>
          <w:tcPr>
            <w:tcW w:w="32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330"/>
              <w:spacing w:after="0"/>
              <w:rPr>
                <w:sz w:val="20"/>
                <w:szCs w:val="20"/>
                <w:color w:val="auto"/>
              </w:rPr>
            </w:pPr>
            <w:r>
              <w:rPr>
                <w:rFonts w:ascii="Arial" w:cs="Arial" w:eastAsia="Arial" w:hAnsi="Arial"/>
                <w:sz w:val="18"/>
                <w:szCs w:val="18"/>
                <w:color w:val="auto"/>
                <w:w w:val="74"/>
              </w:rPr>
              <w:t>%</w:t>
            </w: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vMerge w:val="continue"/>
          </w:tcPr>
          <w:p>
            <w:pPr>
              <w:spacing w:after="0"/>
              <w:rPr>
                <w:sz w:val="19"/>
                <w:szCs w:val="19"/>
                <w:color w:val="auto"/>
              </w:rPr>
            </w:pPr>
          </w:p>
        </w:tc>
        <w:tc>
          <w:tcPr>
            <w:tcW w:w="386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56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58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560" w:type="dxa"/>
            <w:vAlign w:val="bottom"/>
            <w:vMerge w:val="continue"/>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740" w:type="dxa"/>
            <w:vAlign w:val="bottom"/>
            <w:gridSpan w:val="3"/>
          </w:tcPr>
          <w:p>
            <w:pPr>
              <w:jc w:val="right"/>
              <w:ind w:right="2650"/>
              <w:spacing w:after="0"/>
              <w:rPr>
                <w:sz w:val="20"/>
                <w:szCs w:val="20"/>
                <w:color w:val="auto"/>
              </w:rPr>
            </w:pPr>
            <w:r>
              <w:rPr>
                <w:rFonts w:ascii="Arial" w:cs="Arial" w:eastAsia="Arial" w:hAnsi="Arial"/>
                <w:sz w:val="18"/>
                <w:szCs w:val="18"/>
                <w:color w:val="auto"/>
              </w:rPr>
              <w:t>F-43</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pension plan assets by asset category as of September 30, 2015 and 2014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2015</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Level 1</w:t>
            </w:r>
          </w:p>
        </w:tc>
        <w:tc>
          <w:tcPr>
            <w:tcW w:w="300" w:type="dxa"/>
            <w:vAlign w:val="bottom"/>
          </w:tcPr>
          <w:p>
            <w:pPr>
              <w:spacing w:after="0"/>
              <w:rPr>
                <w:sz w:val="16"/>
                <w:szCs w:val="16"/>
                <w:color w:val="auto"/>
              </w:rPr>
            </w:pPr>
          </w:p>
        </w:tc>
        <w:tc>
          <w:tcPr>
            <w:tcW w:w="100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w w:val="96"/>
              </w:rPr>
              <w:t>Level 2</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6"/>
          </w:tcPr>
          <w:p>
            <w:pPr>
              <w:ind w:left="24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U.S. equity securities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$ 18.6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8"/>
              <w:spacing w:after="0"/>
              <w:rPr>
                <w:sz w:val="20"/>
                <w:szCs w:val="20"/>
                <w:color w:val="auto"/>
              </w:rPr>
            </w:pPr>
            <w:r>
              <w:rPr>
                <w:rFonts w:ascii="Arial" w:cs="Arial" w:eastAsia="Arial" w:hAnsi="Arial"/>
                <w:sz w:val="18"/>
                <w:szCs w:val="18"/>
                <w:color w:val="auto"/>
              </w:rPr>
              <w:t>7.1</w:t>
            </w:r>
          </w:p>
        </w:tc>
        <w:tc>
          <w:tcPr>
            <w:tcW w:w="940" w:type="dxa"/>
            <w:vAlign w:val="bottom"/>
            <w:gridSpan w:val="4"/>
          </w:tcPr>
          <w:p>
            <w:pPr>
              <w:jc w:val="right"/>
              <w:ind w:right="5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equity securities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6.2</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U.S.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1.3</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Foreign bonds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8"/>
              <w:spacing w:after="0"/>
              <w:rPr>
                <w:sz w:val="20"/>
                <w:szCs w:val="20"/>
                <w:color w:val="auto"/>
              </w:rPr>
            </w:pPr>
            <w:r>
              <w:rPr>
                <w:rFonts w:ascii="Arial" w:cs="Arial" w:eastAsia="Arial" w:hAnsi="Arial"/>
                <w:sz w:val="18"/>
                <w:szCs w:val="18"/>
                <w:color w:val="auto"/>
                <w:w w:val="96"/>
              </w:rPr>
              <w:t>15.1</w:t>
            </w:r>
          </w:p>
        </w:tc>
        <w:tc>
          <w:tcPr>
            <w:tcW w:w="94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government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96"/>
              </w:rPr>
              <w:t>11.2</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8"/>
              <w:spacing w:after="0"/>
              <w:rPr>
                <w:sz w:val="20"/>
                <w:szCs w:val="20"/>
                <w:color w:val="auto"/>
              </w:rPr>
            </w:pPr>
            <w:r>
              <w:rPr>
                <w:rFonts w:ascii="Arial" w:cs="Arial" w:eastAsia="Arial" w:hAnsi="Arial"/>
                <w:sz w:val="18"/>
                <w:szCs w:val="18"/>
                <w:color w:val="auto"/>
              </w:rPr>
              <w:t>6.0</w:t>
            </w:r>
          </w:p>
        </w:tc>
        <w:tc>
          <w:tcPr>
            <w:tcW w:w="94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Life insurance contracts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96"/>
              </w:rPr>
              <w:t>35.5</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8"/>
              <w:spacing w:after="0"/>
              <w:rPr>
                <w:sz w:val="20"/>
                <w:szCs w:val="20"/>
                <w:color w:val="auto"/>
              </w:rPr>
            </w:pPr>
            <w:r>
              <w:rPr>
                <w:rFonts w:ascii="Arial" w:cs="Arial" w:eastAsia="Arial" w:hAnsi="Arial"/>
                <w:sz w:val="18"/>
                <w:szCs w:val="18"/>
                <w:color w:val="auto"/>
                <w:w w:val="96"/>
              </w:rPr>
              <w:t>33.1</w:t>
            </w:r>
          </w:p>
        </w:tc>
        <w:tc>
          <w:tcPr>
            <w:tcW w:w="94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cash &amp; cash equivalents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Arial" w:cs="Arial" w:eastAsia="Arial" w:hAnsi="Arial"/>
                <w:sz w:val="18"/>
                <w:szCs w:val="18"/>
                <w:color w:val="auto"/>
              </w:rPr>
              <w:t>Total plan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$ 59.6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115.5</w:t>
            </w:r>
          </w:p>
        </w:tc>
        <w:tc>
          <w:tcPr>
            <w:tcW w:w="5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September 30, 2014</w:t>
            </w: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60" w:type="dxa"/>
            <w:vAlign w:val="bottom"/>
            <w:gridSpan w:val="3"/>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Level 1</w:t>
            </w:r>
          </w:p>
        </w:tc>
        <w:tc>
          <w:tcPr>
            <w:tcW w:w="300" w:type="dxa"/>
            <w:vAlign w:val="bottom"/>
          </w:tcPr>
          <w:p>
            <w:pPr>
              <w:spacing w:after="0"/>
              <w:rPr>
                <w:sz w:val="24"/>
                <w:szCs w:val="24"/>
                <w:color w:val="auto"/>
              </w:rPr>
            </w:pPr>
          </w:p>
        </w:tc>
        <w:tc>
          <w:tcPr>
            <w:tcW w:w="100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w w:val="96"/>
              </w:rPr>
              <w:t>Level 2</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6"/>
          </w:tcPr>
          <w:p>
            <w:pPr>
              <w:ind w:left="24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U.S. equity securities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$ 19.9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8"/>
              <w:spacing w:after="0"/>
              <w:rPr>
                <w:sz w:val="20"/>
                <w:szCs w:val="20"/>
                <w:color w:val="auto"/>
              </w:rPr>
            </w:pPr>
            <w:r>
              <w:rPr>
                <w:rFonts w:ascii="Arial" w:cs="Arial" w:eastAsia="Arial" w:hAnsi="Arial"/>
                <w:sz w:val="18"/>
                <w:szCs w:val="18"/>
                <w:color w:val="auto"/>
              </w:rPr>
              <w:t>7.1</w:t>
            </w:r>
          </w:p>
        </w:tc>
        <w:tc>
          <w:tcPr>
            <w:tcW w:w="940" w:type="dxa"/>
            <w:vAlign w:val="bottom"/>
            <w:gridSpan w:val="4"/>
          </w:tcPr>
          <w:p>
            <w:pPr>
              <w:jc w:val="right"/>
              <w:ind w:right="5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equity securities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7.6</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U.S.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96"/>
              </w:rPr>
              <w:t>15.2</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Foreign bonds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8"/>
              <w:spacing w:after="0"/>
              <w:rPr>
                <w:sz w:val="20"/>
                <w:szCs w:val="20"/>
                <w:color w:val="auto"/>
              </w:rPr>
            </w:pPr>
            <w:r>
              <w:rPr>
                <w:rFonts w:ascii="Arial" w:cs="Arial" w:eastAsia="Arial" w:hAnsi="Arial"/>
                <w:sz w:val="18"/>
                <w:szCs w:val="18"/>
                <w:color w:val="auto"/>
                <w:w w:val="96"/>
              </w:rPr>
              <w:t>20.5</w:t>
            </w:r>
          </w:p>
        </w:tc>
        <w:tc>
          <w:tcPr>
            <w:tcW w:w="94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government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8.5</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8"/>
              <w:spacing w:after="0"/>
              <w:rPr>
                <w:sz w:val="20"/>
                <w:szCs w:val="20"/>
                <w:color w:val="auto"/>
              </w:rPr>
            </w:pPr>
            <w:r>
              <w:rPr>
                <w:rFonts w:ascii="Arial" w:cs="Arial" w:eastAsia="Arial" w:hAnsi="Arial"/>
                <w:sz w:val="18"/>
                <w:szCs w:val="18"/>
                <w:color w:val="auto"/>
              </w:rPr>
              <w:t>5.9</w:t>
            </w:r>
          </w:p>
        </w:tc>
        <w:tc>
          <w:tcPr>
            <w:tcW w:w="94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Life insurance contracts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96"/>
              </w:rPr>
              <w:t>37.7</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8"/>
              <w:spacing w:after="0"/>
              <w:rPr>
                <w:sz w:val="20"/>
                <w:szCs w:val="20"/>
                <w:color w:val="auto"/>
              </w:rPr>
            </w:pPr>
            <w:r>
              <w:rPr>
                <w:rFonts w:ascii="Arial" w:cs="Arial" w:eastAsia="Arial" w:hAnsi="Arial"/>
                <w:sz w:val="18"/>
                <w:szCs w:val="18"/>
                <w:color w:val="auto"/>
                <w:w w:val="96"/>
              </w:rPr>
              <w:t>38.7</w:t>
            </w:r>
          </w:p>
        </w:tc>
        <w:tc>
          <w:tcPr>
            <w:tcW w:w="94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cash &amp; cash equivalents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1.9</w:t>
            </w:r>
          </w:p>
        </w:tc>
        <w:tc>
          <w:tcPr>
            <w:tcW w:w="9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Arial" w:cs="Arial" w:eastAsia="Arial" w:hAnsi="Arial"/>
                <w:sz w:val="18"/>
                <w:szCs w:val="18"/>
                <w:color w:val="auto"/>
              </w:rPr>
              <w:t>Total plan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$ 45.8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143.1</w:t>
            </w:r>
          </w:p>
        </w:tc>
        <w:tc>
          <w:tcPr>
            <w:tcW w:w="5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The following benefit payments are expected to be paid:</w:t>
            </w: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gridSpan w:val="3"/>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U.S. Plans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5"/>
          </w:tcPr>
          <w:p>
            <w:pPr>
              <w:ind w:left="100"/>
              <w:spacing w:after="0"/>
              <w:rPr>
                <w:sz w:val="20"/>
                <w:szCs w:val="20"/>
                <w:color w:val="auto"/>
              </w:rPr>
            </w:pPr>
            <w:r>
              <w:rPr>
                <w:rFonts w:ascii="Arial" w:cs="Arial" w:eastAsia="Arial" w:hAnsi="Arial"/>
                <w:sz w:val="14"/>
                <w:szCs w:val="14"/>
                <w:b w:val="1"/>
                <w:bCs w:val="1"/>
                <w:color w:val="auto"/>
              </w:rPr>
              <w:t>Non U.S. Plans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right"/>
              <w:ind w:right="328"/>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9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2017</w:t>
            </w:r>
          </w:p>
        </w:tc>
        <w:tc>
          <w:tcPr>
            <w:tcW w:w="3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2019</w:t>
            </w:r>
          </w:p>
        </w:tc>
        <w:tc>
          <w:tcPr>
            <w:tcW w:w="3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2021-2025</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ind w:left="200"/>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Postretirement Benefits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Under the Rayovac postretirement plan, the Company provides certain health care and life insurance benefits to eligible retired employees. Participants earn retiree health care benefits after reaching age 40 over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60"/>
          </w:cols>
          <w:pgMar w:left="240" w:top="459" w:right="29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next 10 succeeding years of service, and remain eligible until reaching age 65. The plan is contributory; retiree contributions have been established as a flat dollar amount with contribution rates expected to increase at the active medical cost trend rate. The plan is unfunded. The Company is amortizing the transition obligation over a 20-year period. The projected benefit obligation as of September 30, 2015 and 2014 was $0.4 million and recognized as Other Long-Term Liabilities in the Consolidated Statements of Financial Position. Net periodic cost was less than $0.1 million for the years ended September 30, 2015, 2014, and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sponsors a defined contribution pension plan for its domestic salaried employees, which allows participants to make contributions by salary reduction pursuant to Section 401(k) of the Internal Revenue Code. The Company also sponsors defined contribution pension plans for employees of certain foreign subsidiaries. Company contributions charged to operations, including discretionary amounts, for the years ended September 30, 2015, 2014 and 2013 were $11.2 million, $12.3 million, and $11.1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was calculated based upon the following components of income (loss) from operations before income taxes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2014, and 2013:</w:t>
      </w:r>
    </w:p>
    <w:p>
      <w:pPr>
        <w:spacing w:after="0" w:line="229"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SB/RH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6350</wp:posOffset>
            </wp:positionV>
            <wp:extent cx="149225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9060"/>
        <w:spacing w:after="0"/>
        <w:tabs>
          <w:tab w:leader="none" w:pos="9940" w:val="left"/>
          <w:tab w:leader="none" w:pos="108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-3175</wp:posOffset>
            </wp:positionV>
            <wp:extent cx="14922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9760"/>
        <w:spacing w:after="0" w:line="233" w:lineRule="auto"/>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6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  9.8</w:t>
            </w: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$ 83.3</w:t>
            </w:r>
          </w:p>
        </w:tc>
        <w:tc>
          <w:tcPr>
            <w:tcW w:w="2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5"/>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Outside the United States</w:t>
            </w:r>
          </w:p>
        </w:tc>
        <w:tc>
          <w:tcPr>
            <w:tcW w:w="240" w:type="dxa"/>
            <w:vAlign w:val="bottom"/>
          </w:tcPr>
          <w:p>
            <w:pPr>
              <w:spacing w:after="0"/>
              <w:rPr>
                <w:sz w:val="18"/>
                <w:szCs w:val="18"/>
                <w:color w:val="auto"/>
              </w:rPr>
            </w:pPr>
          </w:p>
        </w:tc>
        <w:tc>
          <w:tcPr>
            <w:tcW w:w="820" w:type="dxa"/>
            <w:vAlign w:val="bottom"/>
            <w:gridSpan w:val="3"/>
          </w:tcPr>
          <w:p>
            <w:pPr>
              <w:jc w:val="right"/>
              <w:ind w:right="248"/>
              <w:spacing w:after="0"/>
              <w:rPr>
                <w:sz w:val="20"/>
                <w:szCs w:val="20"/>
                <w:color w:val="auto"/>
              </w:rPr>
            </w:pPr>
            <w:r>
              <w:rPr>
                <w:rFonts w:ascii="Arial" w:cs="Arial" w:eastAsia="Arial" w:hAnsi="Arial"/>
                <w:sz w:val="18"/>
                <w:szCs w:val="18"/>
                <w:color w:val="auto"/>
              </w:rPr>
              <w:t>189.9</w:t>
            </w:r>
          </w:p>
        </w:tc>
        <w:tc>
          <w:tcPr>
            <w:tcW w:w="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192.8</w:t>
            </w:r>
          </w:p>
        </w:tc>
        <w:tc>
          <w:tcPr>
            <w:tcW w:w="200" w:type="dxa"/>
            <w:vAlign w:val="bottom"/>
          </w:tcPr>
          <w:p>
            <w:pPr>
              <w:spacing w:after="0"/>
              <w:rPr>
                <w:sz w:val="18"/>
                <w:szCs w:val="18"/>
                <w:color w:val="auto"/>
              </w:rPr>
            </w:pPr>
          </w:p>
        </w:tc>
        <w:tc>
          <w:tcPr>
            <w:tcW w:w="700" w:type="dxa"/>
            <w:vAlign w:val="bottom"/>
            <w:gridSpan w:val="5"/>
          </w:tcPr>
          <w:p>
            <w:pPr>
              <w:jc w:val="right"/>
              <w:ind w:right="1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276.1</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40"/>
              <w:spacing w:after="0"/>
              <w:rPr>
                <w:sz w:val="20"/>
                <w:szCs w:val="20"/>
                <w:color w:val="auto"/>
              </w:rPr>
            </w:pPr>
            <w:r>
              <w:rPr>
                <w:rFonts w:ascii="Arial" w:cs="Arial" w:eastAsia="Arial" w:hAnsi="Arial"/>
                <w:sz w:val="18"/>
                <w:szCs w:val="18"/>
                <w:color w:val="auto"/>
                <w:w w:val="91"/>
              </w:rPr>
              <w:t>The components of income tax expense for the years ended September 30, 2015, 2014 and 2013 are as follows:</w:t>
            </w: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11"/>
          </w:tcPr>
          <w:p>
            <w:pPr>
              <w:jc w:val="center"/>
              <w:ind w:right="260"/>
              <w:spacing w:after="0"/>
              <w:rPr>
                <w:sz w:val="20"/>
                <w:szCs w:val="20"/>
                <w:color w:val="auto"/>
              </w:rPr>
            </w:pPr>
            <w:r>
              <w:rPr>
                <w:rFonts w:ascii="Arial" w:cs="Arial" w:eastAsia="Arial" w:hAnsi="Arial"/>
                <w:sz w:val="14"/>
                <w:szCs w:val="14"/>
                <w:b w:val="1"/>
                <w:bCs w:val="1"/>
                <w:color w:val="auto"/>
                <w:w w:val="96"/>
              </w:rPr>
              <w:t>SB/RH Holdings, LLC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center"/>
              <w:ind w:left="133"/>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1140" w:type="dxa"/>
            <w:vAlign w:val="bottom"/>
            <w:gridSpan w:val="5"/>
          </w:tcPr>
          <w:p>
            <w:pPr>
              <w:jc w:val="right"/>
              <w:ind w:right="80"/>
              <w:spacing w:after="0"/>
              <w:rPr>
                <w:sz w:val="20"/>
                <w:szCs w:val="20"/>
                <w:color w:val="auto"/>
              </w:rPr>
            </w:pPr>
            <w:r>
              <w:rPr>
                <w:rFonts w:ascii="Arial" w:cs="Arial" w:eastAsia="Arial" w:hAnsi="Arial"/>
                <w:sz w:val="18"/>
                <w:szCs w:val="18"/>
                <w:color w:val="auto"/>
              </w:rPr>
              <w:t>$  3.6</w:t>
            </w: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$ 6.2</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State and local</w:t>
            </w:r>
          </w:p>
        </w:tc>
        <w:tc>
          <w:tcPr>
            <w:tcW w:w="580" w:type="dxa"/>
            <w:vAlign w:val="bottom"/>
            <w:gridSpan w:val="2"/>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tax expense</w:t>
            </w:r>
          </w:p>
        </w:tc>
        <w:tc>
          <w:tcPr>
            <w:tcW w:w="1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48.5</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Deferred tax expense: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Federal</w:t>
            </w:r>
          </w:p>
        </w:tc>
        <w:tc>
          <w:tcPr>
            <w:tcW w:w="1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Foreign</w:t>
            </w:r>
          </w:p>
        </w:tc>
        <w:tc>
          <w:tcPr>
            <w:tcW w:w="1140" w:type="dxa"/>
            <w:vAlign w:val="bottom"/>
            <w:gridSpan w:val="5"/>
          </w:tcPr>
          <w:p>
            <w:pPr>
              <w:jc w:val="right"/>
              <w:ind w:right="80"/>
              <w:spacing w:after="0"/>
              <w:rPr>
                <w:sz w:val="20"/>
                <w:szCs w:val="20"/>
                <w:color w:val="auto"/>
              </w:rPr>
            </w:pPr>
            <w:r>
              <w:rPr>
                <w:rFonts w:ascii="Arial" w:cs="Arial" w:eastAsia="Arial" w:hAnsi="Arial"/>
                <w:sz w:val="18"/>
                <w:szCs w:val="18"/>
                <w:color w:val="auto"/>
              </w:rPr>
              <w:t>11.2</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1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Total deferred tax expense</w:t>
            </w:r>
          </w:p>
        </w:tc>
        <w:tc>
          <w:tcPr>
            <w:tcW w:w="580" w:type="dxa"/>
            <w:vAlign w:val="bottom"/>
            <w:gridSpan w:val="2"/>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$ 43.9</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59.0</w:t>
            </w:r>
          </w:p>
        </w:tc>
        <w:tc>
          <w:tcPr>
            <w:tcW w:w="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5520"/>
              <w:spacing w:after="0"/>
              <w:rPr>
                <w:sz w:val="20"/>
                <w:szCs w:val="20"/>
                <w:color w:val="auto"/>
              </w:rPr>
            </w:pPr>
            <w:r>
              <w:rPr>
                <w:rFonts w:ascii="Arial" w:cs="Arial" w:eastAsia="Arial" w:hAnsi="Arial"/>
                <w:sz w:val="18"/>
                <w:szCs w:val="18"/>
                <w:color w:val="auto"/>
              </w:rPr>
              <w:t>F-45</w:t>
            </w: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reconciles the total income tax expense, based on the U.S. Federal statutory income tax rate of 35%, with the Company’s recognized income tax expense: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8"/>
              </w:rPr>
              <w:t>SB/RH Holdings, LLC</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Statutory federal income tax expense (benefit)</w:t>
            </w:r>
          </w:p>
        </w:tc>
        <w:tc>
          <w:tcPr>
            <w:tcW w:w="50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$ 69.9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Permanent items</w:t>
            </w:r>
          </w:p>
        </w:tc>
        <w:tc>
          <w:tcPr>
            <w:tcW w:w="5000" w:type="dxa"/>
            <w:vAlign w:val="bottom"/>
            <w:gridSpan w:val="3"/>
          </w:tcPr>
          <w:p>
            <w:pPr>
              <w:jc w:val="right"/>
              <w:ind w:right="148"/>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statutory rate vs. U.S. statutory rate</w:t>
            </w:r>
          </w:p>
        </w:tc>
        <w:tc>
          <w:tcPr>
            <w:tcW w:w="50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(25.1)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State income taxes, net of federal effect</w:t>
            </w:r>
          </w:p>
        </w:tc>
        <w:tc>
          <w:tcPr>
            <w:tcW w:w="5000" w:type="dxa"/>
            <w:vAlign w:val="bottom"/>
            <w:gridSpan w:val="3"/>
          </w:tcPr>
          <w:p>
            <w:pPr>
              <w:jc w:val="right"/>
              <w:ind w:right="148"/>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Residual tax on foreign earnings</w:t>
            </w:r>
          </w:p>
        </w:tc>
        <w:tc>
          <w:tcPr>
            <w:tcW w:w="50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Investment in foreign subsidiary</w:t>
            </w:r>
          </w:p>
        </w:tc>
        <w:tc>
          <w:tcPr>
            <w:tcW w:w="5000" w:type="dxa"/>
            <w:vAlign w:val="bottom"/>
            <w:gridSpan w:val="3"/>
          </w:tcPr>
          <w:p>
            <w:pPr>
              <w:jc w:val="right"/>
              <w:ind w:right="88"/>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 benefit</w:t>
            </w:r>
          </w:p>
        </w:tc>
        <w:tc>
          <w:tcPr>
            <w:tcW w:w="50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(49.8)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5000" w:type="dxa"/>
            <w:vAlign w:val="bottom"/>
            <w:gridSpan w:val="3"/>
          </w:tcPr>
          <w:p>
            <w:pPr>
              <w:jc w:val="right"/>
              <w:ind w:right="148"/>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(116.5)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111.6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expense</w:t>
            </w:r>
          </w:p>
        </w:tc>
        <w:tc>
          <w:tcPr>
            <w:tcW w:w="50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Foreign tax law changes</w:t>
            </w:r>
          </w:p>
        </w:tc>
        <w:tc>
          <w:tcPr>
            <w:tcW w:w="4320" w:type="dxa"/>
            <w:vAlign w:val="bottom"/>
          </w:tcPr>
          <w:p>
            <w:pPr>
              <w:spacing w:after="0"/>
              <w:rPr>
                <w:sz w:val="18"/>
                <w:szCs w:val="18"/>
                <w:color w:val="auto"/>
              </w:rPr>
            </w:pPr>
          </w:p>
        </w:tc>
        <w:tc>
          <w:tcPr>
            <w:tcW w:w="6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share based compensation</w:t>
            </w:r>
          </w:p>
        </w:tc>
        <w:tc>
          <w:tcPr>
            <w:tcW w:w="50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Adjustment to prior year NOLs</w:t>
            </w:r>
          </w:p>
        </w:tc>
        <w:tc>
          <w:tcPr>
            <w:tcW w:w="5000" w:type="dxa"/>
            <w:vAlign w:val="bottom"/>
            <w:gridSpan w:val="3"/>
          </w:tcPr>
          <w:p>
            <w:pPr>
              <w:jc w:val="right"/>
              <w:ind w:right="148"/>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 adjustments and other, net</w:t>
            </w:r>
          </w:p>
        </w:tc>
        <w:tc>
          <w:tcPr>
            <w:tcW w:w="50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Income tax expense</w:t>
            </w:r>
          </w:p>
        </w:tc>
        <w:tc>
          <w:tcPr>
            <w:tcW w:w="4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5000" w:type="dxa"/>
            <w:vAlign w:val="bottom"/>
            <w:gridSpan w:val="3"/>
          </w:tcPr>
          <w:p>
            <w:pPr>
              <w:jc w:val="right"/>
              <w:ind w:right="3668"/>
              <w:spacing w:after="0"/>
              <w:rPr>
                <w:sz w:val="20"/>
                <w:szCs w:val="20"/>
                <w:color w:val="auto"/>
              </w:rPr>
            </w:pPr>
            <w:r>
              <w:rPr>
                <w:rFonts w:ascii="Arial" w:cs="Arial" w:eastAsia="Arial" w:hAnsi="Arial"/>
                <w:sz w:val="18"/>
                <w:szCs w:val="18"/>
                <w:color w:val="auto"/>
              </w:rPr>
              <w:t>F-46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tax effects of temporary differences that give rise to deferred tax assets and deferred tax liabilities as of September 30, 2015 and 2014 are as follows:</w:t>
      </w:r>
    </w:p>
    <w:p>
      <w:pPr>
        <w:spacing w:after="0" w:line="189"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SB/RH Holdings,</w:t>
      </w:r>
    </w:p>
    <w:p>
      <w:pPr>
        <w:jc w:val="center"/>
        <w:ind w:left="8620"/>
        <w:spacing w:after="0" w:line="236" w:lineRule="auto"/>
        <w:rPr>
          <w:sz w:val="20"/>
          <w:szCs w:val="20"/>
          <w:color w:val="auto"/>
        </w:rPr>
      </w:pPr>
      <w:r>
        <w:rPr>
          <w:rFonts w:ascii="Arial" w:cs="Arial" w:eastAsia="Arial" w:hAnsi="Arial"/>
          <w:sz w:val="14"/>
          <w:szCs w:val="14"/>
          <w:b w:val="1"/>
          <w:bCs w:val="1"/>
          <w:color w:val="auto"/>
        </w:rPr>
        <w:t>LLC</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71"/>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Employee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Inventories and receivables</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promotional accruals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royalty</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Unrealized losses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Investment in non-US subsidiaries</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and credit carry forwards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Unrealized gains</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Taxes on unremitted foreign earnings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(266.4)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(296.8)</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net valuation allowance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(563.2)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(469.3)</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Reported as: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charges and other</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taxes (noncurrent liability)</w:t>
            </w:r>
          </w:p>
        </w:tc>
        <w:tc>
          <w:tcPr>
            <w:tcW w:w="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(607.0)</w:t>
            </w: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(513.2)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During the fourth quarter of the year ended September 30, 2015, the Company recognized $23.3 million of deferred tax assets related to its investment in one of its foreign subsidiaries because it is expected to reverse in the foreseeable future. The Company also recorded a $14.4 million reduction in its net operating loss deferred tax assets, with a corresponding reduction in the valuation allowance, to reflect losses used as a result of prior year adjustments.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necessary, the Company intends to utilize earnings of foreign subsidiaries in order to support management’s plans to voluntarily accelerate pay down of U.S. debt, fund distributions to shareholders, fund U.S. acquisitions and satisfy ongoing U.S. operational cash flow requirements. As a result, current and certain prior period earnings of the Company’s non-U.S. subsidiaries are generally not considered to be permanently reinvested, except in jurisdictions where repatriation is either precluded or restricted by law.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annually estimates the available earnings, permanent reinvestment classification and the availability of and management’s intent to use alternative mechanisms for repatriation for each jurisdiction in which the Company does business. Accordingly, the Company is providing residual U.S. and foreign deferred taxes on these earnings to the extent they cannot be repatriated in a tax-free manner. The Company has provided residual taxes on $37.5 million of distributions from foreign earnings for the year ended September 30, 2015 with no earnings not yet taxed in the U.S. resulting in a decrease in income tax expense of $0.3 million. The Company has provided residual taxes on $190.5 million of distributions from foreign earnings for the year ended September 30, 2014 with $3.1 million of earnings not yet taxed in the U.S. resulting in an increase in income tax expense of $0.1 million. For the year ended September 30, 2014, $178.7 million of the distributions related to one-time internal restructuring and external debt refinancing activities. Remaining undistributed earnings of the Company’s foreign operations are $183.8 million at September 30, 2015, and are intended to remain permanently invested. Accordingly, no residual income taxes have been provided on those earnings. If at some future date these earnings cease to be permanently invested, the Company may be subject to U.S. income taxes and foreign withholding and other taxes on such amounts, which cannot be reasonably estimated at this time.</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September 30, 2015, the Company has U.S. federal net operating loss carryforwards (“NOLs”) of $894.5 million with a federal tax benefit of $313.1 million and tax benefits related to state NOLs of $68.7 million and capital loss carryforwards of $14.2 million with a federal and state tax benefit of $5.4 million. The Company has an additional $59.6 million of federal and state NOLs for which benefits will be recorded to Additional Paid-in Capital when these carryforwards are used. These NOLs expire through years ending in 2035. As of September 30, 2015, the Company has foreign NOLs of $127.6 million which will expire beginning in the Company’s fiscal year ending September 30, 2016. Certain of the foreign NOLs have indefinite carryforward periods. The Company is subject to an annual limitation on the use of its NOLs that arose prior to its emergence from bankruptcy in the fiscal year ended September 30, 2009. The Company has had multiple changes of ownership, as defined under Section 382 of the Internal Revenue Code of 1986, as amended, that subject the Company’s U.S. federal and state NOLs and other tax attributes to certain limitations. The annual limitation is based on a number of factors including the value of the Company’s stock (as defined for tax purposes) on the date of the ownership change, its net unrealized gain position on that date, the occurrence of realized gains in years subsequent to the ownership change and the effects of subsequent ownership changes (as defined for tax purposes), if any. Due to these limitations, the Company estimates, as of September 30, 2015, that $272.9 million of the total U.S. federal NOLs with a federal tax benefit of $95.5 million and $16.7 million of the tax benefit related to state NOLs will expire unused even if the Company generates sufficient income to otherwise use all of its NOLs. In addition, separate return year limitations apply to limit the Company’s utilization of the acquired Russell Hobbs U.S. federal and state NOLs to future income of the Russell Hobbs subgroup. The Company also projects, as of September 30, 2015, that $29.4 million of foreign NOLs will not be used. The Company has provided a full valuation allowance against these deferred tax assets.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valuation allowance is recorded when it is more likely than not that some portion or all of the deferred tax assets will not be realized. The ultimate realization of the deferred tax assets depends on the ability of the Company to generate sufficient taxable income of the appropriate character in the future and in the appropriate taxing jurisdictions. As of September 30, 2015, the valuation allowance was $305.4 million, of which $268.7 million is related to U.S. net deferred tax assets and $36.7 million is related to foreign net deferred tax assets. As of September 30, 2014, the valuation allowance was $333.1 million, of which $299.1 million related to U.S. net deferred tax assets and $34.0 million related to foreign net deferred tax assets. During the year ended September 30, 2015, the Company decreased its valuation allowance for deferred tax assets by $27.7 million, of which $30.4 million related to a decrease in valuation allowance against U.S. net deferred tax asset and $2.7 million related to an increase in the valuation allowance against foreign net deferred tax asset. As a result of the AAG acquisition, the Company reversed $22.8 million of U.S. valuation allowance during the year ended September 30, 2015. The reversal was attributable to $22.8 million of net deferred tax liabilities recorded on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AAG acquisition balance sheet which offset other U.S net deferred tax assets. During the year ended September 30, 2015, the Company recorded valuation allowances of $17.0 million against the deferred tax assets of various Latin America entities as it is more likely than not that the Company will not obtain tax benefits from these assets. During the year ended September 30, 2014, the Company decreased its valuation allowance for deferred tax assets by $121.5 million, of which $122.6 million related to a decrease in the valuation allowance against U.S. net deferred tax assets and $1.1 million related to an increase in the valuation allowance against foreign net deferred tax assets. As a result of the one time internal restructuring and debt refinancing activities, the Company reversed $62.6 million of U.S. valuation allowance during the year ended September 30, 2014. As a result of the purchase of HHI Business, the Company reversed $49.8 million of U.S. valuation allowance during the year ended September 30, 2013. The reversal was attributable to $49.8 million of net deferred tax liabilities recorded on the HHI Business purchase accounting balance sheet which offset other U.S. net deferred tax assets.</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total amount of unrecognized tax benefits at September 30, 2015 and 2014 are $14.1 million and $11.3 million, respectively. If recognized in the future, $11.4 million of the unrecognized tax benefits as of September 30, 2015 will impact the effective tax rate and $2.7 million of unrecognized tax benefits would create deferred tax assets against which the Company would have a full valuation allowance. The Company recognizes interest and penalties related to uncertain tax positions in income tax expense. As of September 30, 2015 and 2014 the Company had $2.8 million and $3.5 million, respectively, of accrued interest and penalties related to uncertain tax positions. The impact on income tax expense related to interest and penalties for the years ended September 30, 2015, 2014 and 2013 was a net increase of $0.9 million, a net increase of $1.1 million and a net decrease of less than $0.1 million, respectively. The following table summarizes the changes to the amount of unrecognized tax benefits for the years ended September 30, 2015, 2014 and 2013:</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5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of year</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$ 11.3</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Gross increase—tax positions in prior period</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decrease—tax positions in prior period</w:t>
            </w:r>
          </w:p>
        </w:tc>
        <w:tc>
          <w:tcPr>
            <w:tcW w:w="2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(0.3)</w:t>
            </w: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Gross increase—tax positions in current period</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1.8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w:t>
            </w:r>
          </w:p>
        </w:tc>
        <w:tc>
          <w:tcPr>
            <w:tcW w:w="2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(0.1)</w:t>
            </w: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Lapse of statutes of limitations</w:t>
            </w:r>
          </w:p>
        </w:tc>
        <w:tc>
          <w:tcPr>
            <w:tcW w:w="17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w:t>
            </w:r>
          </w:p>
        </w:tc>
      </w:tr>
      <w:tr>
        <w:trPr>
          <w:trHeight w:val="27"/>
        </w:trPr>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end of year</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11.3</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13.8</w:t>
            </w:r>
          </w:p>
        </w:tc>
      </w:tr>
      <w:tr>
        <w:trPr>
          <w:trHeight w:val="20"/>
        </w:trPr>
        <w:tc>
          <w:tcPr>
            <w:tcW w:w="5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Company files income tax returns in the U.S. federal jurisdiction and various state, local and foreign jurisdictions and is subject to ongoing examination by the various taxing authorities. The Company’s major taxing jurisdictions are the U.S., United Kingdom and Germany. In the U.S., federal tax filings for years prior to and including the Company’s fiscal year ended September 30, 2011 are closed. However, the federal NOLs from the Company’s fiscal years ended September 30, 2011 and prior are subject to Internal Revenue Service (“IRS”) examination until the year that such net operating loss carryforwards are utilized and those years are closed for audit. Filings in various U.S. state and local jurisdictions are also subject to audit and to date no significant audit matters have arisen. As of September 30, 2015, certain of the Company’s legal entities are undergoing income tax audits. The Company cannot predict the ultimate outcome of the examinations; however, it is reasonably possible that during the next twelve months some portion of previously unrecognized tax benefits could be recognized.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14—RELATED PARTIES</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Company is subject to a stockholder agreement, dated February 9, 2010 (“Stockholder Agreement”), with its majority shareholder, HRG Group, Inc. (“HRG”), which provides certain protective provisions in favor of minority stockholders and provides certain rights and imposes certain obligations on HRG and its affiliates, including:</w:t>
      </w:r>
    </w:p>
    <w:p>
      <w:pPr>
        <w:spacing w:after="0" w:line="87" w:lineRule="exact"/>
        <w:rPr>
          <w:sz w:val="20"/>
          <w:szCs w:val="20"/>
          <w:color w:val="auto"/>
        </w:rPr>
      </w:pPr>
    </w:p>
    <w:p>
      <w:pPr>
        <w:ind w:left="900" w:right="460" w:hanging="446"/>
        <w:spacing w:after="0" w:line="264" w:lineRule="auto"/>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for so long as the HRG and their affiliates beneficially own 40% or more of the outstanding voting securities of the Company, HRG and the Company will cooperate to ensure, to the greatest extent possible, the continuation of the structure of the Company’s board of directors as described in the Stockholder Agreement;</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HRG will not effect any transfer of equity securities of the Company to any person that would result in such person and its affiliates owning 40% or more of the outstanding voting securities of the Company, unless specified conditions are met;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HRG will be granted certain access and informational rights with respect to the Company and its subsidiaries.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provisions of the Stockholder Agreement terminate on the date on which the HRG no longer constitutes a Significant Stockholder (as defined in the Stockholder Agreement). The Stockholder Agreement terminates when any person, including HRG, acquires 90% or more of the outstanding voting securities of the Company.</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HRG and the Company also entered into a registration rights agreement, dated as of February 9, 2010 (the “Registration Rights Agreement”), pursuant to which HRG and its affiliates have, among other things and subject to the terms and conditions set forth therein, certain demand and so-called “piggy back” registration rights with respect to their shares of the Company’s common stock.</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Jefferies LLC (“Jefferies”), a wholly owned subsidiary of Leucadia National Corporation, which through subsidiaries beneficially owns more than 10% of the outstanding common stock of HRG, which in turn owned 58% of the Company’s outstanding common stock as of September 30, 2015, acted as (i) one of the initial purchasers for SBI’s offering of $1.0 billion of its 5.75% Notes due 2025, for which Jefferies received $2.6 million in discounts, commissions and reimbursements of expenses , (ii) one of the underwriters for the Company’s $575 million offering of common stock in May 2015, for which Jefferies received $1.5 million in discounts, commissions and reimbursements of expenses, and (iii) one of the financing institutions that committed to provide “back stop” bridge facilities in an aggregate amount of $1.5 billion in connection with the financing of the AAG acquisition, for which Jefferies received $2.1 million in fees and reimbursements of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15—SHARE BASED COMPENSATION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October 21, 2010, the Board adopted the Spectrum Brands Holdings, Inc. 2011 Omnibus Equity Award Plan (the “Equity Plan”). During the year ended September 30, 2014, the Equity Plan was amended to increase the number of shares issuable under the Equity Plan to 5,626 shares of common stock of the Company, net of cancellations.</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 measures the compensation expense of its stock-based compensation awards, which consist of restricted stock units (“RSUs”), based on the fair value of the awards at the date of grant, and recognizes these costs on a straight line basis over the requisite service period of the awards. The fair value of the RSUs is determined based on the market price of the Company’s shares of common stock on the grant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During the year ended September 30, 2015, the Company granted 0.6 million RSUs, which include 0.1 million units that vested immediately or within 12 months, 0.2 unit million units that vest over a one year period, and 0.3 million units that are performance-based and vest within a two-year period. During the year ended September 30, 2014, the Company granted 0.7 million RSUs, which include 0.3 million units that vested immediately or within 12 months,</w:t>
      </w:r>
    </w:p>
    <w:p>
      <w:pPr>
        <w:ind w:right="220"/>
        <w:spacing w:after="0" w:line="277" w:lineRule="auto"/>
        <w:rPr>
          <w:sz w:val="20"/>
          <w:szCs w:val="20"/>
          <w:color w:val="auto"/>
        </w:rPr>
      </w:pPr>
      <w:r>
        <w:rPr>
          <w:rFonts w:ascii="Arial" w:cs="Arial" w:eastAsia="Arial" w:hAnsi="Arial"/>
          <w:sz w:val="17"/>
          <w:szCs w:val="17"/>
          <w:color w:val="auto"/>
        </w:rPr>
        <w:t>0.1 million units that vest over a one year period and 0.3 million units that are performance-based and vest within a two year period. During the year ended September 30, 2013, the Company granted 0.7 million RSUs, which include 0.1 million that vest over a one year period and 0.6 million that are both performance and time-based and vest over a one year performance-based period followed by a one year time-based period.</w:t>
      </w:r>
    </w:p>
    <w:p>
      <w:pPr>
        <w:spacing w:after="0" w:line="173"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Share based compensation expense recognized by SB/RH during the years ended September 30, 2015, 2014 and 2013 was $41.8 million, $44.9 million and $43.1 million, respectively. Share based compensation expense is recognized as General and Administrative Expenses on the Consolidated Statements of Operations. The remaining unamortized compensation cost related to non-vested restricted stock units at September 30, 2015 is $23.2 million for SB/RH. The following is a summary of the RSU activity for the years ended September 30, 2015, 2014 and 2013:</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SB/RH Holdings, LLC</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2"/>
          </w:tcPr>
          <w:p>
            <w:pPr>
              <w:jc w:val="center"/>
              <w:ind w:right="51"/>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jc w:val="center"/>
              <w:ind w:right="711"/>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5"/>
              </w:rPr>
              <w:t>Shares</w:t>
            </w:r>
          </w:p>
        </w:tc>
        <w:tc>
          <w:tcPr>
            <w:tcW w:w="2020" w:type="dxa"/>
            <w:vAlign w:val="bottom"/>
            <w:gridSpan w:val="2"/>
          </w:tcPr>
          <w:p>
            <w:pPr>
              <w:jc w:val="right"/>
              <w:ind w:right="631"/>
              <w:spacing w:after="0" w:line="149" w:lineRule="exact"/>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2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at Grant Date</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5"/>
          </w:tcPr>
          <w:p>
            <w:pPr>
              <w:jc w:val="right"/>
              <w:ind w:right="651"/>
              <w:spacing w:after="0" w:line="142" w:lineRule="exact"/>
              <w:rPr>
                <w:sz w:val="20"/>
                <w:szCs w:val="20"/>
                <w:color w:val="auto"/>
              </w:rPr>
            </w:pPr>
            <w:r>
              <w:rPr>
                <w:rFonts w:ascii="Arial" w:cs="Arial" w:eastAsia="Arial" w:hAnsi="Arial"/>
                <w:sz w:val="14"/>
                <w:szCs w:val="14"/>
                <w:b w:val="1"/>
                <w:bCs w:val="1"/>
                <w:color w:val="auto"/>
                <w:w w:val="97"/>
              </w:rPr>
              <w:t>(in millions,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5"/>
              </w:rPr>
              <w:t>Non-vested restricted stock units at September 30, 2012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28.45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Vested</w:t>
            </w:r>
          </w:p>
        </w:tc>
        <w:tc>
          <w:tcPr>
            <w:tcW w:w="15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1340" w:type="dxa"/>
            <w:vAlign w:val="bottom"/>
          </w:tcPr>
          <w:p>
            <w:pPr>
              <w:jc w:val="right"/>
              <w:ind w:right="631"/>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5"/>
              </w:rPr>
              <w:t>Non-vested restricted stock units at September 30, 2013</w:t>
            </w:r>
          </w:p>
        </w:tc>
        <w:tc>
          <w:tcPr>
            <w:tcW w:w="15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39.12</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Vested</w:t>
            </w:r>
          </w:p>
        </w:tc>
        <w:tc>
          <w:tcPr>
            <w:tcW w:w="15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19"/>
                <w:szCs w:val="19"/>
                <w:color w:val="auto"/>
              </w:rPr>
            </w:pPr>
          </w:p>
        </w:tc>
        <w:tc>
          <w:tcPr>
            <w:tcW w:w="1340" w:type="dxa"/>
            <w:vAlign w:val="bottom"/>
          </w:tcPr>
          <w:p>
            <w:pPr>
              <w:jc w:val="right"/>
              <w:ind w:right="631"/>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5"/>
              </w:rPr>
              <w:t>Non-vested restricted stock units at September 30, 2014</w:t>
            </w:r>
          </w:p>
        </w:tc>
        <w:tc>
          <w:tcPr>
            <w:tcW w:w="15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67.90</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Arial" w:cs="Arial" w:eastAsia="Arial" w:hAnsi="Arial"/>
                <w:sz w:val="18"/>
                <w:szCs w:val="18"/>
                <w:color w:val="auto"/>
              </w:rPr>
              <w:t>93.12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Vested</w:t>
            </w:r>
          </w:p>
        </w:tc>
        <w:tc>
          <w:tcPr>
            <w:tcW w:w="15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19"/>
                <w:szCs w:val="19"/>
                <w:color w:val="auto"/>
              </w:rPr>
            </w:pPr>
          </w:p>
        </w:tc>
        <w:tc>
          <w:tcPr>
            <w:tcW w:w="1340" w:type="dxa"/>
            <w:vAlign w:val="bottom"/>
          </w:tcPr>
          <w:p>
            <w:pPr>
              <w:jc w:val="right"/>
              <w:ind w:right="631"/>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5"/>
              </w:rPr>
              <w:t>Non-vested restricted stock units at September 30, 2015</w:t>
            </w:r>
          </w:p>
        </w:tc>
        <w:tc>
          <w:tcPr>
            <w:tcW w:w="156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87.71</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2160" w:type="dxa"/>
            <w:vAlign w:val="bottom"/>
            <w:gridSpan w:val="3"/>
          </w:tcPr>
          <w:p>
            <w:pPr>
              <w:jc w:val="right"/>
              <w:ind w:right="1520"/>
              <w:spacing w:after="0"/>
              <w:rPr>
                <w:sz w:val="20"/>
                <w:szCs w:val="20"/>
                <w:color w:val="auto"/>
              </w:rPr>
            </w:pPr>
            <w:r>
              <w:rPr>
                <w:rFonts w:ascii="Arial" w:cs="Arial" w:eastAsia="Arial" w:hAnsi="Arial"/>
                <w:sz w:val="18"/>
                <w:szCs w:val="18"/>
                <w:color w:val="auto"/>
              </w:rPr>
              <w:t>F-51</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16—ACCUMULATED OTHER COMPREHENSIVE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components of accumulated other comprehensive income (loss), net of taxes,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Foreign</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w:t>
            </w:r>
          </w:p>
        </w:tc>
        <w:tc>
          <w:tcPr>
            <w:tcW w:w="1020" w:type="dxa"/>
            <w:vAlign w:val="bottom"/>
            <w:gridSpan w:val="4"/>
          </w:tcPr>
          <w:p>
            <w:pPr>
              <w:ind w:left="180"/>
              <w:spacing w:after="0"/>
              <w:rPr>
                <w:sz w:val="20"/>
                <w:szCs w:val="20"/>
                <w:color w:val="auto"/>
              </w:rPr>
            </w:pPr>
            <w:r>
              <w:rPr>
                <w:rFonts w:ascii="Arial" w:cs="Arial" w:eastAsia="Arial" w:hAnsi="Arial"/>
                <w:sz w:val="14"/>
                <w:szCs w:val="14"/>
                <w:b w:val="1"/>
                <w:bCs w:val="1"/>
                <w:color w:val="auto"/>
              </w:rPr>
              <w:t>Employee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Currency</w:t>
            </w: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Benefit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Translation</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Hedging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Plans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w w:val="99"/>
              </w:rPr>
              <w:t>(in millions)</w:t>
            </w: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Accumulated other comprehensive (loss) income, as of September 30, 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 before reclassification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Amounts reclassified from accumulated other comprehensive (loss) income</w:t>
            </w:r>
          </w:p>
        </w:tc>
        <w:tc>
          <w:tcPr>
            <w:tcW w:w="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700"/>
              <w:spacing w:after="0"/>
              <w:rPr>
                <w:sz w:val="20"/>
                <w:szCs w:val="20"/>
                <w:color w:val="auto"/>
              </w:rPr>
            </w:pPr>
            <w:r>
              <w:rPr>
                <w:rFonts w:ascii="Arial" w:cs="Arial" w:eastAsia="Arial" w:hAnsi="Arial"/>
                <w:sz w:val="18"/>
                <w:szCs w:val="18"/>
                <w:color w:val="auto"/>
              </w:rPr>
              <w:t>Deferred tax effect</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valuation allowance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comprehensive (loss) income, net of tax</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 attributable to non-controlling interest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comprehensive (loss) income attributable to controlling interest</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 as of September 30, 2013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Year Ended September 30, 2014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 before reclassification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 year ended September 30, 2014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700"/>
              <w:spacing w:after="0"/>
              <w:rPr>
                <w:sz w:val="20"/>
                <w:szCs w:val="20"/>
                <w:color w:val="auto"/>
              </w:rPr>
            </w:pPr>
            <w:r>
              <w:rPr>
                <w:rFonts w:ascii="Arial" w:cs="Arial" w:eastAsia="Arial" w:hAnsi="Arial"/>
                <w:sz w:val="18"/>
                <w:szCs w:val="18"/>
                <w:color w:val="auto"/>
              </w:rPr>
              <w:t>Deferred tax effect</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valuation allowance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comprehensive (loss) income, net of tax</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attributable to non-controlling interest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comprehensive income (loss) attributable to controlling interest</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September 30, 2014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Year Ended September 30, 2015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 before reclassification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 year ended September 30, 2015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700"/>
              <w:spacing w:after="0"/>
              <w:rPr>
                <w:sz w:val="20"/>
                <w:szCs w:val="20"/>
                <w:color w:val="auto"/>
              </w:rPr>
            </w:pPr>
            <w:r>
              <w:rPr>
                <w:rFonts w:ascii="Arial" w:cs="Arial" w:eastAsia="Arial" w:hAnsi="Arial"/>
                <w:sz w:val="18"/>
                <w:szCs w:val="18"/>
                <w:color w:val="auto"/>
              </w:rPr>
              <w:t>Deferred tax effect</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valuation allowance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comprehensive (loss) income, net of tax</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attributable to non-controlling interest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comprehensive income (loss) attributable to controlling interest</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September 30, 2015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5520"/>
              <w:spacing w:after="0"/>
              <w:rPr>
                <w:sz w:val="20"/>
                <w:szCs w:val="20"/>
                <w:color w:val="auto"/>
              </w:rPr>
            </w:pPr>
            <w:r>
              <w:rPr>
                <w:rFonts w:ascii="Arial" w:cs="Arial" w:eastAsia="Arial" w:hAnsi="Arial"/>
                <w:sz w:val="18"/>
                <w:szCs w:val="18"/>
                <w:color w:val="auto"/>
              </w:rPr>
              <w:t>F-52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See Note 11, “Derivatives” for further detail on the Company’s derivative hedging activity. See Note 12, “Employee Benefit Plans” for further detail over the Company’s defined benefit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Company is a defendant in various litigation matters generally arising out of the ordinary course of business. The Company does not believe that any of the matters or proceedings presently pending will have a material adverse effect on its results of operations, financial condition, liquidity or cash flows.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provided for the estimated costs of $4.4 million and $4.6 million, as of September 30, 2015 and 2014, respectively, associated with environmental remediation activities at some of its current and former manufacturing sites. The Company believes that any additional liability in excess of the amounts provided that may result from resolution of these matters, will not have a material adverse effect on the consolidated financial condition, results of operations or cash flows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18—SEGMENT INFORMATION</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Company identifies its segments using the “management approach,” which designates the internal organization that is used by management for making operating decisions and assessing performance as the source of the Company’s reportable segments. The Company manufactures, markets and/or distributes multiple product lines through various distribution networks, and in multiple geographic regions. The Company manages its business in five vertically integrated, product-focused reporting segments: (i) Global Batteries &amp; Appliances, which consists of the Company’s worldwide battery, electric personal care and small appliances; (ii) Hardware &amp; Home Improvement, which was established through the HHI acquisition on December 21, 2012 and consists of the Company’s worldwide hardware, home improvement and plumbing business; (iii) Global Pet Supplies, which consists of the Company’s worldwide pet supplies business; (iv) Home and Garden, which consists of the Company’s home and garden and insect control business and (v) Global Auto Care, which was established through the AAG acquisition on May 21, 2015 and consists of the Company’s automotive appearance and performance products. Global strategic initiatives and financial objectives for each reportable segment are determined at the corporate level. Each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relating to the segments for the years ended September 30, 2015, 2014 and 2013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sales to external customers</w:t>
            </w: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6"/>
              </w:rPr>
              <w:t>SB/RH Holdings, LLC</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Borders>
              <w:top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Consumer batteries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16"/>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Small appliances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734.6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730.8</w:t>
            </w: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Personal care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542.1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Global Batteries &amp; Appliances</w:t>
            </w:r>
          </w:p>
        </w:tc>
        <w:tc>
          <w:tcPr>
            <w:tcW w:w="2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2,092.2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2,230.7</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 &amp; Home Improvement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1,205.5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1,166.0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869.6</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Pet Supplies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758.2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600.5</w:t>
            </w: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Garden</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431.9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Auto Care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4,690.4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4,429.1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20" w:type="dxa"/>
            <w:vAlign w:val="bottom"/>
            <w:gridSpan w:val="2"/>
          </w:tcPr>
          <w:p>
            <w:pPr>
              <w:jc w:val="right"/>
              <w:ind w:right="1490"/>
              <w:spacing w:after="0"/>
              <w:rPr>
                <w:sz w:val="20"/>
                <w:szCs w:val="20"/>
                <w:color w:val="auto"/>
              </w:rPr>
            </w:pPr>
            <w:r>
              <w:rPr>
                <w:rFonts w:ascii="Arial" w:cs="Arial" w:eastAsia="Arial" w:hAnsi="Arial"/>
                <w:sz w:val="18"/>
                <w:szCs w:val="18"/>
                <w:color w:val="auto"/>
              </w:rPr>
              <w:t>F-53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Segment profit does not include corporate expenses, acquisition and integration related charges, restructuring and related charges, impairment charges, interest expense, income tax expense, and other non-operating expenses. Corporate expenses primarily include general and administrative expenses and the costs of stock compensation plans which are evaluated on a consolidated basis and not allocated to the segments. Segment profit in relation to the Company’s reportable segments for the years ended September 30, 2015, 2014 and 2013 is as follows: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 Profit</w:t>
            </w: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SB/RH Holdings, LLC</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left="414"/>
              <w:spacing w:after="0" w:line="142" w:lineRule="exact"/>
              <w:rPr>
                <w:sz w:val="20"/>
                <w:szCs w:val="20"/>
                <w:color w:val="auto"/>
              </w:rPr>
            </w:pPr>
            <w:r>
              <w:rPr>
                <w:rFonts w:ascii="Arial" w:cs="Arial" w:eastAsia="Arial" w:hAnsi="Arial"/>
                <w:sz w:val="14"/>
                <w:szCs w:val="14"/>
                <w:b w:val="1"/>
                <w:bCs w:val="1"/>
                <w:color w:val="auto"/>
                <w:w w:val="96"/>
              </w:rPr>
              <w:t>2014</w:t>
            </w:r>
          </w:p>
        </w:tc>
        <w:tc>
          <w:tcPr>
            <w:tcW w:w="500" w:type="dxa"/>
            <w:vAlign w:val="bottom"/>
          </w:tcPr>
          <w:p>
            <w:pPr>
              <w:spacing w:after="0"/>
              <w:rPr>
                <w:sz w:val="12"/>
                <w:szCs w:val="12"/>
                <w:color w:val="auto"/>
              </w:rPr>
            </w:pPr>
          </w:p>
        </w:tc>
        <w:tc>
          <w:tcPr>
            <w:tcW w:w="56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Batteries &amp; Appliances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$240.8</w:t>
            </w:r>
          </w:p>
        </w:tc>
        <w:tc>
          <w:tcPr>
            <w:tcW w:w="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$256.5</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$237.5</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Hardware &amp; Home Improvement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185.2</w:t>
            </w:r>
          </w:p>
        </w:tc>
        <w:tc>
          <w:tcPr>
            <w:tcW w:w="4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172.2</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Pet Supplies</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82.4</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Home and Garden</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111.2</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89.3</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Auto Care</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segment profit</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74.9</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72.9</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Acquisition and integration related charges</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58.8</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20.1</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related charges</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22.9</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271.9</w:t>
            </w:r>
          </w:p>
        </w:tc>
        <w:tc>
          <w:tcPr>
            <w:tcW w:w="4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202.1</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expenses, net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Income (loss) from operations before income taxes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199.7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276.1</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financial information relating to the Company’s segments is as follows for the years ended September 30, 2015, 2014 and 2013 and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Depreciation and amortization</w:t>
            </w: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6"/>
              </w:rPr>
              <w:t>SB/RH Holdings, LLC</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gridSpan w:val="2"/>
            <w:vMerge w:val="continue"/>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Borders>
              <w:top w:val="single" w:sz="8" w:color="auto"/>
            </w:tcBorders>
          </w:tcPr>
          <w:p>
            <w:pPr>
              <w:spacing w:after="0"/>
              <w:rPr>
                <w:sz w:val="12"/>
                <w:szCs w:val="12"/>
                <w:color w:val="auto"/>
              </w:rPr>
            </w:pPr>
          </w:p>
        </w:tc>
        <w:tc>
          <w:tcPr>
            <w:tcW w:w="17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Batteries &amp; Appliances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Hardware &amp; Home Improvement</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Pet Supplies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Home and Garden</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w w:val="79"/>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Auto Care</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Total segments</w:t>
            </w:r>
          </w:p>
        </w:tc>
        <w:tc>
          <w:tcPr>
            <w:tcW w:w="3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170.0</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157.6</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Total depreciation and amortization</w:t>
            </w:r>
          </w:p>
        </w:tc>
        <w:tc>
          <w:tcPr>
            <w:tcW w:w="3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170.0</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157.6</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80" w:type="dxa"/>
            <w:vAlign w:val="bottom"/>
            <w:gridSpan w:val="2"/>
          </w:tcPr>
          <w:p>
            <w:pPr>
              <w:jc w:val="right"/>
              <w:ind w:right="1930"/>
              <w:spacing w:after="0"/>
              <w:rPr>
                <w:sz w:val="20"/>
                <w:szCs w:val="20"/>
                <w:color w:val="auto"/>
              </w:rPr>
            </w:pPr>
            <w:r>
              <w:rPr>
                <w:rFonts w:ascii="Arial" w:cs="Arial" w:eastAsia="Arial" w:hAnsi="Arial"/>
                <w:sz w:val="18"/>
                <w:szCs w:val="18"/>
                <w:color w:val="auto"/>
              </w:rPr>
              <w:t>F-54</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Capital expenditures</w:t>
            </w:r>
          </w:p>
        </w:tc>
        <w:tc>
          <w:tcPr>
            <w:tcW w:w="2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SB/RH Holdings, LLC</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4"/>
            <w:vMerge w:val="continue"/>
          </w:tcPr>
          <w:p>
            <w:pPr>
              <w:spacing w:after="0"/>
              <w:rPr>
                <w:sz w:val="12"/>
                <w:szCs w:val="12"/>
                <w:color w:val="auto"/>
              </w:rPr>
            </w:pPr>
          </w:p>
        </w:tc>
        <w:tc>
          <w:tcPr>
            <w:tcW w:w="2140" w:type="dxa"/>
            <w:vAlign w:val="bottom"/>
          </w:tcPr>
          <w:p>
            <w:pPr>
              <w:spacing w:after="0"/>
              <w:rPr>
                <w:sz w:val="12"/>
                <w:szCs w:val="12"/>
                <w:color w:val="auto"/>
              </w:rPr>
            </w:pPr>
          </w:p>
        </w:tc>
        <w:tc>
          <w:tcPr>
            <w:tcW w:w="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720" w:type="dxa"/>
            <w:vAlign w:val="bottom"/>
            <w:gridSpan w:val="3"/>
          </w:tcPr>
          <w:p>
            <w:pPr>
              <w:jc w:val="center"/>
              <w:ind w:left="196"/>
              <w:spacing w:after="0" w:line="142" w:lineRule="exact"/>
              <w:rPr>
                <w:sz w:val="20"/>
                <w:szCs w:val="20"/>
                <w:color w:val="auto"/>
              </w:rPr>
            </w:pPr>
            <w:r>
              <w:rPr>
                <w:rFonts w:ascii="Arial" w:cs="Arial" w:eastAsia="Arial" w:hAnsi="Arial"/>
                <w:sz w:val="14"/>
                <w:szCs w:val="14"/>
                <w:b w:val="1"/>
                <w:bCs w:val="1"/>
                <w:color w:val="auto"/>
                <w:w w:val="89"/>
              </w:rPr>
              <w:t>2014</w:t>
            </w:r>
          </w:p>
        </w:tc>
        <w:tc>
          <w:tcPr>
            <w:tcW w:w="52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center"/>
              <w:ind w:right="13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Global Batteries &amp; Appliances</w:t>
            </w:r>
          </w:p>
        </w:tc>
        <w:tc>
          <w:tcPr>
            <w:tcW w:w="282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color w:val="auto"/>
              </w:rPr>
              <w:t>$48.9</w:t>
            </w:r>
          </w:p>
        </w:tc>
        <w:tc>
          <w:tcPr>
            <w:tcW w:w="1240" w:type="dxa"/>
            <w:vAlign w:val="bottom"/>
            <w:gridSpan w:val="4"/>
            <w:shd w:val="clear" w:color="auto" w:fill="CCEEFF"/>
          </w:tcPr>
          <w:p>
            <w:pPr>
              <w:jc w:val="right"/>
              <w:ind w:right="430"/>
              <w:spacing w:after="0"/>
              <w:rPr>
                <w:sz w:val="20"/>
                <w:szCs w:val="20"/>
                <w:color w:val="auto"/>
              </w:rPr>
            </w:pPr>
            <w:r>
              <w:rPr>
                <w:rFonts w:ascii="Arial" w:cs="Arial" w:eastAsia="Arial" w:hAnsi="Arial"/>
                <w:sz w:val="18"/>
                <w:szCs w:val="18"/>
                <w:color w:val="auto"/>
              </w:rPr>
              <w:t>$40.3</w:t>
            </w: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$47.9</w:t>
            </w:r>
          </w:p>
        </w:tc>
        <w:tc>
          <w:tcPr>
            <w:tcW w:w="0" w:type="dxa"/>
            <w:vAlign w:val="bottom"/>
          </w:tcPr>
          <w:p>
            <w:pPr>
              <w:spacing w:after="0"/>
              <w:rPr>
                <w:sz w:val="1"/>
                <w:szCs w:val="1"/>
                <w:color w:val="auto"/>
              </w:rPr>
            </w:pPr>
          </w:p>
        </w:tc>
      </w:tr>
      <w:tr>
        <w:trPr>
          <w:trHeight w:val="216"/>
        </w:trPr>
        <w:tc>
          <w:tcPr>
            <w:tcW w:w="4980" w:type="dxa"/>
            <w:vAlign w:val="bottom"/>
            <w:gridSpan w:val="4"/>
          </w:tcPr>
          <w:p>
            <w:pPr>
              <w:spacing w:after="0"/>
              <w:rPr>
                <w:sz w:val="20"/>
                <w:szCs w:val="20"/>
                <w:color w:val="auto"/>
              </w:rPr>
            </w:pPr>
            <w:r>
              <w:rPr>
                <w:rFonts w:ascii="Arial" w:cs="Arial" w:eastAsia="Arial" w:hAnsi="Arial"/>
                <w:sz w:val="18"/>
                <w:szCs w:val="18"/>
                <w:color w:val="auto"/>
              </w:rPr>
              <w:t>Hardware &amp; Home Improvement</w:t>
            </w:r>
          </w:p>
        </w:tc>
        <w:tc>
          <w:tcPr>
            <w:tcW w:w="2820" w:type="dxa"/>
            <w:vAlign w:val="bottom"/>
            <w:gridSpan w:val="5"/>
          </w:tcPr>
          <w:p>
            <w:pPr>
              <w:jc w:val="right"/>
              <w:ind w:right="188"/>
              <w:spacing w:after="0"/>
              <w:rPr>
                <w:sz w:val="20"/>
                <w:szCs w:val="20"/>
                <w:color w:val="auto"/>
              </w:rPr>
            </w:pPr>
            <w:r>
              <w:rPr>
                <w:rFonts w:ascii="Arial" w:cs="Arial" w:eastAsia="Arial" w:hAnsi="Arial"/>
                <w:sz w:val="18"/>
                <w:szCs w:val="18"/>
                <w:color w:val="auto"/>
              </w:rPr>
              <w:t>16.3</w:t>
            </w:r>
          </w:p>
        </w:tc>
        <w:tc>
          <w:tcPr>
            <w:tcW w:w="1240" w:type="dxa"/>
            <w:vAlign w:val="bottom"/>
            <w:gridSpan w:val="4"/>
          </w:tcPr>
          <w:p>
            <w:pPr>
              <w:jc w:val="right"/>
              <w:ind w:right="430"/>
              <w:spacing w:after="0"/>
              <w:rPr>
                <w:sz w:val="20"/>
                <w:szCs w:val="20"/>
                <w:color w:val="auto"/>
              </w:rPr>
            </w:pPr>
            <w:r>
              <w:rPr>
                <w:rFonts w:ascii="Arial" w:cs="Arial" w:eastAsia="Arial" w:hAnsi="Arial"/>
                <w:sz w:val="18"/>
                <w:szCs w:val="18"/>
                <w:color w:val="auto"/>
              </w:rPr>
              <w:t>21.2</w:t>
            </w:r>
          </w:p>
        </w:tc>
        <w:tc>
          <w:tcPr>
            <w:tcW w:w="540" w:type="dxa"/>
            <w:vAlign w:val="bottom"/>
            <w:gridSpan w:val="4"/>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Global Pet Supplies</w:t>
            </w:r>
          </w:p>
        </w:tc>
        <w:tc>
          <w:tcPr>
            <w:tcW w:w="282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color w:val="auto"/>
              </w:rPr>
              <w:t>10.4</w:t>
            </w:r>
          </w:p>
        </w:tc>
        <w:tc>
          <w:tcPr>
            <w:tcW w:w="1240" w:type="dxa"/>
            <w:vAlign w:val="bottom"/>
            <w:gridSpan w:val="4"/>
            <w:shd w:val="clear" w:color="auto" w:fill="CCEEFF"/>
          </w:tcPr>
          <w:p>
            <w:pPr>
              <w:jc w:val="right"/>
              <w:ind w:right="430"/>
              <w:spacing w:after="0"/>
              <w:rPr>
                <w:sz w:val="20"/>
                <w:szCs w:val="20"/>
                <w:color w:val="auto"/>
              </w:rPr>
            </w:pPr>
            <w:r>
              <w:rPr>
                <w:rFonts w:ascii="Arial" w:cs="Arial" w:eastAsia="Arial" w:hAnsi="Arial"/>
                <w:sz w:val="18"/>
                <w:szCs w:val="18"/>
                <w:color w:val="auto"/>
              </w:rPr>
              <w:t>5.3</w:t>
            </w: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980" w:type="dxa"/>
            <w:vAlign w:val="bottom"/>
            <w:gridSpan w:val="4"/>
          </w:tcPr>
          <w:p>
            <w:pPr>
              <w:spacing w:after="0"/>
              <w:rPr>
                <w:sz w:val="20"/>
                <w:szCs w:val="20"/>
                <w:color w:val="auto"/>
              </w:rPr>
            </w:pPr>
            <w:r>
              <w:rPr>
                <w:rFonts w:ascii="Arial" w:cs="Arial" w:eastAsia="Arial" w:hAnsi="Arial"/>
                <w:sz w:val="18"/>
                <w:szCs w:val="18"/>
                <w:color w:val="auto"/>
              </w:rPr>
              <w:t>Home and Garden Business</w:t>
            </w:r>
          </w:p>
        </w:tc>
        <w:tc>
          <w:tcPr>
            <w:tcW w:w="2820" w:type="dxa"/>
            <w:vAlign w:val="bottom"/>
            <w:gridSpan w:val="5"/>
          </w:tcPr>
          <w:p>
            <w:pPr>
              <w:jc w:val="right"/>
              <w:ind w:right="188"/>
              <w:spacing w:after="0"/>
              <w:rPr>
                <w:sz w:val="20"/>
                <w:szCs w:val="20"/>
                <w:color w:val="auto"/>
              </w:rPr>
            </w:pPr>
            <w:r>
              <w:rPr>
                <w:rFonts w:ascii="Arial" w:cs="Arial" w:eastAsia="Arial" w:hAnsi="Arial"/>
                <w:sz w:val="18"/>
                <w:szCs w:val="18"/>
                <w:color w:val="auto"/>
              </w:rPr>
              <w:t>12.3</w:t>
            </w:r>
          </w:p>
        </w:tc>
        <w:tc>
          <w:tcPr>
            <w:tcW w:w="1240" w:type="dxa"/>
            <w:vAlign w:val="bottom"/>
            <w:gridSpan w:val="4"/>
          </w:tcPr>
          <w:p>
            <w:pPr>
              <w:jc w:val="right"/>
              <w:ind w:right="430"/>
              <w:spacing w:after="0"/>
              <w:rPr>
                <w:sz w:val="20"/>
                <w:szCs w:val="20"/>
                <w:color w:val="auto"/>
              </w:rPr>
            </w:pPr>
            <w:r>
              <w:rPr>
                <w:rFonts w:ascii="Arial" w:cs="Arial" w:eastAsia="Arial" w:hAnsi="Arial"/>
                <w:sz w:val="18"/>
                <w:szCs w:val="18"/>
                <w:color w:val="auto"/>
              </w:rPr>
              <w:t>6.5</w:t>
            </w:r>
          </w:p>
        </w:tc>
        <w:tc>
          <w:tcPr>
            <w:tcW w:w="540" w:type="dxa"/>
            <w:vAlign w:val="bottom"/>
            <w:gridSpan w:val="4"/>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Global Auto Care</w:t>
            </w:r>
          </w:p>
        </w:tc>
        <w:tc>
          <w:tcPr>
            <w:tcW w:w="282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gridSpan w:val="4"/>
          </w:tcPr>
          <w:p>
            <w:pPr>
              <w:spacing w:after="0"/>
              <w:rPr>
                <w:sz w:val="20"/>
                <w:szCs w:val="20"/>
                <w:color w:val="auto"/>
              </w:rPr>
            </w:pPr>
            <w:r>
              <w:rPr>
                <w:rFonts w:ascii="Arial" w:cs="Arial" w:eastAsia="Arial" w:hAnsi="Arial"/>
                <w:sz w:val="18"/>
                <w:szCs w:val="18"/>
                <w:color w:val="auto"/>
              </w:rPr>
              <w:t>Total segment capital expenditures</w:t>
            </w:r>
          </w:p>
        </w:tc>
        <w:tc>
          <w:tcPr>
            <w:tcW w:w="2140" w:type="dxa"/>
            <w:vAlign w:val="bottom"/>
          </w:tcPr>
          <w:p>
            <w:pPr>
              <w:spacing w:after="0"/>
              <w:rPr>
                <w:sz w:val="19"/>
                <w:szCs w:val="19"/>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89.1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73.3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w:t>
            </w:r>
          </w:p>
        </w:tc>
        <w:tc>
          <w:tcPr>
            <w:tcW w:w="2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gridSpan w:val="4"/>
          </w:tcPr>
          <w:p>
            <w:pPr>
              <w:spacing w:after="0"/>
              <w:rPr>
                <w:sz w:val="20"/>
                <w:szCs w:val="20"/>
                <w:color w:val="auto"/>
              </w:rPr>
            </w:pPr>
            <w:r>
              <w:rPr>
                <w:rFonts w:ascii="Arial" w:cs="Arial" w:eastAsia="Arial" w:hAnsi="Arial"/>
                <w:sz w:val="18"/>
                <w:szCs w:val="18"/>
                <w:color w:val="auto"/>
              </w:rPr>
              <w:t>Total capital expenditures</w:t>
            </w:r>
          </w:p>
        </w:tc>
        <w:tc>
          <w:tcPr>
            <w:tcW w:w="2140" w:type="dxa"/>
            <w:vAlign w:val="bottom"/>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73.3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4"/>
          </w:tcPr>
          <w:p>
            <w:pPr>
              <w:jc w:val="center"/>
              <w:ind w:right="550"/>
              <w:spacing w:after="0"/>
              <w:rPr>
                <w:sz w:val="20"/>
                <w:szCs w:val="20"/>
                <w:color w:val="auto"/>
              </w:rPr>
            </w:pPr>
            <w:r>
              <w:rPr>
                <w:rFonts w:ascii="Arial" w:cs="Arial" w:eastAsia="Arial" w:hAnsi="Arial"/>
                <w:sz w:val="14"/>
                <w:szCs w:val="14"/>
                <w:b w:val="1"/>
                <w:bCs w:val="1"/>
                <w:color w:val="auto"/>
              </w:rPr>
              <w:t>SB/RH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Segment total assets</w:t>
            </w: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290"/>
              <w:spacing w:after="0"/>
              <w:rPr>
                <w:sz w:val="20"/>
                <w:szCs w:val="20"/>
                <w:color w:val="auto"/>
              </w:rPr>
            </w:pPr>
            <w:r>
              <w:rPr>
                <w:rFonts w:ascii="Arial" w:cs="Arial" w:eastAsia="Arial" w:hAnsi="Arial"/>
                <w:sz w:val="14"/>
                <w:szCs w:val="14"/>
                <w:b w:val="1"/>
                <w:bCs w:val="1"/>
                <w:color w:val="auto"/>
                <w:w w:val="96"/>
              </w:rPr>
              <w:t>Holdings, LLC</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4"/>
            <w:vMerge w:val="continue"/>
          </w:tcPr>
          <w:p>
            <w:pPr>
              <w:spacing w:after="0"/>
              <w:rPr>
                <w:sz w:val="12"/>
                <w:szCs w:val="12"/>
                <w:color w:val="auto"/>
              </w:rPr>
            </w:pPr>
          </w:p>
        </w:tc>
        <w:tc>
          <w:tcPr>
            <w:tcW w:w="2200" w:type="dxa"/>
            <w:vAlign w:val="bottom"/>
            <w:gridSpan w:val="3"/>
          </w:tcPr>
          <w:p>
            <w:pPr>
              <w:spacing w:after="0"/>
              <w:rPr>
                <w:sz w:val="12"/>
                <w:szCs w:val="12"/>
                <w:color w:val="auto"/>
              </w:rPr>
            </w:pPr>
          </w:p>
        </w:tc>
        <w:tc>
          <w:tcPr>
            <w:tcW w:w="62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2015</w:t>
            </w:r>
          </w:p>
        </w:tc>
        <w:tc>
          <w:tcPr>
            <w:tcW w:w="1240" w:type="dxa"/>
            <w:vAlign w:val="bottom"/>
            <w:gridSpan w:val="4"/>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5"/>
          </w:tcPr>
          <w:p>
            <w:pPr>
              <w:jc w:val="center"/>
              <w:ind w:right="31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Global Batteries &amp; Appliances</w:t>
            </w:r>
          </w:p>
        </w:tc>
        <w:tc>
          <w:tcPr>
            <w:tcW w:w="2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$2,080.4</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$2,152.0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Hardware &amp; Home Improvement</w:t>
            </w:r>
          </w:p>
        </w:tc>
        <w:tc>
          <w:tcPr>
            <w:tcW w:w="2820" w:type="dxa"/>
            <w:vAlign w:val="bottom"/>
            <w:gridSpan w:val="5"/>
          </w:tcPr>
          <w:p>
            <w:pPr>
              <w:jc w:val="right"/>
              <w:spacing w:after="0"/>
              <w:rPr>
                <w:sz w:val="20"/>
                <w:szCs w:val="20"/>
                <w:color w:val="auto"/>
              </w:rPr>
            </w:pPr>
            <w:r>
              <w:rPr>
                <w:rFonts w:ascii="Arial" w:cs="Arial" w:eastAsia="Arial" w:hAnsi="Arial"/>
                <w:sz w:val="18"/>
                <w:szCs w:val="18"/>
                <w:color w:val="auto"/>
              </w:rPr>
              <w:t>1,619.9</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1,629.0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Global Pet Supplies</w:t>
            </w:r>
          </w:p>
        </w:tc>
        <w:tc>
          <w:tcPr>
            <w:tcW w:w="2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Home and Garden</w:t>
            </w:r>
          </w:p>
        </w:tc>
        <w:tc>
          <w:tcPr>
            <w:tcW w:w="2820" w:type="dxa"/>
            <w:vAlign w:val="bottom"/>
            <w:gridSpan w:val="5"/>
          </w:tcPr>
          <w:p>
            <w:pPr>
              <w:jc w:val="right"/>
              <w:spacing w:after="0"/>
              <w:rPr>
                <w:sz w:val="20"/>
                <w:szCs w:val="20"/>
                <w:color w:val="auto"/>
              </w:rPr>
            </w:pPr>
            <w:r>
              <w:rPr>
                <w:rFonts w:ascii="Arial" w:cs="Arial" w:eastAsia="Arial" w:hAnsi="Arial"/>
                <w:sz w:val="18"/>
                <w:szCs w:val="18"/>
                <w:color w:val="auto"/>
              </w:rPr>
              <w:t>530.9</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526.6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Global Auto Care</w:t>
            </w:r>
          </w:p>
        </w:tc>
        <w:tc>
          <w:tcPr>
            <w:tcW w:w="2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4"/>
          </w:tcPr>
          <w:p>
            <w:pPr>
              <w:ind w:left="460"/>
              <w:spacing w:after="0"/>
              <w:rPr>
                <w:sz w:val="20"/>
                <w:szCs w:val="20"/>
                <w:color w:val="auto"/>
              </w:rPr>
            </w:pPr>
            <w:r>
              <w:rPr>
                <w:rFonts w:ascii="Arial" w:cs="Arial" w:eastAsia="Arial" w:hAnsi="Arial"/>
                <w:sz w:val="18"/>
                <w:szCs w:val="18"/>
                <w:color w:val="auto"/>
              </w:rPr>
              <w:t>Total segment assets</w:t>
            </w:r>
          </w:p>
        </w:tc>
        <w:tc>
          <w:tcPr>
            <w:tcW w:w="2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6,899.5</w:t>
            </w:r>
          </w:p>
        </w:tc>
        <w:tc>
          <w:tcPr>
            <w:tcW w:w="600" w:type="dxa"/>
            <w:vAlign w:val="bottom"/>
            <w:gridSpan w:val="2"/>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5,198.0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2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4"/>
          </w:tcPr>
          <w:p>
            <w:pPr>
              <w:ind w:left="460"/>
              <w:spacing w:after="0"/>
              <w:rPr>
                <w:sz w:val="20"/>
                <w:szCs w:val="20"/>
                <w:color w:val="auto"/>
              </w:rPr>
            </w:pPr>
            <w:r>
              <w:rPr>
                <w:rFonts w:ascii="Arial" w:cs="Arial" w:eastAsia="Arial" w:hAnsi="Arial"/>
                <w:sz w:val="18"/>
                <w:szCs w:val="18"/>
                <w:color w:val="auto"/>
              </w:rPr>
              <w:t>Total assets</w:t>
            </w:r>
          </w:p>
        </w:tc>
        <w:tc>
          <w:tcPr>
            <w:tcW w:w="21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7,297.9</w:t>
            </w:r>
          </w:p>
        </w:tc>
        <w:tc>
          <w:tcPr>
            <w:tcW w:w="600" w:type="dxa"/>
            <w:vAlign w:val="bottom"/>
            <w:gridSpan w:val="2"/>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5,511.3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Net sales for the years ended September 30, 2015, 2014 and 2013 and long-lived asset information as of September 30, 2015 and 2014 by geographic area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sales to external parties—Geographic Disclosure</w:t>
            </w:r>
          </w:p>
        </w:tc>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11"/>
          </w:tcPr>
          <w:p>
            <w:pPr>
              <w:jc w:val="center"/>
              <w:ind w:right="820"/>
              <w:spacing w:after="0"/>
              <w:rPr>
                <w:sz w:val="20"/>
                <w:szCs w:val="20"/>
                <w:color w:val="auto"/>
              </w:rPr>
            </w:pPr>
            <w:r>
              <w:rPr>
                <w:rFonts w:ascii="Arial" w:cs="Arial" w:eastAsia="Arial" w:hAnsi="Arial"/>
                <w:sz w:val="14"/>
                <w:szCs w:val="14"/>
                <w:b w:val="1"/>
                <w:bCs w:val="1"/>
                <w:color w:val="auto"/>
                <w:w w:val="98"/>
              </w:rPr>
              <w:t>SB/RH Holdings, LLC</w:t>
            </w:r>
          </w:p>
        </w:tc>
        <w:tc>
          <w:tcPr>
            <w:tcW w:w="0" w:type="dxa"/>
            <w:vAlign w:val="bottom"/>
          </w:tcPr>
          <w:p>
            <w:pPr>
              <w:spacing w:after="0"/>
              <w:rPr>
                <w:sz w:val="1"/>
                <w:szCs w:val="1"/>
                <w:color w:val="auto"/>
              </w:rPr>
            </w:pPr>
          </w:p>
        </w:tc>
      </w:tr>
      <w:tr>
        <w:trPr>
          <w:trHeight w:val="142"/>
        </w:trPr>
        <w:tc>
          <w:tcPr>
            <w:tcW w:w="3940" w:type="dxa"/>
            <w:vAlign w:val="bottom"/>
            <w:gridSpan w:val="4"/>
            <w:vMerge w:val="continue"/>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center"/>
              <w:ind w:left="373"/>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5"/>
          </w:tcPr>
          <w:p>
            <w:pPr>
              <w:jc w:val="center"/>
              <w:ind w:left="27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$2,907.9</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$2,640.7</w:t>
            </w: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center"/>
              <w:ind w:left="273"/>
              <w:spacing w:after="0"/>
              <w:rPr>
                <w:sz w:val="20"/>
                <w:szCs w:val="20"/>
                <w:color w:val="auto"/>
              </w:rPr>
            </w:pPr>
            <w:r>
              <w:rPr>
                <w:rFonts w:ascii="Arial" w:cs="Arial" w:eastAsia="Arial" w:hAnsi="Arial"/>
                <w:sz w:val="18"/>
                <w:szCs w:val="18"/>
                <w:color w:val="auto"/>
                <w:w w:val="88"/>
              </w:rPr>
              <w:t>$2,404.4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4"/>
          </w:tcPr>
          <w:p>
            <w:pPr>
              <w:spacing w:after="0"/>
              <w:rPr>
                <w:sz w:val="20"/>
                <w:szCs w:val="20"/>
                <w:color w:val="auto"/>
              </w:rPr>
            </w:pPr>
            <w:r>
              <w:rPr>
                <w:rFonts w:ascii="Arial" w:cs="Arial" w:eastAsia="Arial" w:hAnsi="Arial"/>
                <w:sz w:val="18"/>
                <w:szCs w:val="18"/>
                <w:color w:val="auto"/>
              </w:rPr>
              <w:t>Europe/MEA</w:t>
            </w:r>
          </w:p>
        </w:tc>
        <w:tc>
          <w:tcPr>
            <w:tcW w:w="3260" w:type="dxa"/>
            <w:vAlign w:val="bottom"/>
            <w:gridSpan w:val="3"/>
          </w:tcPr>
          <w:p>
            <w:pPr>
              <w:jc w:val="right"/>
              <w:ind w:right="80"/>
              <w:spacing w:after="0"/>
              <w:rPr>
                <w:sz w:val="20"/>
                <w:szCs w:val="20"/>
                <w:color w:val="auto"/>
              </w:rPr>
            </w:pPr>
            <w:r>
              <w:rPr>
                <w:rFonts w:ascii="Arial" w:cs="Arial" w:eastAsia="Arial" w:hAnsi="Arial"/>
                <w:sz w:val="18"/>
                <w:szCs w:val="18"/>
                <w:color w:val="auto"/>
              </w:rPr>
              <w:t>1,049.8</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970.4</w:t>
            </w:r>
          </w:p>
        </w:tc>
        <w:tc>
          <w:tcPr>
            <w:tcW w:w="200" w:type="dxa"/>
            <w:vAlign w:val="bottom"/>
          </w:tcPr>
          <w:p>
            <w:pPr>
              <w:spacing w:after="0"/>
              <w:rPr>
                <w:sz w:val="18"/>
                <w:szCs w:val="18"/>
                <w:color w:val="auto"/>
              </w:rPr>
            </w:pPr>
          </w:p>
        </w:tc>
        <w:tc>
          <w:tcPr>
            <w:tcW w:w="1080" w:type="dxa"/>
            <w:vAlign w:val="bottom"/>
            <w:gridSpan w:val="6"/>
          </w:tcPr>
          <w:p>
            <w:pPr>
              <w:jc w:val="right"/>
              <w:ind w:right="10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16"/>
        </w:trPr>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Latin America</w:t>
            </w:r>
          </w:p>
        </w:tc>
        <w:tc>
          <w:tcPr>
            <w:tcW w:w="3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381.5</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2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16"/>
        </w:trPr>
        <w:tc>
          <w:tcPr>
            <w:tcW w:w="3940" w:type="dxa"/>
            <w:vAlign w:val="bottom"/>
            <w:gridSpan w:val="4"/>
          </w:tcPr>
          <w:p>
            <w:pPr>
              <w:spacing w:after="0"/>
              <w:rPr>
                <w:sz w:val="20"/>
                <w:szCs w:val="20"/>
                <w:color w:val="auto"/>
              </w:rPr>
            </w:pPr>
            <w:r>
              <w:rPr>
                <w:rFonts w:ascii="Arial" w:cs="Arial" w:eastAsia="Arial" w:hAnsi="Arial"/>
                <w:sz w:val="18"/>
                <w:szCs w:val="18"/>
                <w:color w:val="auto"/>
              </w:rPr>
              <w:t>North America—Other</w:t>
            </w:r>
          </w:p>
        </w:tc>
        <w:tc>
          <w:tcPr>
            <w:tcW w:w="3260" w:type="dxa"/>
            <w:vAlign w:val="bottom"/>
            <w:gridSpan w:val="3"/>
          </w:tcPr>
          <w:p>
            <w:pPr>
              <w:jc w:val="right"/>
              <w:ind w:right="80"/>
              <w:spacing w:after="0"/>
              <w:rPr>
                <w:sz w:val="20"/>
                <w:szCs w:val="20"/>
                <w:color w:val="auto"/>
              </w:rPr>
            </w:pPr>
            <w:r>
              <w:rPr>
                <w:rFonts w:ascii="Arial" w:cs="Arial" w:eastAsia="Arial" w:hAnsi="Arial"/>
                <w:sz w:val="18"/>
                <w:szCs w:val="18"/>
                <w:color w:val="auto"/>
              </w:rPr>
              <w:t>164.0</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196.0</w:t>
            </w:r>
          </w:p>
        </w:tc>
        <w:tc>
          <w:tcPr>
            <w:tcW w:w="200" w:type="dxa"/>
            <w:vAlign w:val="bottom"/>
          </w:tcPr>
          <w:p>
            <w:pPr>
              <w:spacing w:after="0"/>
              <w:rPr>
                <w:sz w:val="18"/>
                <w:szCs w:val="18"/>
                <w:color w:val="auto"/>
              </w:rPr>
            </w:pPr>
          </w:p>
        </w:tc>
        <w:tc>
          <w:tcPr>
            <w:tcW w:w="1080" w:type="dxa"/>
            <w:vAlign w:val="bottom"/>
            <w:gridSpan w:val="6"/>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Asia-Pacific</w:t>
            </w:r>
          </w:p>
        </w:tc>
        <w:tc>
          <w:tcPr>
            <w:tcW w:w="3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187.2</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3"/>
        </w:trPr>
        <w:tc>
          <w:tcPr>
            <w:tcW w:w="394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2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4,690.4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4,429.1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4,085.6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SB/RH</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Long-lived assets—Geographic Disclosure</w:t>
            </w:r>
          </w:p>
        </w:tc>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9"/>
          </w:tcPr>
          <w:p>
            <w:pPr>
              <w:jc w:val="center"/>
              <w:ind w:right="760"/>
              <w:spacing w:after="0"/>
              <w:rPr>
                <w:sz w:val="20"/>
                <w:szCs w:val="20"/>
                <w:color w:val="auto"/>
              </w:rPr>
            </w:pPr>
            <w:r>
              <w:rPr>
                <w:rFonts w:ascii="Arial" w:cs="Arial" w:eastAsia="Arial" w:hAnsi="Arial"/>
                <w:sz w:val="14"/>
                <w:szCs w:val="14"/>
                <w:b w:val="1"/>
                <w:bCs w:val="1"/>
                <w:color w:val="auto"/>
                <w:w w:val="96"/>
              </w:rPr>
              <w:t>Holdings, LLC</w:t>
            </w:r>
          </w:p>
        </w:tc>
        <w:tc>
          <w:tcPr>
            <w:tcW w:w="0" w:type="dxa"/>
            <w:vAlign w:val="bottom"/>
          </w:tcPr>
          <w:p>
            <w:pPr>
              <w:spacing w:after="0"/>
              <w:rPr>
                <w:sz w:val="1"/>
                <w:szCs w:val="1"/>
                <w:color w:val="auto"/>
              </w:rPr>
            </w:pPr>
          </w:p>
        </w:tc>
      </w:tr>
      <w:tr>
        <w:trPr>
          <w:trHeight w:val="142"/>
        </w:trPr>
        <w:tc>
          <w:tcPr>
            <w:tcW w:w="3940" w:type="dxa"/>
            <w:vAlign w:val="bottom"/>
            <w:gridSpan w:val="4"/>
            <w:vMerge w:val="continue"/>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6"/>
          </w:tcPr>
          <w:p>
            <w:pPr>
              <w:jc w:val="center"/>
              <w:ind w:right="15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$269.1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Europe/MEA</w:t>
            </w:r>
          </w:p>
        </w:tc>
        <w:tc>
          <w:tcPr>
            <w:tcW w:w="2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139.2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North America—Other</w:t>
            </w:r>
          </w:p>
        </w:tc>
        <w:tc>
          <w:tcPr>
            <w:tcW w:w="2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Asia-Pacific</w:t>
            </w:r>
          </w:p>
        </w:tc>
        <w:tc>
          <w:tcPr>
            <w:tcW w:w="2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4"/>
          </w:tcPr>
          <w:p>
            <w:pPr>
              <w:ind w:left="460"/>
              <w:spacing w:after="0"/>
              <w:rPr>
                <w:sz w:val="20"/>
                <w:szCs w:val="20"/>
                <w:color w:val="auto"/>
              </w:rPr>
            </w:pPr>
            <w:r>
              <w:rPr>
                <w:rFonts w:ascii="Arial" w:cs="Arial" w:eastAsia="Arial" w:hAnsi="Arial"/>
                <w:sz w:val="18"/>
                <w:szCs w:val="18"/>
                <w:color w:val="auto"/>
              </w:rPr>
              <w:t>Total long-lived assets</w:t>
            </w:r>
          </w:p>
        </w:tc>
        <w:tc>
          <w:tcPr>
            <w:tcW w:w="2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507.1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gridSpan w:val="3"/>
            <w:vMerge w:val="restart"/>
          </w:tcPr>
          <w:p>
            <w:pPr>
              <w:ind w:left="680"/>
              <w:spacing w:after="0"/>
              <w:rPr>
                <w:sz w:val="20"/>
                <w:szCs w:val="20"/>
                <w:color w:val="auto"/>
              </w:rPr>
            </w:pPr>
            <w:r>
              <w:rPr>
                <w:rFonts w:ascii="Arial" w:cs="Arial" w:eastAsia="Arial" w:hAnsi="Arial"/>
                <w:sz w:val="18"/>
                <w:szCs w:val="18"/>
                <w:color w:val="auto"/>
              </w:rPr>
              <w:t>F-55</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19—GUARANTOR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SBI and SB/RH (collectively, the “Parent”), with their domestic subsidiaries as guarantors, has issued the 6.375% Notes and the 6.625% Notes under the 2020/22 Indenture, 6.125% Notes under the 2024 Indenture and the 5.75% Notes under the 2025 Indenture. See Note 9, “Debt” for further information on the 6.375% Notes, 6.625% Notes, 6.125% Notes and 5.75% Notes.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60" w:right="29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56"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following consolidating financial statements illustrate the components of the consolidated financial statements of SB/RH. Investments in subsidiaries are accounted for using the equity method for purposes of illustrating the consolidating presentation. The elimination entries presented herein eliminate investments in subsidiaries and intercompany balances and transactions.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Statement of Financial Position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Parent</w:t>
            </w:r>
          </w:p>
        </w:tc>
        <w:tc>
          <w:tcPr>
            <w:tcW w:w="22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 of September 30, 2015</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2"/>
                <w:szCs w:val="12"/>
                <w:color w:val="auto"/>
              </w:rPr>
            </w:pPr>
          </w:p>
        </w:tc>
        <w:tc>
          <w:tcPr>
            <w:tcW w:w="138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Subsidiaries</w:t>
            </w: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Trade receivables,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Intercompany receivables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(1,090.8)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Other receivables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(1,105.1)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1,732.2</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intercompany receivables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Deferred charges and other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1,154.0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2,476.7</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1,402.4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646.6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3,150.1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1,095.9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(4,243.1)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6,761.7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4,255.4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2,168.9</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(5,888.1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281.1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Intercompany accounts payable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Accrued wages and salaries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1,065.4</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3,913.9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3,937.2</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intercompany debt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440.2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liabilities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5,177.1</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1,105.4</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(1,630.4)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5,725.1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Other equity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1,981.7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1,129.2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(1,175.7)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 earnings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2,139.8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(3,315.9)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3,093.9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(4,145.4)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Non-controlling interest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3,150.0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(4,257.7)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1,572.8</w:t>
            </w:r>
          </w:p>
        </w:tc>
        <w:tc>
          <w:tcPr>
            <w:tcW w:w="0" w:type="dxa"/>
            <w:vAlign w:val="bottom"/>
          </w:tcPr>
          <w:p>
            <w:pPr>
              <w:spacing w:after="0"/>
              <w:rPr>
                <w:sz w:val="1"/>
                <w:szCs w:val="1"/>
                <w:color w:val="auto"/>
              </w:rPr>
            </w:pPr>
          </w:p>
        </w:tc>
      </w:tr>
      <w:tr>
        <w:trPr>
          <w:trHeight w:val="223"/>
        </w:trPr>
        <w:tc>
          <w:tcPr>
            <w:tcW w:w="4660" w:type="dxa"/>
            <w:vAlign w:val="bottom"/>
            <w:gridSpan w:val="2"/>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6,761.7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4,255.4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2,168.9</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(5,888.1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F-57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Statement of Financial Position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Parent</w:t>
            </w:r>
          </w:p>
        </w:tc>
        <w:tc>
          <w:tcPr>
            <w:tcW w:w="22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 of September 30, 2014</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2"/>
                <w:szCs w:val="12"/>
                <w:color w:val="auto"/>
              </w:rPr>
            </w:pPr>
          </w:p>
        </w:tc>
        <w:tc>
          <w:tcPr>
            <w:tcW w:w="138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Subsidiaries</w:t>
            </w: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Trade receivables,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Intercompany receivables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(1,631.2)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Other receivables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1,476.1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(1,636.4)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1,432.9</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intercompany receivables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1,030.7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1,151.7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2,091.5</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Deferred charges and other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4,076.3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1,278.9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(5,355.6)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5,198.6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5,042.0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2,412.3</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(7,141.6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Intercompany accounts payable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1,366.0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(2,277.1)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Accrued wages and salaries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1,111.7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(2,277.1)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2,539.2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2,894.1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intercompany debt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462.2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liabilities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4,122.7</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965.7</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1,133.4</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(1,780.7)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4,441.1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Other equity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1,419.5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3,297.0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1,284.8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(4,587.5)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1,413.8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 earnings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4,021.4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(5,251.1)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Non-controlling interest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4,076.3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(5,360.9)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1,070.2</w:t>
            </w:r>
          </w:p>
        </w:tc>
        <w:tc>
          <w:tcPr>
            <w:tcW w:w="0" w:type="dxa"/>
            <w:vAlign w:val="bottom"/>
          </w:tcPr>
          <w:p>
            <w:pPr>
              <w:spacing w:after="0"/>
              <w:rPr>
                <w:sz w:val="1"/>
                <w:szCs w:val="1"/>
                <w:color w:val="auto"/>
              </w:rPr>
            </w:pPr>
          </w:p>
        </w:tc>
      </w:tr>
      <w:tr>
        <w:trPr>
          <w:trHeight w:val="223"/>
        </w:trPr>
        <w:tc>
          <w:tcPr>
            <w:tcW w:w="4660" w:type="dxa"/>
            <w:vAlign w:val="bottom"/>
            <w:gridSpan w:val="2"/>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5,198.6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5,042.0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2,412.3</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(7,141.6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F-58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Statement of Operations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Parent</w:t>
            </w:r>
          </w:p>
        </w:tc>
        <w:tc>
          <w:tcPr>
            <w:tcW w:w="220" w:type="dxa"/>
            <w:vAlign w:val="bottom"/>
          </w:tcPr>
          <w:p>
            <w:pPr>
              <w:spacing w:after="0"/>
              <w:rPr>
                <w:sz w:val="16"/>
                <w:szCs w:val="16"/>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4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Year ended September 30, 2015</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Subsidiaries</w:t>
            </w:r>
          </w:p>
        </w:tc>
        <w:tc>
          <w:tcPr>
            <w:tcW w:w="148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Subsidiaries</w:t>
            </w:r>
          </w:p>
        </w:tc>
        <w:tc>
          <w:tcPr>
            <w:tcW w:w="138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2,385.1</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1,657.0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1,845.5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(976.9)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3,018.0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related charges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728.1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267.2</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686.4</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1,670.3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Selling</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89.5</w:t>
            </w:r>
          </w:p>
        </w:tc>
        <w:tc>
          <w:tcPr>
            <w:tcW w:w="1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340.8</w:t>
            </w:r>
          </w:p>
        </w:tc>
        <w:tc>
          <w:tcPr>
            <w:tcW w:w="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and integration related charges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Restructuring and related charges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432.9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gridSpan w:val="3"/>
            <w:vMerge w:val="continue"/>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109.7</w:t>
            </w: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127.7</w:t>
            </w:r>
          </w:p>
        </w:tc>
        <w:tc>
          <w:tcPr>
            <w:tcW w:w="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253.5</w:t>
            </w:r>
          </w:p>
        </w:tc>
        <w:tc>
          <w:tcPr>
            <w:tcW w:w="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 non-operating (income) expense,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(151.5)</w:t>
            </w:r>
          </w:p>
        </w:tc>
        <w:tc>
          <w:tcPr>
            <w:tcW w:w="1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362.7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272.3</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219.1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(373.1)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206.0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166.2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(372.2)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controlling interest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155.4</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165.3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F-59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Statement of Operations</w:t>
            </w:r>
          </w:p>
        </w:tc>
        <w:tc>
          <w:tcPr>
            <w:tcW w:w="740" w:type="dxa"/>
            <w:vAlign w:val="bottom"/>
          </w:tcPr>
          <w:p>
            <w:pPr>
              <w:spacing w:after="0"/>
              <w:rPr>
                <w:sz w:val="16"/>
                <w:szCs w:val="16"/>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6"/>
                <w:szCs w:val="16"/>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Guarantor</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4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Year ended September 30, 2014</w:t>
            </w:r>
          </w:p>
        </w:tc>
        <w:tc>
          <w:tcPr>
            <w:tcW w:w="7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6"/>
              </w:rPr>
              <w:t>Subsidiaries</w:t>
            </w:r>
          </w:p>
        </w:tc>
        <w:tc>
          <w:tcPr>
            <w:tcW w:w="138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Subsidiaries</w:t>
            </w:r>
          </w:p>
        </w:tc>
        <w:tc>
          <w:tcPr>
            <w:tcW w:w="128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$ 626.7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2,141.3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2,449.4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447.7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1,434.4</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1,762.7</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(788.3)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related charges</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704.3</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1,568.9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Selling</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76.6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268.5</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333.8</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and integration related charges</w:t>
            </w: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Restructuring and related charges</w:t>
            </w:r>
          </w:p>
        </w:tc>
        <w:tc>
          <w:tcPr>
            <w:tcW w:w="7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461.7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443.9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gridSpan w:val="3"/>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242.6</w:t>
            </w: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241.7</w:t>
            </w:r>
          </w:p>
        </w:tc>
        <w:tc>
          <w:tcPr>
            <w:tcW w:w="5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non-operating (income) expense, net</w:t>
            </w:r>
          </w:p>
        </w:tc>
        <w:tc>
          <w:tcPr>
            <w:tcW w:w="7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(163.7)</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379.9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406.4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207.8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7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194.6</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211.8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7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controlling interest</w:t>
            </w: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$ 216.8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(378.9)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F-60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Statement of Operations</w:t>
            </w:r>
          </w:p>
        </w:tc>
        <w:tc>
          <w:tcPr>
            <w:tcW w:w="10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Parent</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6"/>
                <w:szCs w:val="16"/>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Year ended September 30, 2013</w:t>
            </w:r>
          </w:p>
        </w:tc>
        <w:tc>
          <w:tcPr>
            <w:tcW w:w="1060" w:type="dxa"/>
            <w:vAlign w:val="bottom"/>
            <w:gridSpan w:val="3"/>
            <w:vMerge w:val="continue"/>
          </w:tcPr>
          <w:p>
            <w:pPr>
              <w:spacing w:after="0"/>
              <w:rPr>
                <w:sz w:val="12"/>
                <w:szCs w:val="12"/>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2"/>
                <w:szCs w:val="12"/>
                <w:color w:val="auto"/>
              </w:rPr>
            </w:pPr>
          </w:p>
        </w:tc>
        <w:tc>
          <w:tcPr>
            <w:tcW w:w="116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Subsidiaries</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9"/>
              </w:rPr>
              <w:t>(in millions)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1,178.2</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3,123.3</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(854.6)</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463.9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799.9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(853.0)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174.8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and integration related charges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121.2</w:t>
            </w:r>
          </w:p>
        </w:tc>
        <w:tc>
          <w:tcPr>
            <w:tcW w:w="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Other non-operating (income) expense, net</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(248.6)</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(127.9)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controlling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Statement of Comprehensive Income</w:t>
            </w:r>
          </w:p>
        </w:tc>
        <w:tc>
          <w:tcPr>
            <w:tcW w:w="340" w:type="dxa"/>
            <w:vAlign w:val="bottom"/>
          </w:tcPr>
          <w:p>
            <w:pPr>
              <w:spacing w:after="0"/>
              <w:rPr>
                <w:sz w:val="16"/>
                <w:szCs w:val="16"/>
                <w:color w:val="auto"/>
              </w:rPr>
            </w:pPr>
          </w:p>
        </w:tc>
        <w:tc>
          <w:tcPr>
            <w:tcW w:w="8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6"/>
                <w:szCs w:val="16"/>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6"/>
                <w:szCs w:val="16"/>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Year ended September 30, 2015</w:t>
            </w:r>
          </w:p>
        </w:tc>
        <w:tc>
          <w:tcPr>
            <w:tcW w:w="3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2"/>
                <w:szCs w:val="12"/>
                <w:color w:val="auto"/>
              </w:rPr>
            </w:pPr>
          </w:p>
        </w:tc>
        <w:tc>
          <w:tcPr>
            <w:tcW w:w="120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6"/>
              </w:rPr>
              <w:t>Subsidiaries</w:t>
            </w:r>
          </w:p>
        </w:tc>
        <w:tc>
          <w:tcPr>
            <w:tcW w:w="2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155.8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166.2</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(372.2)</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Unrealized gain (loss) on derivative instruments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Defined benefit pension gain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2"/>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247.4</w:t>
            </w:r>
          </w:p>
        </w:tc>
        <w:tc>
          <w:tcPr>
            <w:tcW w:w="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Comprehensive income (loss) attributable to non-controlling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Comprehensive income (loss) attributable to controlling interest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(125.2)</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F-61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Statement of Comprehensive Income</w:t>
            </w:r>
          </w:p>
        </w:tc>
        <w:tc>
          <w:tcPr>
            <w:tcW w:w="200" w:type="dxa"/>
            <w:vAlign w:val="bottom"/>
          </w:tcPr>
          <w:p>
            <w:pPr>
              <w:spacing w:after="0"/>
              <w:rPr>
                <w:sz w:val="16"/>
                <w:szCs w:val="16"/>
                <w:color w:val="auto"/>
              </w:rPr>
            </w:pPr>
          </w:p>
        </w:tc>
        <w:tc>
          <w:tcPr>
            <w:tcW w:w="8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6"/>
                <w:szCs w:val="16"/>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Year ended September 30, 2014</w:t>
            </w: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2"/>
                <w:szCs w:val="12"/>
                <w:color w:val="auto"/>
              </w:rPr>
            </w:pPr>
          </w:p>
        </w:tc>
        <w:tc>
          <w:tcPr>
            <w:tcW w:w="1220" w:type="dxa"/>
            <w:vAlign w:val="bottom"/>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93"/>
              </w:rPr>
              <w:t>Subsidiaries</w:t>
            </w: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32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32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(379.5)</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(32.5)</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Unrealized gain (loss) on derivative instruments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Defined benefit pension gain (loss)</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gridSpan w:val="2"/>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w:t>
            </w:r>
          </w:p>
        </w:tc>
        <w:tc>
          <w:tcPr>
            <w:tcW w:w="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32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3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2"/>
          </w:tcPr>
          <w:p>
            <w:pPr>
              <w:spacing w:after="0" w:line="201" w:lineRule="exact"/>
              <w:rPr>
                <w:sz w:val="20"/>
                <w:szCs w:val="20"/>
                <w:color w:val="auto"/>
              </w:rPr>
            </w:pPr>
            <w:r>
              <w:rPr>
                <w:rFonts w:ascii="Arial" w:cs="Arial" w:eastAsia="Arial" w:hAnsi="Arial"/>
                <w:sz w:val="18"/>
                <w:szCs w:val="18"/>
                <w:color w:val="auto"/>
              </w:rPr>
              <w:t>Comprehensive income (loss) attributable to non-controlling</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 attributable to controlling interest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192.1</w:t>
            </w:r>
          </w:p>
        </w:tc>
        <w:tc>
          <w:tcPr>
            <w:tcW w:w="32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32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(335.5)</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 of Comprehensive Income</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Parent</w:t>
            </w:r>
          </w:p>
        </w:tc>
        <w:tc>
          <w:tcPr>
            <w:tcW w:w="26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24"/>
                <w:szCs w:val="2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24"/>
                <w:szCs w:val="2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Year ended September 30, 2013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2"/>
                <w:szCs w:val="12"/>
                <w:color w:val="auto"/>
              </w:rPr>
            </w:pPr>
          </w:p>
        </w:tc>
        <w:tc>
          <w:tcPr>
            <w:tcW w:w="122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96"/>
              </w:rPr>
              <w:t>Subsidiaries</w:t>
            </w: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252.1</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173.6</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Unrealized gain (loss) on derivative instruments</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Defined benefit pension gain (loss)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gridSpan w:val="2"/>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240.5</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4"/>
              </w:rPr>
              <w:t>Comprehensive income (loss) attributable to non-controlling interest</w:t>
            </w:r>
          </w:p>
        </w:tc>
        <w:tc>
          <w:tcPr>
            <w:tcW w:w="28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 attributable to controlling interest</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(52.5)</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162.4</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(402.8)</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F-62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Statement of Cash Flows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6"/>
                <w:szCs w:val="16"/>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6"/>
                <w:szCs w:val="16"/>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Year ended September 30, 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2"/>
                <w:szCs w:val="12"/>
                <w:color w:val="auto"/>
              </w:rPr>
            </w:pPr>
          </w:p>
        </w:tc>
        <w:tc>
          <w:tcPr>
            <w:tcW w:w="1460" w:type="dxa"/>
            <w:vAlign w:val="bottom"/>
            <w:gridSpan w:val="3"/>
          </w:tcPr>
          <w:p>
            <w:pPr>
              <w:jc w:val="right"/>
              <w:ind w:right="640"/>
              <w:spacing w:after="0" w:line="129" w:lineRule="exact"/>
              <w:rPr>
                <w:sz w:val="20"/>
                <w:szCs w:val="20"/>
                <w:color w:val="auto"/>
              </w:rPr>
            </w:pPr>
            <w:r>
              <w:rPr>
                <w:rFonts w:ascii="Arial" w:cs="Arial" w:eastAsia="Arial" w:hAnsi="Arial"/>
                <w:sz w:val="14"/>
                <w:szCs w:val="14"/>
                <w:b w:val="1"/>
                <w:bCs w:val="1"/>
                <w:color w:val="auto"/>
                <w:w w:val="96"/>
              </w:rPr>
              <w:t>Subsidiaries</w:t>
            </w:r>
          </w:p>
        </w:tc>
        <w:tc>
          <w:tcPr>
            <w:tcW w:w="11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provided by operating activities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(770.8)</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2,774.9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(1,026.0)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(165.1)</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 investing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(1,071.6)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3,320.3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Payment of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(2,521.2)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(292.0)</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Payment of cash dividends to parent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 from parent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6"/>
              </w:rPr>
              <w:t>Share based tax withholding payments, net of proceeds upon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vesting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 related to intercompany transactions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1,984.5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(2,774.9)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Net cash provided (used) by financing activities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1,223.3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781.7</w:t>
            </w: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1,692.5</w:t>
            </w:r>
          </w:p>
        </w:tc>
        <w:tc>
          <w:tcPr>
            <w:tcW w:w="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(2,774.9)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922.6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Effect of exchange rate changes on cash and cash equivalents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due to Venezuela devaluation</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4"/>
              </w:rPr>
              <w:t>Effect of exchange rate changes on 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176.9</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F-63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Statement of Cash Flows</w:t>
            </w:r>
          </w:p>
        </w:tc>
        <w:tc>
          <w:tcPr>
            <w:tcW w:w="420" w:type="dxa"/>
            <w:vAlign w:val="bottom"/>
          </w:tcPr>
          <w:p>
            <w:pPr>
              <w:spacing w:after="0"/>
              <w:rPr>
                <w:sz w:val="16"/>
                <w:szCs w:val="16"/>
                <w:color w:val="auto"/>
              </w:rPr>
            </w:pPr>
          </w:p>
        </w:tc>
        <w:tc>
          <w:tcPr>
            <w:tcW w:w="8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6"/>
                <w:szCs w:val="16"/>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6"/>
                <w:szCs w:val="16"/>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Year ended September 30, 2014</w:t>
            </w:r>
          </w:p>
        </w:tc>
        <w:tc>
          <w:tcPr>
            <w:tcW w:w="4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2"/>
                <w:szCs w:val="12"/>
                <w:color w:val="auto"/>
              </w:rPr>
            </w:pPr>
          </w:p>
        </w:tc>
        <w:tc>
          <w:tcPr>
            <w:tcW w:w="120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6"/>
              </w:rPr>
              <w:t>Subsidiaries</w:t>
            </w:r>
          </w:p>
        </w:tc>
        <w:tc>
          <w:tcPr>
            <w:tcW w:w="2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(used) by operating activities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616.6</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Business acquisitions, net of cash acquired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investing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230.7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Payment of debt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(764.9)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Payment of cash dividends to parent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Share based tax withholding payments, net of proceeds upon</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vesting</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Advances related to intercompany transactions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provided by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(592.6)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6"/>
              </w:rPr>
              <w:t>Effect of exchange rate changes on cash and cash equivalents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176.9</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F-64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Statement of Cash Flows</w:t>
            </w:r>
          </w:p>
        </w:tc>
        <w:tc>
          <w:tcPr>
            <w:tcW w:w="80" w:type="dxa"/>
            <w:vAlign w:val="bottom"/>
          </w:tcPr>
          <w:p>
            <w:pPr>
              <w:spacing w:after="0"/>
              <w:rPr>
                <w:sz w:val="16"/>
                <w:szCs w:val="16"/>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6"/>
                <w:szCs w:val="16"/>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6"/>
                <w:szCs w:val="16"/>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Year ended September 30, 2013</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2"/>
                <w:szCs w:val="12"/>
                <w:color w:val="auto"/>
              </w:rPr>
            </w:pPr>
          </w:p>
        </w:tc>
        <w:tc>
          <w:tcPr>
            <w:tcW w:w="120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6"/>
              </w:rPr>
              <w:t>Subsidiaries</w:t>
            </w:r>
          </w:p>
        </w:tc>
        <w:tc>
          <w:tcPr>
            <w:tcW w:w="2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(319.1)</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727.2</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337.1</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Business acquisitions, net of cash acquired</w:t>
            </w: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(1,351.0)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 investing activities</w:t>
            </w:r>
          </w:p>
        </w:tc>
        <w:tc>
          <w:tcPr>
            <w:tcW w:w="8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(1,361.3)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2,934.3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Payment of debt</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(1,618.2)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Payment of cash dividends to parent</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 from parent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Share based tax withholding payments, net of proceeds upon</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vesting</w:t>
            </w:r>
          </w:p>
        </w:tc>
        <w:tc>
          <w:tcPr>
            <w:tcW w:w="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 related to intercompany transactions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Net cash provided (used) by financing activities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626.2</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487.0</w:t>
            </w:r>
          </w:p>
        </w:tc>
        <w:tc>
          <w:tcPr>
            <w:tcW w:w="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due to Venezuela devaluation</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188.9</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20—QUARTERLY RESULTS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SB/RH Holdings, LLC</w:t>
            </w:r>
          </w:p>
        </w:tc>
        <w:tc>
          <w:tcPr>
            <w:tcW w:w="14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677"/>
              <w:spacing w:after="0"/>
              <w:rPr>
                <w:sz w:val="20"/>
                <w:szCs w:val="20"/>
                <w:color w:val="auto"/>
              </w:rPr>
            </w:pPr>
            <w:r>
              <w:rPr>
                <w:rFonts w:ascii="Arial" w:cs="Arial" w:eastAsia="Arial" w:hAnsi="Arial"/>
                <w:sz w:val="14"/>
                <w:szCs w:val="14"/>
                <w:b w:val="1"/>
                <w:bCs w:val="1"/>
                <w:color w:val="auto"/>
              </w:rPr>
              <w:t>Quarter Ended</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1220" w:type="dxa"/>
            <w:vAlign w:val="bottom"/>
          </w:tcPr>
          <w:p>
            <w:pPr>
              <w:jc w:val="right"/>
              <w:ind w:right="260"/>
              <w:spacing w:after="0" w:line="142" w:lineRule="exact"/>
              <w:rPr>
                <w:sz w:val="20"/>
                <w:szCs w:val="20"/>
                <w:color w:val="auto"/>
              </w:rPr>
            </w:pPr>
            <w:r>
              <w:rPr>
                <w:rFonts w:ascii="Arial" w:cs="Arial" w:eastAsia="Arial" w:hAnsi="Arial"/>
                <w:sz w:val="14"/>
                <w:szCs w:val="14"/>
                <w:b w:val="1"/>
                <w:bCs w:val="1"/>
                <w:color w:val="auto"/>
              </w:rPr>
              <w:t>June 28,</w:t>
            </w:r>
          </w:p>
        </w:tc>
        <w:tc>
          <w:tcPr>
            <w:tcW w:w="122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March 29,</w:t>
            </w:r>
          </w:p>
        </w:tc>
        <w:tc>
          <w:tcPr>
            <w:tcW w:w="12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49"/>
        </w:trPr>
        <w:tc>
          <w:tcPr>
            <w:tcW w:w="14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2015</w:t>
            </w:r>
          </w:p>
        </w:tc>
        <w:tc>
          <w:tcPr>
            <w:tcW w:w="2800" w:type="dxa"/>
            <w:vAlign w:val="bottom"/>
          </w:tcPr>
          <w:p>
            <w:pPr>
              <w:spacing w:after="0"/>
              <w:rPr>
                <w:sz w:val="12"/>
                <w:szCs w:val="12"/>
                <w:color w:val="auto"/>
              </w:rPr>
            </w:pPr>
          </w:p>
        </w:tc>
        <w:tc>
          <w:tcPr>
            <w:tcW w:w="2640" w:type="dxa"/>
            <w:vAlign w:val="bottom"/>
            <w:gridSpan w:val="2"/>
          </w:tcPr>
          <w:p>
            <w:pPr>
              <w:jc w:val="right"/>
              <w:ind w:right="508"/>
              <w:spacing w:after="0" w:line="129" w:lineRule="exact"/>
              <w:rPr>
                <w:sz w:val="20"/>
                <w:szCs w:val="20"/>
                <w:color w:val="auto"/>
              </w:rPr>
            </w:pPr>
            <w:r>
              <w:rPr>
                <w:rFonts w:ascii="Arial" w:cs="Arial" w:eastAsia="Arial" w:hAnsi="Arial"/>
                <w:sz w:val="14"/>
                <w:szCs w:val="14"/>
                <w:b w:val="1"/>
                <w:bCs w:val="1"/>
                <w:color w:val="auto"/>
              </w:rPr>
              <w:t>2015</w:t>
            </w:r>
          </w:p>
        </w:tc>
        <w:tc>
          <w:tcPr>
            <w:tcW w:w="1220" w:type="dxa"/>
            <w:vAlign w:val="bottom"/>
          </w:tcPr>
          <w:p>
            <w:pPr>
              <w:jc w:val="right"/>
              <w:ind w:right="380"/>
              <w:spacing w:after="0" w:line="129" w:lineRule="exact"/>
              <w:rPr>
                <w:sz w:val="20"/>
                <w:szCs w:val="20"/>
                <w:color w:val="auto"/>
              </w:rPr>
            </w:pPr>
            <w:r>
              <w:rPr>
                <w:rFonts w:ascii="Arial" w:cs="Arial" w:eastAsia="Arial" w:hAnsi="Arial"/>
                <w:sz w:val="14"/>
                <w:szCs w:val="14"/>
                <w:b w:val="1"/>
                <w:bCs w:val="1"/>
                <w:color w:val="auto"/>
              </w:rPr>
              <w:t>2015</w:t>
            </w:r>
          </w:p>
        </w:tc>
        <w:tc>
          <w:tcPr>
            <w:tcW w:w="1220" w:type="dxa"/>
            <w:vAlign w:val="bottom"/>
          </w:tcPr>
          <w:p>
            <w:pPr>
              <w:jc w:val="right"/>
              <w:ind w:right="377"/>
              <w:spacing w:after="0" w:line="129" w:lineRule="exact"/>
              <w:rPr>
                <w:sz w:val="20"/>
                <w:szCs w:val="20"/>
                <w:color w:val="auto"/>
              </w:rPr>
            </w:pPr>
            <w:r>
              <w:rPr>
                <w:rFonts w:ascii="Arial" w:cs="Arial" w:eastAsia="Arial" w:hAnsi="Arial"/>
                <w:sz w:val="14"/>
                <w:szCs w:val="14"/>
                <w:b w:val="1"/>
                <w:bCs w:val="1"/>
                <w:color w:val="auto"/>
              </w:rPr>
              <w:t>2015</w:t>
            </w:r>
          </w:p>
        </w:tc>
        <w:tc>
          <w:tcPr>
            <w:tcW w:w="11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40" w:type="dxa"/>
            <w:vAlign w:val="bottom"/>
            <w:gridSpan w:val="2"/>
          </w:tcPr>
          <w:p>
            <w:pPr>
              <w:jc w:val="right"/>
              <w:ind w:right="777"/>
              <w:spacing w:after="0" w:line="129" w:lineRule="exact"/>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1,308.1</w:t>
            </w:r>
          </w:p>
        </w:tc>
        <w:tc>
          <w:tcPr>
            <w:tcW w:w="122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$1,247.5</w:t>
            </w:r>
          </w:p>
        </w:tc>
        <w:tc>
          <w:tcPr>
            <w:tcW w:w="12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$1,067.0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640" w:type="dxa"/>
            <w:vAlign w:val="bottom"/>
            <w:gridSpan w:val="2"/>
          </w:tcPr>
          <w:p>
            <w:pPr>
              <w:jc w:val="right"/>
              <w:ind w:right="208"/>
              <w:spacing w:after="0"/>
              <w:rPr>
                <w:sz w:val="20"/>
                <w:szCs w:val="20"/>
                <w:color w:val="auto"/>
              </w:rPr>
            </w:pPr>
            <w:r>
              <w:rPr>
                <w:rFonts w:ascii="Arial" w:cs="Arial" w:eastAsia="Arial" w:hAnsi="Arial"/>
                <w:sz w:val="18"/>
                <w:szCs w:val="18"/>
                <w:color w:val="auto"/>
              </w:rPr>
              <w:t>467.4</w:t>
            </w:r>
          </w:p>
        </w:tc>
        <w:tc>
          <w:tcPr>
            <w:tcW w:w="1220" w:type="dxa"/>
            <w:vAlign w:val="bottom"/>
          </w:tcPr>
          <w:p>
            <w:pPr>
              <w:jc w:val="right"/>
              <w:ind w:right="200"/>
              <w:spacing w:after="0"/>
              <w:rPr>
                <w:sz w:val="20"/>
                <w:szCs w:val="20"/>
                <w:color w:val="auto"/>
              </w:rPr>
            </w:pPr>
            <w:r>
              <w:rPr>
                <w:rFonts w:ascii="Arial" w:cs="Arial" w:eastAsia="Arial" w:hAnsi="Arial"/>
                <w:sz w:val="18"/>
                <w:szCs w:val="18"/>
                <w:color w:val="auto"/>
              </w:rPr>
              <w:t>458.0</w:t>
            </w:r>
          </w:p>
        </w:tc>
        <w:tc>
          <w:tcPr>
            <w:tcW w:w="1220" w:type="dxa"/>
            <w:vAlign w:val="bottom"/>
          </w:tcPr>
          <w:p>
            <w:pPr>
              <w:jc w:val="right"/>
              <w:ind w:right="217"/>
              <w:spacing w:after="0"/>
              <w:rPr>
                <w:sz w:val="20"/>
                <w:szCs w:val="20"/>
                <w:color w:val="auto"/>
              </w:rPr>
            </w:pPr>
            <w:r>
              <w:rPr>
                <w:rFonts w:ascii="Arial" w:cs="Arial" w:eastAsia="Arial" w:hAnsi="Arial"/>
                <w:sz w:val="18"/>
                <w:szCs w:val="18"/>
                <w:color w:val="auto"/>
              </w:rPr>
              <w:t>374.7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controlling interest</w:t>
            </w:r>
          </w:p>
        </w:tc>
        <w:tc>
          <w:tcPr>
            <w:tcW w:w="2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28.4</w:t>
            </w:r>
          </w:p>
        </w:tc>
        <w:tc>
          <w:tcPr>
            <w:tcW w:w="122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12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365"/>
        </w:trPr>
        <w:tc>
          <w:tcPr>
            <w:tcW w:w="1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40" w:type="dxa"/>
            <w:vAlign w:val="bottom"/>
            <w:gridSpan w:val="2"/>
          </w:tcPr>
          <w:p>
            <w:pPr>
              <w:jc w:val="right"/>
              <w:ind w:right="1348"/>
              <w:spacing w:after="0"/>
              <w:rPr>
                <w:sz w:val="20"/>
                <w:szCs w:val="20"/>
                <w:color w:val="auto"/>
              </w:rPr>
            </w:pPr>
            <w:r>
              <w:rPr>
                <w:rFonts w:ascii="Arial" w:cs="Arial" w:eastAsia="Arial" w:hAnsi="Arial"/>
                <w:sz w:val="18"/>
                <w:szCs w:val="18"/>
                <w:color w:val="auto"/>
              </w:rPr>
              <w:t>F-65</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SB/RH HOLDINGS, LLC</w:t>
      </w:r>
    </w:p>
    <w:p>
      <w:pPr>
        <w:spacing w:after="0" w:line="11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ectPr>
          <w:pgSz w:w="11900" w:h="16838" w:orient="portrait"/>
          <w:cols w:equalWidth="0" w:num="1">
            <w:col w:w="10860"/>
          </w:cols>
          <w:pgMar w:left="240" w:top="460" w:right="799" w:bottom="1440" w:gutter="0" w:footer="0" w:header="0"/>
        </w:sectPr>
      </w:pPr>
    </w:p>
    <w:p>
      <w:pPr>
        <w:spacing w:after="0" w:line="39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SB/RH Holdings, LLC</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88328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income attributable to controlling interest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6350</wp:posOffset>
            </wp:positionV>
            <wp:extent cx="300164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61"/>
        </w:trPr>
        <w:tc>
          <w:tcPr>
            <w:tcW w:w="1160" w:type="dxa"/>
            <w:vAlign w:val="bottom"/>
          </w:tcPr>
          <w:p>
            <w:pPr>
              <w:jc w:val="right"/>
              <w:ind w:right="197"/>
              <w:spacing w:after="0"/>
              <w:rPr>
                <w:sz w:val="20"/>
                <w:szCs w:val="20"/>
                <w:color w:val="auto"/>
              </w:rPr>
            </w:pPr>
            <w:r>
              <w:rPr>
                <w:rFonts w:ascii="Arial" w:cs="Arial" w:eastAsia="Arial" w:hAnsi="Arial"/>
                <w:sz w:val="14"/>
                <w:szCs w:val="14"/>
                <w:b w:val="1"/>
                <w:bCs w:val="1"/>
                <w:color w:val="auto"/>
                <w:w w:val="89"/>
              </w:rPr>
              <w:t>September 30,</w:t>
            </w:r>
          </w:p>
        </w:tc>
        <w:tc>
          <w:tcPr>
            <w:tcW w:w="1220" w:type="dxa"/>
            <w:vAlign w:val="bottom"/>
          </w:tcPr>
          <w:p>
            <w:pPr>
              <w:jc w:val="right"/>
              <w:ind w:right="259"/>
              <w:spacing w:after="0"/>
              <w:rPr>
                <w:sz w:val="20"/>
                <w:szCs w:val="20"/>
                <w:color w:val="auto"/>
              </w:rPr>
            </w:pPr>
            <w:r>
              <w:rPr>
                <w:rFonts w:ascii="Arial" w:cs="Arial" w:eastAsia="Arial" w:hAnsi="Arial"/>
                <w:sz w:val="14"/>
                <w:szCs w:val="14"/>
                <w:b w:val="1"/>
                <w:bCs w:val="1"/>
                <w:color w:val="auto"/>
              </w:rPr>
              <w:t>June 29,</w:t>
            </w: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rPr>
              <w:t>March 30,</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December 29,</w:t>
            </w:r>
          </w:p>
        </w:tc>
      </w:tr>
      <w:tr>
        <w:trPr>
          <w:trHeight w:val="171"/>
        </w:trPr>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r>
      <w:tr>
        <w:trPr>
          <w:trHeight w:val="128"/>
        </w:trPr>
        <w:tc>
          <w:tcPr>
            <w:tcW w:w="1160" w:type="dxa"/>
            <w:vAlign w:val="bottom"/>
          </w:tcPr>
          <w:p>
            <w:pPr>
              <w:spacing w:after="0"/>
              <w:rPr>
                <w:sz w:val="11"/>
                <w:szCs w:val="11"/>
                <w:color w:val="auto"/>
              </w:rPr>
            </w:pPr>
          </w:p>
        </w:tc>
        <w:tc>
          <w:tcPr>
            <w:tcW w:w="2440" w:type="dxa"/>
            <w:vAlign w:val="bottom"/>
            <w:gridSpan w:val="2"/>
          </w:tcPr>
          <w:p>
            <w:pPr>
              <w:jc w:val="right"/>
              <w:ind w:right="777"/>
              <w:spacing w:after="0" w:line="128" w:lineRule="exact"/>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1"/>
                <w:szCs w:val="11"/>
                <w:color w:val="auto"/>
              </w:rPr>
            </w:pPr>
          </w:p>
        </w:tc>
      </w:tr>
      <w:tr>
        <w:trPr>
          <w:trHeight w:val="216"/>
        </w:trPr>
        <w:tc>
          <w:tcPr>
            <w:tcW w:w="1160" w:type="dxa"/>
            <w:vAlign w:val="bottom"/>
          </w:tcPr>
          <w:p>
            <w:pPr>
              <w:jc w:val="right"/>
              <w:ind w:right="197"/>
              <w:spacing w:after="0"/>
              <w:rPr>
                <w:sz w:val="20"/>
                <w:szCs w:val="20"/>
                <w:color w:val="auto"/>
              </w:rPr>
            </w:pPr>
            <w:r>
              <w:rPr>
                <w:rFonts w:ascii="Arial" w:cs="Arial" w:eastAsia="Arial" w:hAnsi="Arial"/>
                <w:sz w:val="18"/>
                <w:szCs w:val="18"/>
                <w:color w:val="auto"/>
              </w:rPr>
              <w:t>$   1,178.3</w:t>
            </w:r>
          </w:p>
        </w:tc>
        <w:tc>
          <w:tcPr>
            <w:tcW w:w="1220" w:type="dxa"/>
            <w:vAlign w:val="bottom"/>
          </w:tcPr>
          <w:p>
            <w:pPr>
              <w:jc w:val="right"/>
              <w:ind w:right="199"/>
              <w:spacing w:after="0"/>
              <w:rPr>
                <w:sz w:val="20"/>
                <w:szCs w:val="20"/>
                <w:color w:val="auto"/>
              </w:rPr>
            </w:pPr>
            <w:r>
              <w:rPr>
                <w:rFonts w:ascii="Arial" w:cs="Arial" w:eastAsia="Arial" w:hAnsi="Arial"/>
                <w:sz w:val="18"/>
                <w:szCs w:val="18"/>
                <w:color w:val="auto"/>
              </w:rPr>
              <w:t>$1,128.5</w:t>
            </w:r>
          </w:p>
        </w:tc>
        <w:tc>
          <w:tcPr>
            <w:tcW w:w="1220" w:type="dxa"/>
            <w:vAlign w:val="bottom"/>
          </w:tcPr>
          <w:p>
            <w:pPr>
              <w:jc w:val="right"/>
              <w:ind w:right="217"/>
              <w:spacing w:after="0"/>
              <w:rPr>
                <w:sz w:val="20"/>
                <w:szCs w:val="20"/>
                <w:color w:val="auto"/>
              </w:rPr>
            </w:pPr>
            <w:r>
              <w:rPr>
                <w:rFonts w:ascii="Arial" w:cs="Arial" w:eastAsia="Arial" w:hAnsi="Arial"/>
                <w:sz w:val="18"/>
                <w:szCs w:val="18"/>
                <w:color w:val="auto"/>
              </w:rPr>
              <w:t>$1,021.7</w:t>
            </w:r>
          </w:p>
        </w:tc>
        <w:tc>
          <w:tcPr>
            <w:tcW w:w="1120" w:type="dxa"/>
            <w:vAlign w:val="bottom"/>
          </w:tcPr>
          <w:p>
            <w:pPr>
              <w:jc w:val="right"/>
              <w:spacing w:after="0"/>
              <w:rPr>
                <w:sz w:val="20"/>
                <w:szCs w:val="20"/>
                <w:color w:val="auto"/>
              </w:rPr>
            </w:pPr>
            <w:r>
              <w:rPr>
                <w:rFonts w:ascii="Arial" w:cs="Arial" w:eastAsia="Arial" w:hAnsi="Arial"/>
                <w:sz w:val="18"/>
                <w:szCs w:val="18"/>
                <w:color w:val="auto"/>
              </w:rPr>
              <w:t>$   1,100.6</w:t>
            </w:r>
          </w:p>
        </w:tc>
      </w:tr>
      <w:tr>
        <w:trPr>
          <w:trHeight w:val="216"/>
        </w:trPr>
        <w:tc>
          <w:tcPr>
            <w:tcW w:w="1160" w:type="dxa"/>
            <w:vAlign w:val="bottom"/>
          </w:tcPr>
          <w:p>
            <w:pPr>
              <w:jc w:val="right"/>
              <w:ind w:right="197"/>
              <w:spacing w:after="0"/>
              <w:rPr>
                <w:sz w:val="20"/>
                <w:szCs w:val="20"/>
                <w:color w:val="auto"/>
              </w:rPr>
            </w:pPr>
            <w:r>
              <w:rPr>
                <w:rFonts w:ascii="Arial" w:cs="Arial" w:eastAsia="Arial" w:hAnsi="Arial"/>
                <w:sz w:val="18"/>
                <w:szCs w:val="18"/>
                <w:color w:val="auto"/>
              </w:rPr>
              <w:t>411.0</w:t>
            </w:r>
          </w:p>
        </w:tc>
        <w:tc>
          <w:tcPr>
            <w:tcW w:w="1220" w:type="dxa"/>
            <w:vAlign w:val="bottom"/>
          </w:tcPr>
          <w:p>
            <w:pPr>
              <w:jc w:val="right"/>
              <w:ind w:right="199"/>
              <w:spacing w:after="0"/>
              <w:rPr>
                <w:sz w:val="20"/>
                <w:szCs w:val="20"/>
                <w:color w:val="auto"/>
              </w:rPr>
            </w:pPr>
            <w:r>
              <w:rPr>
                <w:rFonts w:ascii="Arial" w:cs="Arial" w:eastAsia="Arial" w:hAnsi="Arial"/>
                <w:sz w:val="18"/>
                <w:szCs w:val="18"/>
                <w:color w:val="auto"/>
              </w:rPr>
              <w:t>417.1</w:t>
            </w:r>
          </w:p>
        </w:tc>
        <w:tc>
          <w:tcPr>
            <w:tcW w:w="1220" w:type="dxa"/>
            <w:vAlign w:val="bottom"/>
          </w:tcPr>
          <w:p>
            <w:pPr>
              <w:jc w:val="right"/>
              <w:ind w:right="217"/>
              <w:spacing w:after="0"/>
              <w:rPr>
                <w:sz w:val="20"/>
                <w:szCs w:val="20"/>
                <w:color w:val="auto"/>
              </w:rPr>
            </w:pPr>
            <w:r>
              <w:rPr>
                <w:rFonts w:ascii="Arial" w:cs="Arial" w:eastAsia="Arial" w:hAnsi="Arial"/>
                <w:sz w:val="18"/>
                <w:szCs w:val="18"/>
                <w:color w:val="auto"/>
              </w:rPr>
              <w:t>359.6</w:t>
            </w:r>
          </w:p>
        </w:tc>
        <w:tc>
          <w:tcPr>
            <w:tcW w:w="1120" w:type="dxa"/>
            <w:vAlign w:val="bottom"/>
          </w:tcPr>
          <w:p>
            <w:pPr>
              <w:jc w:val="right"/>
              <w:spacing w:after="0"/>
              <w:rPr>
                <w:sz w:val="20"/>
                <w:szCs w:val="20"/>
                <w:color w:val="auto"/>
              </w:rPr>
            </w:pPr>
            <w:r>
              <w:rPr>
                <w:rFonts w:ascii="Arial" w:cs="Arial" w:eastAsia="Arial" w:hAnsi="Arial"/>
                <w:sz w:val="18"/>
                <w:szCs w:val="18"/>
                <w:color w:val="auto"/>
              </w:rPr>
              <w:t>381.2</w:t>
            </w:r>
          </w:p>
        </w:tc>
      </w:tr>
      <w:tr>
        <w:trPr>
          <w:trHeight w:val="230"/>
        </w:trPr>
        <w:tc>
          <w:tcPr>
            <w:tcW w:w="1160" w:type="dxa"/>
            <w:vAlign w:val="bottom"/>
          </w:tcPr>
          <w:p>
            <w:pPr>
              <w:jc w:val="right"/>
              <w:ind w:right="197"/>
              <w:spacing w:after="0"/>
              <w:rPr>
                <w:sz w:val="20"/>
                <w:szCs w:val="20"/>
                <w:color w:val="auto"/>
              </w:rPr>
            </w:pPr>
            <w:r>
              <w:rPr>
                <w:rFonts w:ascii="Arial" w:cs="Arial" w:eastAsia="Arial" w:hAnsi="Arial"/>
                <w:sz w:val="18"/>
                <w:szCs w:val="18"/>
                <w:color w:val="auto"/>
              </w:rPr>
              <w:t>48.5</w:t>
            </w:r>
          </w:p>
        </w:tc>
        <w:tc>
          <w:tcPr>
            <w:tcW w:w="1220" w:type="dxa"/>
            <w:vAlign w:val="bottom"/>
          </w:tcPr>
          <w:p>
            <w:pPr>
              <w:jc w:val="right"/>
              <w:ind w:right="199"/>
              <w:spacing w:after="0"/>
              <w:rPr>
                <w:sz w:val="20"/>
                <w:szCs w:val="20"/>
                <w:color w:val="auto"/>
              </w:rPr>
            </w:pPr>
            <w:r>
              <w:rPr>
                <w:rFonts w:ascii="Arial" w:cs="Arial" w:eastAsia="Arial" w:hAnsi="Arial"/>
                <w:sz w:val="18"/>
                <w:szCs w:val="18"/>
                <w:color w:val="auto"/>
              </w:rPr>
              <w:t>78.6</w:t>
            </w:r>
          </w:p>
        </w:tc>
        <w:tc>
          <w:tcPr>
            <w:tcW w:w="1220" w:type="dxa"/>
            <w:vAlign w:val="bottom"/>
          </w:tcPr>
          <w:p>
            <w:pPr>
              <w:jc w:val="right"/>
              <w:ind w:right="217"/>
              <w:spacing w:after="0"/>
              <w:rPr>
                <w:sz w:val="20"/>
                <w:szCs w:val="20"/>
                <w:color w:val="auto"/>
              </w:rPr>
            </w:pPr>
            <w:r>
              <w:rPr>
                <w:rFonts w:ascii="Arial" w:cs="Arial" w:eastAsia="Arial" w:hAnsi="Arial"/>
                <w:sz w:val="18"/>
                <w:szCs w:val="18"/>
                <w:color w:val="auto"/>
              </w:rPr>
              <w:t>34.9</w:t>
            </w:r>
          </w:p>
        </w:tc>
        <w:tc>
          <w:tcPr>
            <w:tcW w:w="1120" w:type="dxa"/>
            <w:vAlign w:val="bottom"/>
          </w:tcPr>
          <w:p>
            <w:pPr>
              <w:jc w:val="right"/>
              <w:spacing w:after="0"/>
              <w:rPr>
                <w:sz w:val="20"/>
                <w:szCs w:val="20"/>
                <w:color w:val="auto"/>
              </w:rPr>
            </w:pPr>
            <w:r>
              <w:rPr>
                <w:rFonts w:ascii="Arial" w:cs="Arial" w:eastAsia="Arial" w:hAnsi="Arial"/>
                <w:sz w:val="18"/>
                <w:szCs w:val="18"/>
                <w:color w:val="auto"/>
              </w:rPr>
              <w:t>54.8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-410845</wp:posOffset>
            </wp:positionV>
            <wp:extent cx="666369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-136525</wp:posOffset>
            </wp:positionV>
            <wp:extent cx="6663690"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F-66</w:t>
      </w:r>
    </w:p>
    <w:p>
      <w:pPr>
        <w:sectPr>
          <w:pgSz w:w="11900" w:h="16838" w:orient="portrait"/>
          <w:cols w:equalWidth="0" w:num="2">
            <w:col w:w="4820" w:space="720"/>
            <w:col w:w="5320"/>
          </w:cols>
          <w:pgMar w:left="240" w:top="460" w:right="799" w:bottom="1440" w:gutter="0" w:footer="0" w:header="0"/>
          <w:type w:val="continuous"/>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Armored AutoGroup Parent, Inc.</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have audited the accompanying consolidated financial statements of Armored AutoGroup Parent, Inc. which comprise the consolidated balance sheets as of December 31, 2014 and 2013, and the related consolidated statements of comprehensive loss, shareholders’ equity and cash flows for each of the three years in the period ended December 31, 2014 and the related notes to the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Armored AutoGroup Parent, Inc. at December 31, 2014 and 2013, and the consolidated results of its operations and its cash flows for each of the three years in the period ended December 31, 2014.</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17,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59" w:right="2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Armored AutoGroup Parent,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ind w:left="326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47,948</w:t>
            </w:r>
          </w:p>
        </w:tc>
        <w:tc>
          <w:tcPr>
            <w:tcW w:w="7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69,845</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63,305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13,459</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11,676</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198,233</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31,008</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523,363</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358,826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481,689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financing costs and other assets,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1,236,550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16,279</w:t>
            </w:r>
          </w:p>
        </w:tc>
        <w:tc>
          <w:tcPr>
            <w:tcW w:w="7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46,023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Current portion of long-term debt, less discount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65,302</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debt, net of premium, discount and current portion</w:t>
            </w:r>
          </w:p>
        </w:tc>
        <w:tc>
          <w:tcPr>
            <w:tcW w:w="26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811,323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140,726</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1,021,512</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677,365</w:t>
            </w:r>
          </w:p>
        </w:tc>
        <w:tc>
          <w:tcPr>
            <w:tcW w:w="0" w:type="dxa"/>
            <w:vAlign w:val="bottom"/>
          </w:tcPr>
          <w:p>
            <w:pPr>
              <w:spacing w:after="0"/>
              <w:rPr>
                <w:sz w:val="1"/>
                <w:szCs w:val="1"/>
                <w:color w:val="auto"/>
              </w:rPr>
            </w:pPr>
          </w:p>
        </w:tc>
      </w:tr>
      <w:tr>
        <w:trPr>
          <w:trHeight w:val="32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Series A Preferred Stock ($0.01 par value, 150,000 shares authorized, 67,312 and no shares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issued and outstanding at December 31, 2014 and 2013, respectively)</w:t>
            </w:r>
          </w:p>
        </w:tc>
        <w:tc>
          <w:tcPr>
            <w:tcW w:w="26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($0.01 par value, 400,000,000 and 365,000,000 shares authorized, 288,384,891</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265,745,000 shares issued and outstanding at December 31, 2014 and 2013,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352,693</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(123,440)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(17,100)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215,038</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1,236,550</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Armored AutoGroup Parent,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409,979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289,956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219,177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158,049</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sold—acquisition related</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183,996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131,907</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60,931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40,712</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Advertising costs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2,474</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36,788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Intangible asset and goodwill impairment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146,748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107,761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142,407</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(loss)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24,146</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71,533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48,024</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(35,545)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(24,163)</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(13,388</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Foreign currency translation (loss) gain</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(9,151)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(9,389)</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59" w:right="2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Armored AutoGroup Parent,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 A</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7"/>
                <w:szCs w:val="7"/>
                <w:color w:val="auto"/>
              </w:rPr>
            </w:pPr>
          </w:p>
        </w:tc>
        <w:tc>
          <w:tcPr>
            <w:tcW w:w="9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5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Stock</w:t>
            </w:r>
          </w:p>
        </w:tc>
        <w:tc>
          <w:tcPr>
            <w:tcW w:w="260" w:type="dxa"/>
            <w:vAlign w:val="bottom"/>
            <w:vMerge w:val="restart"/>
          </w:tcPr>
          <w:p>
            <w:pPr>
              <w:spacing w:after="0"/>
              <w:rPr>
                <w:sz w:val="5"/>
                <w:szCs w:val="5"/>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Preferred Stock</w:t>
            </w:r>
          </w:p>
        </w:tc>
        <w:tc>
          <w:tcPr>
            <w:tcW w:w="26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980" w:type="dxa"/>
            <w:vAlign w:val="bottom"/>
            <w:tcBorders>
              <w:bottom w:val="single" w:sz="8" w:color="auto"/>
            </w:tcBorders>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9"/>
                <w:szCs w:val="9"/>
                <w:color w:val="auto"/>
              </w:rPr>
            </w:pPr>
          </w:p>
        </w:tc>
        <w:tc>
          <w:tcPr>
            <w:tcW w:w="9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265,795</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$ 263,421</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(39,784)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223,928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Share based compensation</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266</w:t>
            </w: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Translation adjustment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Net loss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(45,799)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(45,799)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265,795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2,658</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263,687</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(85,583)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Share based compensation</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290</w:t>
            </w: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common stock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Translation adjustments</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(9,389)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(13,388)</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 at December 31, 2013</w:t>
            </w: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gridSpan w:val="2"/>
            <w:vMerge w:val="continue"/>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w w:val="96"/>
              </w:rPr>
              <w:t>265,745</w:t>
            </w:r>
          </w:p>
        </w:tc>
        <w:tc>
          <w:tcPr>
            <w:tcW w:w="16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2,658</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263,927</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(7,949)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(98,971)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159,665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stock—IDQ Acquisition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23,108</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231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22,482</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Sale of preferred stock</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240"/>
              <w:spacing w:after="0"/>
              <w:rPr>
                <w:sz w:val="20"/>
                <w:szCs w:val="20"/>
                <w:color w:val="auto"/>
              </w:rPr>
            </w:pPr>
            <w:r>
              <w:rPr>
                <w:rFonts w:ascii="Arial" w:cs="Arial" w:eastAsia="Arial" w:hAnsi="Arial"/>
                <w:sz w:val="16"/>
                <w:szCs w:val="16"/>
                <w:color w:val="auto"/>
                <w:w w:val="89"/>
              </w:rPr>
              <w:t>1</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61,999</w:t>
            </w: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preferred stock—IDQ acquisition</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5,693</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Share based compensation</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6"/>
                <w:szCs w:val="16"/>
                <w:color w:val="auto"/>
              </w:rPr>
              <w:t>(840)</w:t>
            </w: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common stock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(468)</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(480)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Repurchase of preferred stock</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Translation adjustments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Net loss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(24,469)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(24,469)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288,385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2,884</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9"/>
              </w:rPr>
              <w:t>1</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$ 352,693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(123,440)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9" w:right="2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Armored AutoGroup Parent,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5"/>
              </w:rPr>
              <w:t>Year ended</w:t>
            </w:r>
          </w:p>
        </w:tc>
        <w:tc>
          <w:tcPr>
            <w:tcW w:w="280" w:type="dxa"/>
            <w:vAlign w:val="bottom"/>
          </w:tcPr>
          <w:p>
            <w:pPr>
              <w:spacing w:after="0"/>
              <w:rPr>
                <w:sz w:val="14"/>
                <w:szCs w:val="14"/>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7"/>
              </w:rPr>
              <w:t>Year ended</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(24,469)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(13,388)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57,992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47,846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Intangible asset and goodwill impairment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700"/>
              <w:spacing w:after="0"/>
              <w:rPr>
                <w:sz w:val="20"/>
                <w:szCs w:val="20"/>
                <w:color w:val="auto"/>
              </w:rPr>
            </w:pPr>
            <w:r>
              <w:rPr>
                <w:rFonts w:ascii="Arial" w:cs="Arial" w:eastAsia="Arial" w:hAnsi="Arial"/>
                <w:sz w:val="18"/>
                <w:szCs w:val="18"/>
                <w:color w:val="auto"/>
              </w:rPr>
              <w:t>Share based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(840)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(20,583)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(15,210)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700"/>
              <w:spacing w:after="0"/>
              <w:rPr>
                <w:sz w:val="20"/>
                <w:szCs w:val="20"/>
                <w:color w:val="auto"/>
              </w:rPr>
            </w:pPr>
            <w:r>
              <w:rPr>
                <w:rFonts w:ascii="Arial" w:cs="Arial" w:eastAsia="Arial" w:hAnsi="Arial"/>
                <w:sz w:val="18"/>
                <w:szCs w:val="18"/>
                <w:color w:val="auto"/>
              </w:rPr>
              <w:t>Restructuring and other charges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Cash effects of changes, net of acquisition effects 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8,955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9,276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60"/>
              <w:spacing w:after="0"/>
              <w:rPr>
                <w:sz w:val="20"/>
                <w:szCs w:val="20"/>
                <w:color w:val="auto"/>
              </w:rPr>
            </w:pPr>
            <w:r>
              <w:rPr>
                <w:rFonts w:ascii="Arial" w:cs="Arial" w:eastAsia="Arial" w:hAnsi="Arial"/>
                <w:sz w:val="18"/>
                <w:szCs w:val="18"/>
                <w:color w:val="auto"/>
              </w:rPr>
              <w:t>Due (to)/from Clorox</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6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(13,240)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(10,622)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10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3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20,587</w:t>
            </w:r>
          </w:p>
        </w:tc>
        <w:tc>
          <w:tcPr>
            <w:tcW w:w="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IDQ Acquisition Corp, net of cash acquired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(40,234)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(5,692)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(4,305)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acquisitions,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(1,797)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(3,084)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(47,723)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Borrowings under 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17,000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23,000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Payments on 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(23,000)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(12,000)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(3,611)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Repurchase of 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49,427</w:t>
            </w:r>
          </w:p>
        </w:tc>
        <w:tc>
          <w:tcPr>
            <w:tcW w:w="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(3,661)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21,912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w:t>
            </w:r>
          </w:p>
        </w:tc>
        <w:tc>
          <w:tcPr>
            <w:tcW w:w="3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9,008</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47,948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26,036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71,101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43,878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340"/>
              <w:spacing w:after="0"/>
              <w:rPr>
                <w:sz w:val="20"/>
                <w:szCs w:val="20"/>
                <w:color w:val="auto"/>
              </w:rPr>
            </w:pPr>
            <w:r>
              <w:rPr>
                <w:rFonts w:ascii="Arial" w:cs="Arial" w:eastAsia="Arial" w:hAnsi="Arial"/>
                <w:sz w:val="18"/>
                <w:szCs w:val="18"/>
                <w:color w:val="auto"/>
              </w:rPr>
              <w:t>Cash paid for income taxes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1—The Company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Armored AutoGroup Parent, Inc. (“Armored AutoGroup”, “AAG” or “the Company”) is a consumer products company consisting of industry leading and highly recognizable brands in the automotive aftermarket appearance products: Armor All</w:t>
      </w:r>
      <w:r>
        <w:rPr>
          <w:rFonts w:ascii="Arial" w:cs="Arial" w:eastAsia="Arial" w:hAnsi="Arial"/>
          <w:sz w:val="15"/>
          <w:szCs w:val="15"/>
          <w:color w:val="auto"/>
        </w:rPr>
        <w:t>®</w:t>
      </w:r>
      <w:r>
        <w:rPr>
          <w:rFonts w:ascii="Arial" w:cs="Arial" w:eastAsia="Arial" w:hAnsi="Arial"/>
          <w:sz w:val="18"/>
          <w:szCs w:val="18"/>
          <w:color w:val="auto"/>
        </w:rPr>
        <w:t>; performance chemicals categories, STP</w:t>
      </w:r>
      <w:r>
        <w:rPr>
          <w:rFonts w:ascii="Arial" w:cs="Arial" w:eastAsia="Arial" w:hAnsi="Arial"/>
          <w:sz w:val="15"/>
          <w:szCs w:val="15"/>
          <w:color w:val="auto"/>
        </w:rPr>
        <w:t>®</w:t>
      </w:r>
      <w:r>
        <w:rPr>
          <w:rFonts w:ascii="Arial" w:cs="Arial" w:eastAsia="Arial" w:hAnsi="Arial"/>
          <w:sz w:val="18"/>
          <w:szCs w:val="18"/>
          <w:color w:val="auto"/>
        </w:rPr>
        <w:t>; and, newly acquired products in the do-it-yourself (DIY) air conditioner recharge and retrofit kits and related products: A/C PRO, Arctic Freeze</w:t>
      </w:r>
      <w:r>
        <w:rPr>
          <w:rFonts w:ascii="Arial" w:cs="Arial" w:eastAsia="Arial" w:hAnsi="Arial"/>
          <w:sz w:val="15"/>
          <w:szCs w:val="15"/>
          <w:color w:val="auto"/>
        </w:rPr>
        <w:t>®</w:t>
      </w:r>
      <w:r>
        <w:rPr>
          <w:rFonts w:ascii="Arial" w:cs="Arial" w:eastAsia="Arial" w:hAnsi="Arial"/>
          <w:sz w:val="18"/>
          <w:szCs w:val="18"/>
          <w:color w:val="auto"/>
        </w:rPr>
        <w:t>, Sub Zero</w:t>
      </w:r>
      <w:r>
        <w:rPr>
          <w:rFonts w:ascii="Arial" w:cs="Arial" w:eastAsia="Arial" w:hAnsi="Arial"/>
          <w:sz w:val="15"/>
          <w:szCs w:val="15"/>
          <w:color w:val="auto"/>
        </w:rPr>
        <w:t>®</w:t>
      </w:r>
      <w:r>
        <w:rPr>
          <w:rFonts w:ascii="Arial" w:cs="Arial" w:eastAsia="Arial" w:hAnsi="Arial"/>
          <w:sz w:val="18"/>
          <w:szCs w:val="18"/>
          <w:color w:val="auto"/>
        </w:rPr>
        <w:t>, and Super Seal</w:t>
      </w:r>
      <w:r>
        <w:rPr>
          <w:rFonts w:ascii="Arial" w:cs="Arial" w:eastAsia="Arial" w:hAnsi="Arial"/>
          <w:sz w:val="15"/>
          <w:szCs w:val="15"/>
          <w:color w:val="auto"/>
        </w:rPr>
        <w:t>®</w:t>
      </w:r>
      <w:r>
        <w:rPr>
          <w:rFonts w:ascii="Arial" w:cs="Arial" w:eastAsia="Arial" w:hAnsi="Arial"/>
          <w:sz w:val="18"/>
          <w:szCs w:val="18"/>
          <w:color w:val="auto"/>
        </w:rPr>
        <w:t xml:space="preserve"> Stop Leak.</w:t>
      </w:r>
    </w:p>
    <w:p>
      <w:pPr>
        <w:spacing w:after="0" w:line="18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On March 17, 2014, the Company and its wholly owned subsidiaries, Armored AutoGroup, Inc. and AAG IDQ Acquisition Corporation, acquired a 100% equity interest in IDQ Acquisition Corp. (“IDQ” or “IDQ Acq. Corp.”). IDQ is a leading manufacturer of do-it-yourself air conditioner recharge and retrofit kits and related products for the automotive aftermarket. For the year ended December 31, 2014 net sales for IDQ were approximately $145 million. As of December 31, 2014, total assets attributable to the IDQ operations were approximately $446 million.</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Armored AutoGroup delivers its products to distributors, resellers and end users (collectively the customers) through its direct operations in the United States, Canada, Mexico, Australia, China and the United Kingdom and distributor relationships in approximately 50 countries. The Armor All and STP brands offer multiple automotive appearance and performance chemicals that can be found in most of the major developed countries around the world. IDQ products are sold in over 25,000 retail stores principally in the United States under the brands A/C PRO, Arctic Freeze</w:t>
      </w:r>
      <w:r>
        <w:rPr>
          <w:rFonts w:ascii="Arial" w:cs="Arial" w:eastAsia="Arial" w:hAnsi="Arial"/>
          <w:sz w:val="15"/>
          <w:szCs w:val="15"/>
          <w:color w:val="auto"/>
        </w:rPr>
        <w:t>®</w:t>
      </w:r>
      <w:r>
        <w:rPr>
          <w:rFonts w:ascii="Arial" w:cs="Arial" w:eastAsia="Arial" w:hAnsi="Arial"/>
          <w:sz w:val="18"/>
          <w:szCs w:val="18"/>
          <w:color w:val="auto"/>
        </w:rPr>
        <w:t>, Sub Zero</w:t>
      </w:r>
      <w:r>
        <w:rPr>
          <w:rFonts w:ascii="Arial" w:cs="Arial" w:eastAsia="Arial" w:hAnsi="Arial"/>
          <w:sz w:val="15"/>
          <w:szCs w:val="15"/>
          <w:color w:val="auto"/>
        </w:rPr>
        <w:t>®</w:t>
      </w:r>
      <w:r>
        <w:rPr>
          <w:rFonts w:ascii="Arial" w:cs="Arial" w:eastAsia="Arial" w:hAnsi="Arial"/>
          <w:sz w:val="18"/>
          <w:szCs w:val="18"/>
          <w:color w:val="auto"/>
        </w:rPr>
        <w:t>, and Super Seal</w:t>
      </w:r>
      <w:r>
        <w:rPr>
          <w:rFonts w:ascii="Arial" w:cs="Arial" w:eastAsia="Arial" w:hAnsi="Arial"/>
          <w:sz w:val="15"/>
          <w:szCs w:val="15"/>
          <w:color w:val="auto"/>
        </w:rPr>
        <w:t>®</w:t>
      </w:r>
      <w:r>
        <w:rPr>
          <w:rFonts w:ascii="Arial" w:cs="Arial" w:eastAsia="Arial" w:hAnsi="Arial"/>
          <w:sz w:val="18"/>
          <w:szCs w:val="18"/>
          <w:color w:val="auto"/>
        </w:rPr>
        <w:t xml:space="preserve"> Stop Leak.</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September 2010, Viking Acquisition Inc., an entity owned by affiliates of Avista Capital Holdings, L.P. (“Avista”), entered into an agreement to acquire the AutoCare Products Business, Armor All, STP and certain other brands from Clorox pursuant to the terms of a Purchase and Sale Agreement dated September 21, 2010 (the “Acquisition”). The Acquisition closed on November 5, 2010 and included employees in the United States and other countries dedicated to the Company, related product patent and developed technology and certain other assets, including the manufacturing facilities located in Painesville, Ohio and Wales, U.K. Viking Acquisition Inc. was subsequently renamed as Armored AutoGroup Inc. (“AAG Inc.”). The Company indirectly owns 91.3% of AAG Inc.’s issued and outstanding capital stock through its direct subsidiary and AAG Inc.’s direct parent, Armored AutoGroup Intermediate Inc. (“Intermediate”). The Company granted a 7.1% stake in the common equity of the Company to Kinderhook Industries on March 17, 2014, as a component of the consideration for the sale of its ownership interest in IDQ to the Company. In addition, members of IDQ’s management acquired an additional 1.6% common equity interest as a component of the consideration for the sale of their ownership interest in IDQ.</w:t>
      </w:r>
    </w:p>
    <w:p>
      <w:pPr>
        <w:spacing w:after="0" w:line="18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References to “Armored AutoGroup” or the “Company” herein, refer collectively to Armored AutoGroup Parent, Inc., as well as all of its consolidated subsidiaries, unless otherwise specified.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 GAAP”). The Company’s fiscal year end is December 31. The accompanying consolidated financial statements include the accounts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its wholly owned subsidiaries. All significant intercompany accounts and transactions have been eliminated.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380"/>
          </w:cols>
          <w:pgMar w:left="240" w:top="459" w:right="27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appearance and air conditioner products sales are seasonal and can be impacted by weather. Sales are typically higher in the first half of the calendar year as the Company’s customers purchase inventory for the spring and summer seasons when weather is warmer than in the northern hemisphere in the fall and winter months. This pattern is largely reflective of our customers’ seasonal purchasing patterns, as well as the timing of our promotional activities. Weather can also influence consumer behavior, especially for appearance and air conditioner products. Both product lines sell best during warm and dry weather, and less if weather is cold and wet. For these reasons, among others, the Company’s results for any quarter are not necessarily indicative of future quarterly results and, accordingly, period-to-period comparisons should not be relied upon as an indication of future performance. The Company builds moderate levels of working capital and inventory in advance of and during the peak selling season. Working capital is also impacted by increases in accounts receivable, which increase significantly during the peak selling period and are typically lowest in the fourth quarter of the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preparation of these financial statements in conformity with U.S. GAAP requires management to make estimates and assumptions that affect reported amounts and related disclosures. Specific areas, among others, requiring the application of management’s estimates and judgment include assumptions pertaining to allowances for excess and obsolete inventory, provisions for cash discounts on amounts due from customers, fair values assigned to assets acquired and liabilities assumed in connection with acquisitions (See Note 7), accruals for consumer and trade promotion programs, future product volume and pricing estimates, future cash flows utilized in impairment testing of goodwill and other long lived assets, creditworthiness of customers and potential income tax. Actual results could differ materially from the estimates and assumptions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As of December 31, 2014 and December 31, 2013, cash and cash equivalents amounted to $47.9 million, and $26.0 million, respectively, which included a money market account with an initial term of less than three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780" w:firstLine="456"/>
        <w:spacing w:after="0" w:line="342" w:lineRule="auto"/>
        <w:rPr>
          <w:sz w:val="20"/>
          <w:szCs w:val="20"/>
          <w:color w:val="auto"/>
        </w:rPr>
      </w:pPr>
      <w:r>
        <w:rPr>
          <w:rFonts w:ascii="Arial" w:cs="Arial" w:eastAsia="Arial" w:hAnsi="Arial"/>
          <w:sz w:val="16"/>
          <w:szCs w:val="16"/>
          <w:color w:val="auto"/>
        </w:rPr>
        <w:t>Restricted cash as of December 31, 2014 amounted to $3.7 million and relates to amounts held in escrow pursuant to a license and settlement agreement, and funds deposited in an interest reserve account in accordance with the terms of the $45 million senior secured notes (See Note 9).</w:t>
      </w:r>
    </w:p>
    <w:p>
      <w:pPr>
        <w:spacing w:after="0" w:line="12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Pursuant to a “License and Settlement Agreement” dated April 16, 2008, IDQ was obligated to fund in the form of a cash payment a royalty fee based on the sale of certain products which the Licensor claimed utilized its enforceable patent. During 2011, IDQ received notification that the U.S. Court upheld the patent in dispute and as a result, after the Licensor complies with certain requirements of the License and Settlement Agreement, IDQ will distribute the escrowed funds.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July 26, 2013, the patent expired which terminated the License and Settlement Agreement, releasing IDQ from its obligation to make royalty payments as of that date. As of December 31, 2014, the escrowed funds amounted to $0.5 million. Pursuant to the indenture governing the $45 million senior secured notes, the Company reserved the cash interest which was paid to those note holders on April 1, 2015. During September 2014, those funds totaling $3.2 million were deposited into an interest reserve account maintained with the collateral agent and are included within restricted cash at December 31, 2014.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59" w:right="23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Local currencies are the functional currencies for substantially all of the Company’s foreign operations, with the exception of the Company’s United Kingdom (“U.K.”) operation, whose functional currency was the U.S. dollar, during 2014 and prior. Subsequently, in early 2015 the Company’s U.K. entity switched their functional currency from the U.S. dollar to the British Pound sterling. An entity’s functional currency is the currency of the primary economic environment in which the entity operates. Management determined in early 2015 that due to a change in the manner in which the U. K. entity operates, that a switch in the functional currency to the British Pound sterling from the U. S. dollar was necessary.</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When the transactional currency is different than the functional currency, transaction gains and losses are included as a component of other expense, net in the consolidated statement of comprehensive loss. Assets and liabilities of foreign operations are translated into U.S. dollars using the exchange rates in effect at the respective balance sheet reporting date. Income and expenses are translated at the average exchange rate during the period. Gains and losses on foreign currency translations are reported as a component of accumulated other comprehensive loss. Deferred taxes are not provided on cumulative translation adjustments as the Company expects earnings of its foreign subsidiary to be indefinitely reinvested.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records accounts receivable at net realizable value. This value includes allowances for discounts and estimated uncollectible accounts to reflect losses anticipated on accounts receivable balances. The allowance for uncollectible accounts is based on historical write-offs, an analysis of past due accounts based on the contractual terms of the receivables, and the economic status of customers, if known. The Company believes that the allowance is sufficient to cover uncollectible amounts; however, there can be no assurance that unanticipated future business conditions of customers will not have a negative impact on its results of operations. Accounts receivable are written off against the allowance for estimated uncollectible accounts should we conclude their collection is improbable.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accounts receivable. Concentrations of credit risk with respect to accounts receivable, which are typically unsecured, are limited to an extent due to the large number of entities comprising the Company’s customer base and their dispersion across many geographical regions. The Company performs ongoing credit evaluations of the financial condition of its customers and requires credit enhancements, such as letters of credit and bank guarantees, in certain circumstances.</w:t>
      </w:r>
    </w:p>
    <w:p>
      <w:pPr>
        <w:spacing w:after="0" w:line="15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does, however, sell a significant portion of its products through third party distributors, resellers and significant retail customers (See Note 3) and, as a result, maintains at times significant receivables balances with these parties. If the financial condition of these distributors, resellers or significant retail customers should deteriorate substantially, the Company’s results of operations, financial position and cash flows could be adversely affected.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at times may exceed FDIC insurable limits.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Inventories are stated at the lower of cost or market under a first-in, first-out (“FIFO”) basis, except for the Company’s U. K. operation’s inventories which represent approximately 7% of total net inventory and are stated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average cost. When necessary, the Company provides allowances to adjust the carrying value of its inventory to the lower of cost or market, including any costs to sell or dispose. Consideration is given to obsolescence, excessive inventory levels, product deterioration and other factors in evaluating net realizable value for the purposes of determining the lower of cost or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Property, plant and equipment are stated at cost less accumulated depreciation and amortization. Depreciation and amortization expenses are calculated by the straight-line method using the estimated useful lives of the related assets. Routine repairs and maintenance are expensed when incurred. Leasehold improvements are depreciated over a period no longer than the lease term. Internal and external costs incurred in developing or obtaining computer software for internal use are capitalized in property, plant and equipment and are amortized on a straight-line basis, over the estimated useful life of the software. General and administrative costs related to developing or obtaining such software are expensed as incurred.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estimated useful lives generally assigned to property, plant and equipment by asset classification:</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22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Expected Useful Lives</w:t>
            </w:r>
          </w:p>
        </w:tc>
      </w:tr>
      <w:tr>
        <w:trPr>
          <w:trHeight w:val="20"/>
        </w:trPr>
        <w:tc>
          <w:tcPr>
            <w:tcW w:w="8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95"/>
        </w:trPr>
        <w:tc>
          <w:tcPr>
            <w:tcW w:w="5420" w:type="dxa"/>
            <w:vAlign w:val="bottom"/>
            <w:gridSpan w:val="2"/>
          </w:tcPr>
          <w:p>
            <w:pPr>
              <w:spacing w:after="0" w:line="195" w:lineRule="exact"/>
              <w:rPr>
                <w:sz w:val="20"/>
                <w:szCs w:val="20"/>
                <w:color w:val="auto"/>
              </w:rPr>
            </w:pPr>
            <w:r>
              <w:rPr>
                <w:rFonts w:ascii="Arial" w:cs="Arial" w:eastAsia="Arial" w:hAnsi="Arial"/>
                <w:sz w:val="18"/>
                <w:szCs w:val="18"/>
                <w:color w:val="auto"/>
              </w:rPr>
              <w:t>Land improvements</w:t>
            </w:r>
          </w:p>
        </w:tc>
        <w:tc>
          <w:tcPr>
            <w:tcW w:w="144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w w:val="92"/>
              </w:rPr>
              <w:t>- 30 years</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- 40 years</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- 15 years</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6"/>
              </w:rPr>
              <w:t>3 - 7 years</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Furniture, fixtures, and office equipment</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6"/>
              </w:rPr>
              <w:t>5 - 7 years</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6"/>
              </w:rPr>
              <w:t>3 - 7 years</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Molds and dies</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Shorter of asset life or</w:t>
            </w:r>
          </w:p>
        </w:tc>
      </w:tr>
      <w:tr>
        <w:trPr>
          <w:trHeight w:val="230"/>
        </w:trPr>
        <w:tc>
          <w:tcPr>
            <w:tcW w:w="8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remaining lease term</w:t>
            </w:r>
          </w:p>
        </w:tc>
      </w:tr>
    </w:tbl>
    <w:p>
      <w:pPr>
        <w:spacing w:after="0" w:line="20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Property, plant and equipment are reviewed for possible impairment whenever events or changes in circumstances occur that indicate that the carrying amount of an asset (or asset group) may not be recoverable. The Company’s impairment review requires significant management judgment including estimating the future success of product lines, future sales volumes, revenue and expense growth rates, alternative uses for the assets and estimated proceeds from the disposal of the assets. The Company conducts reviews of idle and underutilized equipment when events or circumstances arise indicating that future cash flows are insufficient to recover the book value of asset groups, and reviews business plans for possible impairment indicators. Impairment occurs when the carrying amount of the asset (or asset group) exceeds its estimated future undiscounted cash flows. When impairment is indicated, an impairment charge is recorded for the difference between the asset’s (or asset group’s) book value and its estimated fair value. Depending on the asset, estimated fair value may be determined either by use of a discounted cash flow (“DCF”) model or by reference to estimated selling values of assets in similar condition. The use of different assumptions would increase or decrease the estimated fair value of assets and would increase or decrease any impairment measurement. There have been no instances of impairment identified.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accounts for acquired businesses using the purchase method of accounting. Under the purchase method, the Company’s consolidated financial statements include the operations of an acquired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40"/>
          </w:cols>
          <w:pgMar w:left="240" w:top="459" w:right="31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business from the date of acquisition. In addition, the assets acquired and liabilities assumed are recorded at the date of acquisition at their respective estimated fair values, with any excess of the purchase price over the estimated fair values of the net assets acquired recorded as goodwill.</w:t>
      </w:r>
    </w:p>
    <w:p>
      <w:pPr>
        <w:spacing w:after="0" w:line="12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Determining the fair value of certain assets and liabilities acquired is judgmental in nature and often involves the use of significant estimates and assumptions. The Company typically uses an income method to estimate the fair value of intangible assets, which is based on forecasts of the expected future cash flows attributable to the respective assets. Significant estimates and assumptions inherent in the valuations reflect a consideration of other marketplace participants and include the amount and timing of future cash flows, the underlying product life cycles, the economic barriers to entry and the discount rate applied to the cash flows. Actual results may differ from our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 Lived Intangible Assets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Amortization of intangible assets with finite lives (patents, customer relationships and licensing arrangements) is recognized over estimated useful lives ranging from 5 to 16 years, which the Company believes reasonably represents the time period in which the economic benefits of the intangible assets are consumed or otherwise realized. The Company has experienced a negligible attrition rate in its customer base, and is not able to identify a reliable pattern of attrition and, as such, is utilizing the straight-line amortization method to amortize customer relationship intangible assets. Finite lived intangible assets are reviewed for possible impairment whenever events or changes in circumstances occur that indicate that the carrying amount of an asset may not be recoverable. There have been no instances of impairment identified.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 Lived Intangible Assets</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tests its trademarks and brand names with indefinite lives for impairment annually as of the first day of the fourth quarter, unless there are indications during an interim period that these assets are more likely than not to have become impaired. For trademarks and brand names with indefinite lives, impairment occurs when the carrying amount of an asset is greater than its estimated fair value. An impairment charge is recorded for the difference between the carrying amount and the fair value. The Company uses an income approach, the relief-from-royalty method, to estimate the fair value of its trademarks and trade names with indefinite lives. This method assumes that, in lieu of ownership, a third party would be willing to pay a royalty in order to obtain the rights to use the comparable asset. The determination of the fair values of trademarks and brand name assets with indefinite lives requires significant judgments in determining both the assets’ estimated cash flows as well as the appropriate discount and royalty rates applied to those cash flows to determine fair value. Changes in such estimates or the application of alternative assumptions could produce different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tests its goodwill for impairment annually as of the first day of the fourth quarter unless there are indications during an interim period that these assets are more likely than not to have become impaired. The Company has four geographical reporting units under AAG Inc. entity and one reporting unit under the IDQ entity. The first step of the goodwill impairment test is to compare the fair value of each reporting unit to its carrying amount to determine if there is potential impairment. If the fair value of the reporting unit is less than its carrying value, the second step of the goodwill impairment test is performed to measure the amount of impairment loss.</w:t>
      </w:r>
    </w:p>
    <w:p>
      <w:pPr>
        <w:spacing w:after="0" w:line="188"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second step of the goodwill impairment test compares the implied fair value of the reporting unit’s goodwill with the carrying amount of that goodwill. If the carrying amount of the reporting unit’s goodwill exceeds the implied fair value of that goodwill, an impairment loss is recognized in an amount equal to that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00"/>
          </w:cols>
          <w:pgMar w:left="240" w:top="459" w:right="2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at the date of the evaluation and the fair value was the purchase price paid to acquire the reporting unit.</w:t>
      </w:r>
    </w:p>
    <w:p>
      <w:pPr>
        <w:spacing w:after="0" w:line="14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Company estimates the fair value of reporting units using a weighting of fair values derived from an income approach and a market approach. Determining the fair value of a reporting unit under the first step of the goodwill impairment test and determining the fair value of individual assets and liabilities of a reporting unit (including unrecognized intangible assets) under the second step of the goodwill impairment test is inherently subjective in nature and often involves the use of significant estimates and assumptions based on known facts and circumstances at the time the Company performs the valuation. The use of different assumptions, inputs and judgments or changes in circumstances could materially affect the results of the valuation and could have a significant impact on whether or not an impairment charge is recognized and the magnitude of any such charge.</w:t>
      </w:r>
    </w:p>
    <w:p>
      <w:pPr>
        <w:spacing w:after="0" w:line="16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i w:val="1"/>
          <w:iCs w:val="1"/>
          <w:color w:val="auto"/>
        </w:rPr>
        <w:t>Income approach</w:t>
      </w:r>
      <w:r>
        <w:rPr>
          <w:rFonts w:ascii="Arial" w:cs="Arial" w:eastAsia="Arial" w:hAnsi="Arial"/>
          <w:sz w:val="16"/>
          <w:szCs w:val="16"/>
          <w:color w:val="auto"/>
        </w:rPr>
        <w:t>—To determine fair value, the Company uses a DCF approach for each of the reporting units. Under this approach,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the future cash flows of each reporting unit and discounts these cash flows at a rate of return that reflects their relative risk. The cash flows used in the DCF are consistent with the Company’s long-range forecasts, and give consideration to historic and projected long-term business trends and strategies. The other key estimates and factors used in the DCF include, but are not limited to, discount rates, future sales volumes, revenue and expense growth rates, changes in working capital, capital expenditure forecasts, foreign exchange rates, currency devaluation, inflation, and a perpetuity growth rate.</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Market approach</w:t>
      </w:r>
      <w:r>
        <w:rPr>
          <w:rFonts w:ascii="Arial" w:cs="Arial" w:eastAsia="Arial" w:hAnsi="Arial"/>
          <w:sz w:val="17"/>
          <w:szCs w:val="17"/>
          <w:color w:val="auto"/>
        </w:rPr>
        <w:t>—The Company uses the guideline public company method to select reasonably similar/guideline publicly traded companies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Company’s reporting units. Using the guideline public company method, the Company calculates earnings before interest, taxes, depreciation and amortization (“EBITDA”) multiples for each of the public companies using both historical and forecasted EBITDA figures. By applying these multiples to the appropriate historical and forecasted EBITDA figures for each reporting unit, fair value estimates are calculated.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Sales are recognized when title to the product, ownership and risk of loss transfer to the customer, which can be on the date of shipment or the date of receipt by the customer and when all of the following have occurred: a firm sales arrangement exists, pricing is fixed and determinable, and collection is reasonably assured. Revenue includes shipping and handling costs, which generally are included in the list price to the customer. Taxes collected from customers and remitted to governmental authorities are not included in sales. A provision for payment discounts and product return allowances is recorded as a reduction of sales in the same period that the revenue is recognized.</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routinely commits to on-going and one-time trade promotion programs with customers, consisting primarily of customer pricing allowances, merchandising funds and consumer coupons offered through various programs to customers and consumers. Accruals for expected payouts under these programs are included as accrued marketing and promotion in the accrued expenses and other liabilities line item in the consolidated balance sheets and are recorded as a reduction of sales in the consolidated statements of comprehensive loss.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380"/>
          </w:cols>
          <w:pgMar w:left="240" w:top="459" w:right="27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Amounts received by the Company from the licensing of certain trademarks are recorded as deferred revenue on the Consolidated Balance Sheets and are recognized in net sales on a straight-line basis over the term of the licensing agreement when the underlying royalties are earned.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Cost of products sold is primarily comprised of direct materials and supplies consumed in the manufacturing of product, as well as manufacturing labor, depreciation expense, direct overhead expense necessary to acquire and convert the purchased materials and supplies into finished product, contract manufacturing costs, and provisions for inventory losses (including losses relating to excess and obsolete inventory). Cost of products sold also includes the cost to distribute products to customers, inbound freight costs, internal transfer costs, warehousing costs and other shipping and handling activity, as well as costs associated with developing and designing new packaging.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Selling, general and administrative expense is primarily comprised of marketing expenses, selling expenses, administrative and other indirect overhead costs, depreciation and amortization expense on non-manufacturing assets and other miscellaneous operating items. Non-advertising related components of the Company’s total marketing spending include costs associated with consumer promotions, product sampling and sales aids, all of which are included in selling and administrative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Advertising and sales promotion costs are expensed as incurred. Costs associated with the Company’s television, print, radio, internet and in-store campaigns are expensed when the advertising or promotion is published or presented to consumers. Costs associated with the Company’s racing sponsorships and promotional events are expensed at the time or during the period of the race or promotional event.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granted both time based stock option awards and performance based stock option awards that vest subject to a liquidity event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(e.g., an initial public offering or change in control, as defined) and based upon the attainment of specified minimum returns on capital to Parent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grants are subject to the Stockholders Agreement repurchase right (see Note 13) which provides that in the event an option holder terminates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voluntarily, without good reason and not for cause, the Company has the right to repurchase shares acquired through the exercise of an option for the lesser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FMV or the option exercise price. This provision effectively provides that an option is never vested until the Company decides not to pursue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 right after an exercise and termination. The Company measures share based compensation associated with the time based awards based on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values on the dates they were granted. Prior to this fiscal year, the expense was recognized by amortizing the fair value on a straight-line basis over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vesting period. In fiscal year 2014, the Company determined that the repurchase language in the Shareholder Agreement created an indefinite vesting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 such that no compensation expense should be recognized until an actual vesting event occurs. As a result, in the year ended December 31,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$0.8 million of compensation expense which was previously recognized for these grants was reversed.</w:t>
      </w:r>
    </w:p>
    <w:p>
      <w:pPr>
        <w:spacing w:after="0" w:line="21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Although the Company has estimated the fair value of its performance based stock option awards, given that the performance condition (a liquidity event) is not probable of occurrence, the Company has not recognized any share based compensation expense attendant to these awards (See Note 14).</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59" w:right="2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November 2010, the Company established a defined contribution plan for the U.S. employees of AAG, Inc., which qualifies as a tax deferred savings plan under Section 401(k) of the Internal Revenue Code (“IRC” or the “Code”). Eligible U.S. employees may contribute a percentage of their pre-tax compensation, subject to certain IRC limitations. The plan provides for employer matching contributions of 100% of participant income deferrals to a maximum of $1,000 and employer contributions up to 10% of a participant’s annual base salary, subject to limits prescribed under U.S. federal regulations.</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IDQ Acq. Corp. has a defined contribution (401(k)) plan as amended, available to employees (except for those covered under a collective bargaining agreement and part-time employees) who have completed three months of service and have attained 21 years of age. IDQ Acq. Corp’s matching contributions under the plan are 100% of applicable contributions up to the first 4% of employees’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recognizes rental expense for operating leases, including those with rent abatement and escalation provisions, on a straight-line basis over the applicable lease term.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charged to expense as incurred.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Deferred financing costs represent legal, other professional and bank underwriting fees incurred in connection with the issuance of debt. Such fees are amortized over the life of the related debt using the interest method and are included in interest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the differences between the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or all of its deferred tax assets will not be realized. Changes in valuation allowances from period to period are included in the Company’s tax provision in the period of change. In addition to valuation allowances, the Company provides for uncertain tax positions when such tax positions do not meet the recognition thresholds or measurement standards prescribed by accounting guidance on the accounting for uncertainty in income taxes. Amounts for uncertain tax positions are adjusted when new information becomes available or when positions are effectively settled.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30, 2014, the Company has $5.0 million of goodwill, which is expected to be deductible for tax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Certain reclassifications have been made to conform the prior period data to the current presentation. These reclassifications had no effect on reported net loss or comprehensive loss.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9" w:right="2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August 2014, the Financial Accounting Standards Board (“FASB”) issued Accounting Standards Update (“ASU”) No. 2014-15—Disclosure of Uncertainties about an Entity’s Ability to Continue as a Going Concern. The ASU requires management to evaluate whether there are conditions and events that raise substantial doubt about the entity’s ability to continue as a going concern within one year after the financial statements are issued and, if so, to disclose that fact. The ASU requires management to make this evaluation for both the annual and interim reporting periods, if applicable. Management is also required to evaluate and disclose whether its plans alleviate that doubt. The ASU is effective for annual periods ending after December 15, 2016 and interim periods within annual periods beginning after December 15, 2016.</w:t>
      </w:r>
    </w:p>
    <w:p>
      <w:pPr>
        <w:spacing w:after="0" w:line="193"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May 2014, the FASB issued ASU No. 2014-09, Revenue from Contracts with Customers (Topic 606). The ASU clarifies the principles for recognizing revenue and develops a common revenue standard for U.S. GAAP and International Financial Reporting Standards (“IFRS”) that removes inconsistencies and weaknesses in revenue requirements, provides a more robust framework for addressing revenue issues, improves comparability of revenue recognition practices across entities, industries, jurisdictions and capital markets, provides more useful information to users of the financial statements through improved disclosure requirements and simplifies the preparation of financial statements by reducing the number of requirements to which an entity must refer. For nonpublic entities, ASU No. 2014-09 is effective for the annual reporting periods beginning after December 15, 2017, and interim periods within annual periods beginning after December 15, 2018. A nonpublic entity may elect to apply this guidance earlier as follows: (1) an annual reporting period beginning after December 15, 2016, including interim periods within that reporting period, (2) an annual reporting period beginning after December 15, 2016, and interim periods within annual periods beginning after December 15, 2017 (3) an annual reporting period beginning after December 15, 2017, including interim periods within that reporting period. The Company is assessing the impact of the adoption of the ASU on its financial statements, disclosure requirements and methods of adoption.</w:t>
      </w:r>
    </w:p>
    <w:p>
      <w:pPr>
        <w:spacing w:after="0" w:line="1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FASB decided to propose a one-year deferral of the effective date for its new revenue standard for public and nonpublic entities reporting under US GAAP. Under the proposal, the standard would be effective for public entities for annual reporting periods beginning after December 15, 2017 and interim periods therein. Nonpublic entities would be required to adopt the new standard for annual reporting periods beginning after December 15, 2018, and interim periods within annual reporting periods beginning after December 15, 2019.</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proposal also would permit both public and nonpublic entities to adopt the standard as early as the original public entity effective date (i.e., annual reporting periods beginning after December 15, 2016 and interim periods therein). Early adoption prior to that date would not be permitted. The FASB plans to issue an exposure draft on the proposal and expects to seek public comment with a 30-day comment period. The IASB is expected to discuss its standard’s effective date later this month. In an effort to simplify the accounting for private companies the FASB has adopted certain recommendations of the Private Company Council into the Accounting Standards Codification which may be adopted by private companies. The Company will not adopt these private company accounting standards.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2—Acquisition of IDQ Acquisition Corp. and Related-Party Transactions</w:t>
      </w:r>
    </w:p>
    <w:p>
      <w:pPr>
        <w:spacing w:after="0" w:line="121"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On March 17, 2014, the Company, in conjunction with its wholly owned subsidiaries, AAG Inc., and AAG IDQ Acquisition Corporation, the Company’s direct wholly-owned subsidiary (“AcquisitionCo”) collectively acquired 100% of the common stock of IDQ Acquisition Corp., pursuant to a Stock Purchase Agreement, dated as of March 17, 2014 (the “AAG Purchase Agreement”), by and among the Company, AAG Inc., AcquisitionCo,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59" w:right="2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IDQ Acq. Corp., the then existing stockholders of IDQ Acq. Corp., and a Contribution Agreement, dated March 17, 2014 (the “Contribution Agreement”), by and among the Company and the then existing stockholders of IDQ Acq. Corp. (“the March 17 Acquisition”) for an aggregate purchase price of $97.1 million. The acquisition did not result in the Company or any of its subsidiaries becoming an obligor of IDQ’s debt instruments and IDQ did not become an obligor of the Company or any of the Company’s other subsidiaries’ debt instruments.</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acquisition of IDQ expands the Company’s consumer product portfolio in the automotive aftermarket industry, as it is a leading manufacturer of do-it-yourself air conditioner recharge and retrofit kits and related products which are sold in over 25,000 retail stores principally in the United States. In accordance with ASC Topic 805, Business Combinations, the change in control was accounted for under the acquisition method of accounting by the Company. As such, the assets and liabilities of IDQ were recorded at their estimated fair value on March 17, 2014.</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AAG Purchase Agreement, immediately prior to the execution of said Agreement, the existing stockholders of IDQ Acq. Corp., pursuant to the Contribution Agreement noted above, collectively contributed 186,541 of their common stock in IDQ to the Company in exchange for common and preferred shares in AAG Parent representing a total estimated fair value of $28.4 million. The remaining 458,177 issued and outstanding shares of common stock of IDQ were purchased from the existing stockholders for a total $70.0 million. In addition, at the time of the close, IDQ paid $1.3 million in third party professional fees and expenses that were incurred by AAG Inc. in connection with the acquisition, which was recorded as a reduction of the total consideration exchanged.</w:t>
      </w:r>
    </w:p>
    <w:p>
      <w:pPr>
        <w:spacing w:after="0" w:line="19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IDQ obtained consents for the change in control from its creditors through amendments to the indentures governing the IDQ Holdings $220 million Notes and the IDQ Acq. Corp. $45 million Notes, and an amendment to the IDQ Holdings’ Revolving Credit Facility, in consideration of payments of $0.6 million, $0.7 million and $0.1 million, respectively (See Note 7). In addition, the creditors consented to the payments of acquisition related transaction costs, such as advisory, legal and other professional fees, of up to $8.0 million, of which $5.6 million was expensed and included in general and administrative expenses in the accompanying statements of comprehensive loss for the year ended December 31, 2014.</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380"/>
          </w:cols>
          <w:pgMar w:left="240" w:top="459" w:right="27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During the fourth quarter of 2014, the Company finalized its valuation of the acquisition date fair values of the consideration transferred, and the assets acquired and liabilities assumed. Based on that assessment, management determined that the acquisition resulted in goodwill of $166.6 million, which is attributable to expected synergies and other benefits that will result from combining certain operations of IDQ and AAG Inc. The following is a summary of the consideration transferred for the March 17 Acquisition and the estimated fair values of the assets acquired and liabilities assumed at the acquisition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Cash consideration</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68,723,844</w:t>
            </w: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equity instruments ( the sellers received a non-controlling interest in AAG Parent)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28,405,545</w:t>
            </w:r>
          </w:p>
        </w:tc>
      </w:tr>
      <w:tr>
        <w:trPr>
          <w:trHeight w:val="230"/>
        </w:trPr>
        <w:tc>
          <w:tcPr>
            <w:tcW w:w="20" w:type="dxa"/>
            <w:vAlign w:val="bottom"/>
          </w:tcPr>
          <w:p>
            <w:pPr>
              <w:spacing w:after="0"/>
              <w:rPr>
                <w:sz w:val="20"/>
                <w:szCs w:val="20"/>
                <w:color w:val="auto"/>
              </w:rPr>
            </w:pPr>
          </w:p>
        </w:tc>
        <w:tc>
          <w:tcPr>
            <w:tcW w:w="10140" w:type="dxa"/>
            <w:vAlign w:val="bottom"/>
          </w:tcPr>
          <w:p>
            <w:pPr>
              <w:ind w:left="7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97,129,389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Fair values of assets acquired and 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Current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74,435,863</w:t>
            </w: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step-up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4,664,000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225,900,000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(39,325,314)</w:t>
            </w: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(272,156,216)</w:t>
            </w:r>
          </w:p>
        </w:tc>
      </w:tr>
      <w:tr>
        <w:trPr>
          <w:trHeight w:val="216"/>
        </w:trPr>
        <w:tc>
          <w:tcPr>
            <w:tcW w:w="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Net 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(69,768,811)</w:t>
            </w:r>
          </w:p>
        </w:tc>
      </w:tr>
      <w:tr>
        <w:trPr>
          <w:trHeight w:val="27"/>
        </w:trPr>
        <w:tc>
          <w:tcPr>
            <w:tcW w:w="20" w:type="dxa"/>
            <w:vAlign w:val="bottom"/>
          </w:tcPr>
          <w:p>
            <w:pPr>
              <w:spacing w:after="0"/>
              <w:rPr>
                <w:sz w:val="2"/>
                <w:szCs w:val="2"/>
                <w:color w:val="auto"/>
              </w:rPr>
            </w:pPr>
          </w:p>
        </w:tc>
        <w:tc>
          <w:tcPr>
            <w:tcW w:w="10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value of assets (liabilities)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(69,444,478)</w:t>
            </w:r>
          </w:p>
        </w:tc>
      </w:tr>
      <w:tr>
        <w:trPr>
          <w:trHeight w:val="223"/>
        </w:trPr>
        <w:tc>
          <w:tcPr>
            <w:tcW w:w="20" w:type="dxa"/>
            <w:vAlign w:val="bottom"/>
          </w:tcPr>
          <w:p>
            <w:pPr>
              <w:spacing w:after="0"/>
              <w:rPr>
                <w:sz w:val="19"/>
                <w:szCs w:val="19"/>
                <w:color w:val="auto"/>
              </w:rPr>
            </w:pPr>
          </w:p>
        </w:tc>
        <w:tc>
          <w:tcPr>
            <w:tcW w:w="10140" w:type="dxa"/>
            <w:vAlign w:val="bottom"/>
          </w:tcPr>
          <w:p>
            <w:pPr>
              <w:ind w:left="700"/>
              <w:spacing w:after="0"/>
              <w:rPr>
                <w:sz w:val="20"/>
                <w:szCs w:val="20"/>
                <w:color w:val="auto"/>
              </w:rPr>
            </w:pPr>
            <w:r>
              <w:rPr>
                <w:rFonts w:ascii="Arial" w:cs="Arial" w:eastAsia="Arial" w:hAnsi="Arial"/>
                <w:sz w:val="18"/>
                <w:szCs w:val="18"/>
                <w:color w:val="auto"/>
              </w:rPr>
              <w:t>Excess—goodwill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166,573,867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fair value of the current assets acquired includes trade receivables with a fair value of $20.6 million. A step-up in the value of the inventory of $6.8 million was recorded in connection with the IDQ Acquisition based on valuation estimates. During 2014, the full $6.8 million of the step-up amount was charged to cost of products sold, as the inventory was sold, see consolidated statements of comprehensive loss. The fair values allocated to intangible assets include patents, trademarks and customer relationships with a total estimated fair value of $225.9 million (See Note 7). The relief from royalty method approach was used to value the patents and the trademarks, and the profit contribution method income approach was used to value the customer relationships. The fair values of the long term liabilities assumed include the IDQ Holdings $220 million Notes and the IDQ Acq. Corp. $45 million Notes, with estimated fair values of $224.4 million and $46.8 million, respectively, which is based on par value plus an approximated yield-to-maturity premium.</w:t>
      </w:r>
    </w:p>
    <w:p>
      <w:pPr>
        <w:spacing w:after="0" w:line="16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In addition to and in anticipation of the Company’s investment in IDQ, the Company entered into an amendment of AAG’s Credit Facility on March 11, 2014 revising a defined term, Consolidated EBITDA. Consolidated EBITDA is used in the calculation of certain financial condition covenants under the Credit Facility. The revision to the definition of Consolidated EBITDA excludes from AAG Inc.’s Consolidated EBITDA fees and expenses incurred for the Company’s investment in IDQ, it’s implementation of a management services agreement with IDQ and its pursuit of cost savings, expense reductions and other operating improvements and synergies related to the IDQ acquisition.</w:t>
      </w:r>
    </w:p>
    <w:p>
      <w:pPr>
        <w:spacing w:after="0" w:line="173"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In the second quarter of 2014, the Company made an acquisition in the United Kingdom for a total consideration of approximately $1.9 million. F-82</w:t>
      </w:r>
    </w:p>
    <w:p>
      <w:pPr>
        <w:sectPr>
          <w:pgSz w:w="11900" w:h="16838" w:orient="portrait"/>
          <w:cols w:equalWidth="0" w:num="1">
            <w:col w:w="11420"/>
          </w:cols>
          <w:pgMar w:left="240" w:top="459" w:right="2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conjunction with the original Acquisition, the Company entered into a Transition Services Agreement (“TSA”) with Clorox whereby Clorox would provide certain services, equipment and office space to the Company. Additionally under the TSA, the Company provided certain services to Clorox. Related party transactions and activities involving Clorox are not always consummated on terms equivalent to those that would prevail in an arm’s-length transaction where conditions of competitive, free-market dealings may exist. On November 1, 2011, the Company completed the transition of its North American and export operations from Clorox provisioning to standalone operations. The Company completed the transition of certain international operations from Clorox in the second quarter of 2012 and terminated the remaining service components of the TSA. During 2012, the Company recorded $0.7 million of payments under the agreement in Selling and administrative expenses. Further, on conclusion of the TSA we entered into a subsequent arrangement with Clorox for continuation of services in Australia and New Zealand, including warehousing, logistics, customer service and information systems facilities and support. Expenses for these services were $1.3 million and $0.7 million and were included in cost of goods sold and selling, general and administrative expenses, respectively in 2012.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Avista</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Avista owns approximately 91.3% of the Company. As a result, Avista has the power to elect our board of directors and has the ability to exercise significant influence or control over the Company’s operations.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Company has entered into a monitoring agreement with Avista and affiliates of Avista whereby Avista provides services for a fixed fee of $1.0 million annually to the Company. Selling, general and administrative expenses, including out of pocket expenses related to this monitoring agreement were (in thousands):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7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0"/>
              </w:rPr>
              <w:t>Year ended</w:t>
            </w:r>
          </w:p>
        </w:tc>
        <w:tc>
          <w:tcPr>
            <w:tcW w:w="17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2"/>
              </w:rPr>
              <w:t>Year ended</w:t>
            </w: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5220" w:type="dxa"/>
            <w:vAlign w:val="bottom"/>
          </w:tcPr>
          <w:p>
            <w:pPr>
              <w:spacing w:after="0"/>
              <w:rPr>
                <w:sz w:val="12"/>
                <w:szCs w:val="12"/>
                <w:color w:val="auto"/>
              </w:rPr>
            </w:pPr>
          </w:p>
        </w:tc>
        <w:tc>
          <w:tcPr>
            <w:tcW w:w="17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70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5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2013</w:t>
            </w:r>
          </w:p>
        </w:tc>
        <w:tc>
          <w:tcPr>
            <w:tcW w:w="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Avista monitoring agreement fees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connection with the Acquisition and the issuance of its long-term debt, the Company paid $4.1 million to Avista and affiliates of Avista for consulting expenses and recorded these as deferred financing costs which are amortized over the term of the debt using the effective interest method. Related amortization expense was (in thousands):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2"/>
              </w:rPr>
              <w:t>Year ended</w:t>
            </w:r>
          </w:p>
        </w:tc>
        <w:tc>
          <w:tcPr>
            <w:tcW w:w="18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0"/>
              </w:rPr>
              <w:t>Year ended</w:t>
            </w: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5040" w:type="dxa"/>
            <w:vAlign w:val="bottom"/>
          </w:tcPr>
          <w:p>
            <w:pPr>
              <w:spacing w:after="0"/>
              <w:rPr>
                <w:sz w:val="12"/>
                <w:szCs w:val="12"/>
                <w:color w:val="auto"/>
              </w:rPr>
            </w:pPr>
          </w:p>
        </w:tc>
        <w:tc>
          <w:tcPr>
            <w:tcW w:w="180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80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5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2014</w:t>
            </w: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2013</w:t>
            </w:r>
          </w:p>
        </w:tc>
        <w:tc>
          <w:tcPr>
            <w:tcW w:w="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Avista consulting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Michael Klein, who serves as the Company’s Chief Executive Officer, is the sole member of Las Colinas Investments, LLC, which is entitled to receive $125,280 per annum from IDQ Operating, Inc., a subsidiary of IDQ Acq. Corp., pursuant to, and subject to the terms and conditions of, the Consulting Agreement, dated as of January 28, 2013, as amended, subject to an aggregate cap of $360,000 following April 1, 2014. Gerard Rooney, who serves as the Company’s Executive Vice President of Operations, is the sole member of Windy Hill Investments LLC, which is entitled to receive $83,250 per annum from IDQ Operating, Inc. pursuant to, and subject to the terms and conditions of, the Consulting Agreement, dated as of January 28, 2013, as amended, subject to an aggregate cap of $240,000 following April 1, 2014. Under the terms of the Board Service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00"/>
          </w:cols>
          <w:pgMar w:left="240" w:top="460" w:right="25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Consulting Agreements, dated as of June 1, 2014 and March 17, 2014, respectively, Ms. Kranc and Mr. Yurko are each entitled to receive $50,000 per annum from the Company for their board service and consulting services. In consideration for services rendered in connection with the IDQ investment, Mr. Yurko received a transaction fee equal to $250,000 per the terms of the consulting agreement. In June 2014, Ms. Kranc was granted 100,000 stock options, per the terms of her consulting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Kinderhook Industries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Under the terms of the IDQ Acquisition, Kinderhook Industries, which formerly owned 88% of IDQ Acq. Corp., received a 7.1% stake in the common equity of the Company, as a component of the consideration for the sale of its ownership interest in IDQ Acq. Corp. Kinderhook had a monitoring agreement whereby Kinderhook provides services for a fixed fee of $1.7 million annually to IDQ Acq. Corp. The agreement was amended in March 2014 to cap future payments to Kinderhook at a total of $5.0 million. Selling, general and administrative expenses, including out of pocket expenses related to this monitoring agreement were $1.2 million during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Officers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connection with the Acquisition and issuance of the AAG’s long-term debt, the Company incurred costs of $1.8 million for consulting expenses from individuals that later became directors and officers of the Company. Of this amount, $0.4 million was paid to certain directors and officers of the Company and $1.4 million was reinvested in the Company through the purchase of common stock. Of these consulting expenses, $1.3 million was recorded in 2010 with the remaining $0.5 million deferred and amortized over the term of the respective debt using the effective interest method. Related amortization expense was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920" w:type="dxa"/>
            <w:vAlign w:val="bottom"/>
          </w:tcPr>
          <w:p>
            <w:pPr>
              <w:spacing w:after="0"/>
              <w:rPr>
                <w:sz w:val="14"/>
                <w:szCs w:val="14"/>
                <w:color w:val="auto"/>
              </w:rPr>
            </w:pPr>
          </w:p>
        </w:tc>
        <w:tc>
          <w:tcPr>
            <w:tcW w:w="17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Year ended</w:t>
            </w: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69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2"/>
                <w:szCs w:val="12"/>
                <w:color w:val="auto"/>
              </w:rPr>
            </w:pPr>
          </w:p>
        </w:tc>
        <w:tc>
          <w:tcPr>
            <w:tcW w:w="174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2013</w:t>
            </w:r>
          </w:p>
        </w:tc>
        <w:tc>
          <w:tcPr>
            <w:tcW w:w="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directors’ and officers’ consulting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Company engaged Charles McIlvaine, a former Director of the Company, to provide services associated with corporate development and other strategic initiatives on a consulting basis. Pursuant to this arrangement the Company recorded charges of $0.1 million in the year ended December 31, 2012, in selling, general and administrative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3—Accounts Receivable,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percentage of accounts receivable due from the Company’s largest customers were: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040" w:type="dxa"/>
            <w:vAlign w:val="bottom"/>
            <w:gridSpan w:val="3"/>
          </w:tcPr>
          <w:p>
            <w:pPr>
              <w:jc w:val="center"/>
              <w:ind w:left="1719"/>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0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First</w:t>
            </w:r>
          </w:p>
        </w:tc>
        <w:tc>
          <w:tcPr>
            <w:tcW w:w="2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Second</w:t>
            </w:r>
          </w:p>
        </w:tc>
        <w:tc>
          <w:tcPr>
            <w:tcW w:w="4040" w:type="dxa"/>
            <w:vAlign w:val="bottom"/>
            <w:gridSpan w:val="3"/>
          </w:tcPr>
          <w:p>
            <w:pPr>
              <w:jc w:val="right"/>
              <w:ind w:right="560"/>
              <w:spacing w:after="0"/>
              <w:rPr>
                <w:sz w:val="20"/>
                <w:szCs w:val="20"/>
                <w:color w:val="auto"/>
              </w:rPr>
            </w:pPr>
            <w:r>
              <w:rPr>
                <w:rFonts w:ascii="Arial" w:cs="Arial" w:eastAsia="Arial" w:hAnsi="Arial"/>
                <w:sz w:val="18"/>
                <w:szCs w:val="18"/>
                <w:color w:val="auto"/>
              </w:rPr>
              <w:t>19%</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jc w:val="right"/>
        <w:ind w:right="5500"/>
        <w:spacing w:after="0"/>
        <w:rPr>
          <w:sz w:val="20"/>
          <w:szCs w:val="20"/>
          <w:color w:val="auto"/>
        </w:rPr>
      </w:pPr>
      <w:r>
        <w:rPr>
          <w:rFonts w:ascii="Arial" w:cs="Arial" w:eastAsia="Arial" w:hAnsi="Arial"/>
          <w:sz w:val="17"/>
          <w:szCs w:val="17"/>
          <w:color w:val="auto"/>
        </w:rPr>
        <w:t>No other customers exceeded 10% of net accounts receivable in any period.</w:t>
      </w:r>
    </w:p>
    <w:p>
      <w:pPr>
        <w:spacing w:after="0" w:line="169"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59" w:right="23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percentage of the Company’s net sales to the Company’s largest customers were: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Year ended</w:t>
            </w:r>
          </w:p>
        </w:tc>
        <w:tc>
          <w:tcPr>
            <w:tcW w:w="460" w:type="dxa"/>
            <w:vAlign w:val="bottom"/>
          </w:tcPr>
          <w:p>
            <w:pPr>
              <w:spacing w:after="0"/>
              <w:rPr>
                <w:sz w:val="14"/>
                <w:szCs w:val="14"/>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2280" w:type="dxa"/>
            <w:vAlign w:val="bottom"/>
          </w:tcPr>
          <w:p>
            <w:pPr>
              <w:spacing w:after="0"/>
              <w:rPr>
                <w:sz w:val="12"/>
                <w:szCs w:val="12"/>
                <w:color w:val="auto"/>
              </w:rPr>
            </w:pPr>
          </w:p>
        </w:tc>
        <w:tc>
          <w:tcPr>
            <w:tcW w:w="3000" w:type="dxa"/>
            <w:vAlign w:val="bottom"/>
            <w:gridSpan w:val="3"/>
          </w:tcPr>
          <w:p>
            <w:pPr>
              <w:jc w:val="center"/>
              <w:ind w:left="87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2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5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Walmart</w:t>
            </w:r>
          </w:p>
        </w:tc>
        <w:tc>
          <w:tcPr>
            <w:tcW w:w="1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AutoZone</w:t>
            </w:r>
          </w:p>
        </w:tc>
        <w:tc>
          <w:tcPr>
            <w:tcW w:w="3000" w:type="dxa"/>
            <w:vAlign w:val="bottom"/>
            <w:gridSpan w:val="3"/>
          </w:tcPr>
          <w:p>
            <w:pPr>
              <w:jc w:val="right"/>
              <w:ind w:right="44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to the Company’s largest customer are principally made in North America. No other customers exceeded 10% of net sales in any period.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allowance for doubtful accounts is summarized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7"/>
              </w:rPr>
              <w:t>Provision</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2"/>
              </w:rPr>
              <w:t>Amounts</w:t>
            </w: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Deductions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7"/>
              </w:rPr>
              <w:t>Beginning</w:t>
            </w:r>
          </w:p>
        </w:tc>
        <w:tc>
          <w:tcPr>
            <w:tcW w:w="11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for</w:t>
            </w: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Doubtful</w:t>
            </w: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8"/>
              </w:rPr>
              <w:t>Written-</w:t>
            </w: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Purchase</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Balance</w:t>
            </w: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Accounts</w:t>
            </w: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Off</w:t>
            </w: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Accounting</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2014</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448</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360</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(241)</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Year ended December 31, 2013</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682</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174</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390</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370</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240" w:type="dxa"/>
            <w:vAlign w:val="bottom"/>
            <w:gridSpan w:val="4"/>
          </w:tcPr>
          <w:p>
            <w:pPr>
              <w:ind w:left="194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06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43,600</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12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Work in process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1,750</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2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Allowances for obsolescence</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(2,316)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(2,253)</w:t>
            </w:r>
          </w:p>
        </w:tc>
      </w:tr>
      <w:tr>
        <w:trPr>
          <w:trHeight w:val="27"/>
        </w:trPr>
        <w:tc>
          <w:tcPr>
            <w:tcW w:w="4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63,305</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34,043</w:t>
            </w:r>
          </w:p>
        </w:tc>
        <w:tc>
          <w:tcPr>
            <w:tcW w:w="120" w:type="dxa"/>
            <w:vAlign w:val="bottom"/>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allowance for obsolescence is summarized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7"/>
              </w:rPr>
              <w:t>Provision</w:t>
            </w:r>
          </w:p>
        </w:tc>
        <w:tc>
          <w:tcPr>
            <w:tcW w:w="28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Amounts</w:t>
            </w:r>
          </w:p>
        </w:tc>
        <w:tc>
          <w:tcPr>
            <w:tcW w:w="260" w:type="dxa"/>
            <w:vAlign w:val="bottom"/>
          </w:tcPr>
          <w:p>
            <w:pPr>
              <w:spacing w:after="0"/>
              <w:rPr>
                <w:sz w:val="12"/>
                <w:szCs w:val="12"/>
                <w:color w:val="auto"/>
              </w:rPr>
            </w:pPr>
          </w:p>
        </w:tc>
        <w:tc>
          <w:tcPr>
            <w:tcW w:w="13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Deductions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9"/>
              </w:rPr>
              <w:t>—</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2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for</w:t>
            </w:r>
          </w:p>
        </w:tc>
        <w:tc>
          <w:tcPr>
            <w:tcW w:w="2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Written-</w:t>
            </w:r>
          </w:p>
        </w:tc>
        <w:tc>
          <w:tcPr>
            <w:tcW w:w="26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Purchase</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Arial" w:cs="Arial" w:eastAsia="Arial" w:hAnsi="Arial"/>
                <w:sz w:val="14"/>
                <w:szCs w:val="14"/>
                <w:b w:val="1"/>
                <w:bCs w:val="1"/>
                <w:color w:val="auto"/>
              </w:rPr>
              <w:t>Balance</w:t>
            </w:r>
          </w:p>
        </w:tc>
        <w:tc>
          <w:tcPr>
            <w:tcW w:w="56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2"/>
              </w:rPr>
              <w:t>obsolescence</w:t>
            </w:r>
          </w:p>
        </w:tc>
        <w:tc>
          <w:tcPr>
            <w:tcW w:w="2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Off</w:t>
            </w:r>
          </w:p>
        </w:tc>
        <w:tc>
          <w:tcPr>
            <w:tcW w:w="260" w:type="dxa"/>
            <w:vAlign w:val="bottom"/>
          </w:tcPr>
          <w:p>
            <w:pPr>
              <w:spacing w:after="0"/>
              <w:rPr>
                <w:sz w:val="14"/>
                <w:szCs w:val="14"/>
                <w:color w:val="auto"/>
              </w:rPr>
            </w:pPr>
          </w:p>
        </w:tc>
        <w:tc>
          <w:tcPr>
            <w:tcW w:w="13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Accounting</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2,253</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$(3,755)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3,599</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(3,375)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1,195</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580" w:type="dxa"/>
            <w:vAlign w:val="bottom"/>
          </w:tcPr>
          <w:p>
            <w:pPr>
              <w:spacing w:after="0"/>
              <w:rPr>
                <w:sz w:val="24"/>
                <w:szCs w:val="24"/>
                <w:color w:val="auto"/>
              </w:rPr>
            </w:pPr>
          </w:p>
        </w:tc>
        <w:tc>
          <w:tcPr>
            <w:tcW w:w="2880" w:type="dxa"/>
            <w:vAlign w:val="bottom"/>
            <w:gridSpan w:val="2"/>
          </w:tcPr>
          <w:p>
            <w:pPr>
              <w:jc w:val="right"/>
              <w:ind w:right="502"/>
              <w:spacing w:after="0"/>
              <w:rPr>
                <w:sz w:val="20"/>
                <w:szCs w:val="20"/>
                <w:color w:val="auto"/>
              </w:rPr>
            </w:pPr>
            <w:r>
              <w:rPr>
                <w:rFonts w:ascii="Arial" w:cs="Arial" w:eastAsia="Arial" w:hAnsi="Arial"/>
                <w:sz w:val="18"/>
                <w:szCs w:val="18"/>
                <w:color w:val="auto"/>
              </w:rPr>
              <w:t>F-85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December 31,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Current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5,451</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1,508</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3,230</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Prepaid income taxes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1,480</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1,790</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13,459</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6—Property, Plant and Equipment, net</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8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6"/>
          </w:tcPr>
          <w:p>
            <w:pPr>
              <w:jc w:val="center"/>
              <w:ind w:left="22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28,833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Vehicles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Molds and dies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12,697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56,262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(25,254)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related to property, plant and equipment and amortization of capitalized software was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20" w:type="dxa"/>
            <w:vAlign w:val="bottom"/>
            <w:gridSpan w:val="3"/>
          </w:tcPr>
          <w:p>
            <w:pPr>
              <w:jc w:val="right"/>
              <w:ind w:right="8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700" w:type="dxa"/>
            <w:vAlign w:val="bottom"/>
            <w:gridSpan w:val="3"/>
          </w:tcPr>
          <w:p>
            <w:pPr>
              <w:jc w:val="right"/>
              <w:ind w:right="8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r>
      <w:tr>
        <w:trPr>
          <w:trHeight w:val="171"/>
        </w:trPr>
        <w:tc>
          <w:tcPr>
            <w:tcW w:w="39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4,639</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Amortization of capitalized software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2,017</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1,605</w:t>
            </w:r>
          </w:p>
        </w:tc>
      </w:tr>
      <w:tr>
        <w:trPr>
          <w:trHeight w:val="27"/>
        </w:trPr>
        <w:tc>
          <w:tcPr>
            <w:tcW w:w="3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7,853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6,970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6,244</w:t>
            </w:r>
          </w:p>
        </w:tc>
      </w:tr>
      <w:tr>
        <w:trPr>
          <w:trHeight w:val="20"/>
        </w:trPr>
        <w:tc>
          <w:tcPr>
            <w:tcW w:w="3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 and Intangible Assets, net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fourth quarter of 2014, the Company completed its annual indefinite lived intangible asset impairment assessment. The Company uses an income approach, the relief from royalty method, to estimate the fair value of its trademarks and trade names with indefinite lives. This method assumes that, in lieu of ownership,</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340"/>
          </w:cols>
          <w:pgMar w:left="240" w:top="459" w:right="31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third party would be willing to pay a royalty in order to obtain the rights to use the comparable asset. The determination of the fair values of trademarks and brand name assets with indefinite lives requires significant judgments in determining both the assets’ estimated cash flows as well as the appropriate discount and royalty rates applied to those cash flows to determine fair value. The fair values of the trademarks and brand names were determined using unobservable inputs, reflecting the Company’s own assumptions (Level 3). Changes in such estimates or the application of alternative assumptions could produce different results. After completing the trademark impairment test as described in Note 1, the Company recorded a $7.0 million non-cash trademark impairment charge related to its STP trade name, which is included in intangible asset and goodwill impairment in the consolidated statement of comprehensive loss. The key factors leading to the impairment charge was a decline in forecasted future results of the brand, as compared with the projections which were made when the brand was acquired from Clorox in 2010.</w:t>
      </w:r>
    </w:p>
    <w:p>
      <w:pPr>
        <w:spacing w:after="0" w:line="17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During the fourth quarter of 2012, the Company revised its pricing structure for intercompany purchases and sales of goods (“Intercompany Pricing”). The change in Intercompany Pricing had the effect of increasing the cost of intercompany purchases in the Company’s Europe, Middle East and Africa reporting unit, its Australia and New Zealand reporting unit and its Latin America and Asia reporting unit, while increasing the value of intercompany sales from the Company’s North America reporting unit. As a result of this change in Intercompany Pricing, when the Company determined the fair value of the assets and liabilities of its reporting units in the first step of the goodwill impairment test as described in Note 1 the fair value of the Company’s Europe, Middle East and Africa reporting unit and its Australia and New Zealand reporting unit were lower than the carrying values of those reporting units. This decrease in value resulted primarily from the change in the Intercompany Pricing structure. After completing the second step of the goodwill impairment test as described in Note 1, the Company recorded a $24.1 million non-cash goodwill impairment charge, which is included in intangible asset and goodwill impairment in the consolidated statement of comprehensive loss. The fair values of the trademarks and brand names were determined using unobservable inputs, reflecting the Company’s own assumptions (Level 3).</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Company also evaluated the recoverability of its customer relationships, patents and licensing arrangements intangible assets as well as its tangible, long lived assets. When there is prevalent indication of impairment of a finite and long-lived asset or asset group, the Company tests for recoverability by comparing the carrying value of an asset or asset group to their undiscounted cash flows. However, the Company concluded there was not a prevalence of evidence any impairment was present at the asset group level for any of its finite lived assets.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360"/>
          </w:cols>
          <w:pgMar w:left="240" w:top="459" w:right="29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and intangible assets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8"/>
              </w:rPr>
              <w:t>Trademarks and Other Intangible Assets</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Patents</w:t>
            </w:r>
          </w:p>
        </w:tc>
        <w:tc>
          <w:tcPr>
            <w:tcW w:w="260" w:type="dxa"/>
            <w:vAlign w:val="bottom"/>
          </w:tcPr>
          <w:p>
            <w:pPr>
              <w:spacing w:after="0"/>
              <w:rPr>
                <w:sz w:val="10"/>
                <w:szCs w:val="10"/>
                <w:color w:val="auto"/>
              </w:rPr>
            </w:pPr>
          </w:p>
        </w:tc>
        <w:tc>
          <w:tcPr>
            <w:tcW w:w="138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Trademarks</w:t>
            </w:r>
          </w:p>
        </w:tc>
        <w:tc>
          <w:tcPr>
            <w:tcW w:w="100" w:type="dxa"/>
            <w:vAlign w:val="bottom"/>
          </w:tcPr>
          <w:p>
            <w:pPr>
              <w:spacing w:after="0"/>
              <w:rPr>
                <w:sz w:val="10"/>
                <w:szCs w:val="10"/>
                <w:color w:val="auto"/>
              </w:rPr>
            </w:pPr>
          </w:p>
        </w:tc>
        <w:tc>
          <w:tcPr>
            <w:tcW w:w="10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8"/>
              </w:rPr>
              <w:t>Customer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w w:val="95"/>
              </w:rPr>
              <w:t>Licensing</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and Brands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Relationships</w:t>
            </w:r>
          </w:p>
        </w:tc>
        <w:tc>
          <w:tcPr>
            <w:tcW w:w="14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Arrangements</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Goodwill</w:t>
            </w: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26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Not Subject to</w:t>
            </w:r>
          </w:p>
        </w:tc>
        <w:tc>
          <w:tcPr>
            <w:tcW w:w="10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22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4"/>
                <w:szCs w:val="1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Amortization</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2012</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$362,216</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99,597</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249,610</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$352,905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(35,488)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(1,300)</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(36,788)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6"/>
                <w:szCs w:val="16"/>
                <w:color w:val="auto"/>
              </w:rPr>
              <w:t>Translation adjustments</w:t>
            </w:r>
          </w:p>
        </w:tc>
        <w:tc>
          <w:tcPr>
            <w:tcW w:w="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(3,970)</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(3,086)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(4,470)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2013</w:t>
            </w:r>
          </w:p>
        </w:tc>
        <w:tc>
          <w:tcPr>
            <w:tcW w:w="2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358,826</w:t>
            </w: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98,213</w:t>
            </w: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212,859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313,470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320"/>
              <w:spacing w:after="0"/>
              <w:rPr>
                <w:sz w:val="20"/>
                <w:szCs w:val="20"/>
                <w:color w:val="auto"/>
              </w:rPr>
            </w:pPr>
            <w:r>
              <w:rPr>
                <w:rFonts w:ascii="Arial" w:cs="Arial" w:eastAsia="Arial" w:hAnsi="Arial"/>
                <w:sz w:val="16"/>
                <w:szCs w:val="16"/>
                <w:color w:val="auto"/>
              </w:rPr>
              <w:t>Amortization</w:t>
            </w: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200" w:type="dxa"/>
            <w:vAlign w:val="bottom"/>
            <w:vMerge w:val="continue"/>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(2,366)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(43,439)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(1,300)</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(47,105)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(7,000)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320"/>
              <w:spacing w:after="0"/>
              <w:rPr>
                <w:sz w:val="20"/>
                <w:szCs w:val="20"/>
                <w:color w:val="auto"/>
              </w:rPr>
            </w:pPr>
            <w:r>
              <w:rPr>
                <w:rFonts w:ascii="Arial" w:cs="Arial" w:eastAsia="Arial" w:hAnsi="Arial"/>
                <w:sz w:val="16"/>
                <w:szCs w:val="16"/>
                <w:color w:val="auto"/>
              </w:rPr>
              <w:t>Acquisitions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168,445</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31,400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167,600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225,900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Translation adjustments</w:t>
            </w: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0"/>
              </w:rPr>
              <w:t>(3,908)</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(2,415)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6"/>
                <w:szCs w:val="16"/>
                <w:color w:val="auto"/>
              </w:rPr>
              <w:t>Balance at December 31, 2014</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20" w:type="dxa"/>
            <w:vAlign w:val="bottom"/>
            <w:gridSpan w:val="2"/>
            <w:vMerge w:val="continue"/>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523,363</w:t>
            </w:r>
          </w:p>
        </w:tc>
        <w:tc>
          <w:tcPr>
            <w:tcW w:w="5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24,534</w:t>
            </w:r>
          </w:p>
        </w:tc>
        <w:tc>
          <w:tcPr>
            <w:tcW w:w="2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121,452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334,605</w:t>
            </w:r>
          </w:p>
        </w:tc>
        <w:tc>
          <w:tcPr>
            <w:tcW w:w="3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1,098</w:t>
            </w:r>
          </w:p>
        </w:tc>
        <w:tc>
          <w:tcPr>
            <w:tcW w:w="8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481,689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Customer relationships and licensing arrangements subject to amortization are reported on the consolidated balance sheets net of accumulated amortization of $149.1 million, and $80.6 million, at December 31, 2014 and 2013, respectively. The weighted average remaining amortization period for patents, customer relationships and licensing arrangements subject to amortization is 8 years, 6 years and 2 years, respectively. In the first quarter of 2014, the Company acquired IDQ Holdings in the United States, increasing goodwill by $166.6 million (all of which was allocated to the IDQ reporting unit) and made an acquisition in the U. K., increasing goodwill by $1.9 million (all of which was allocated to its European reporting unit under AAG Inc.) In the third quarter of 2013, the Company made an acquisition in Europe, increasing goodwill and customer relationships by $0.6 million and $1.8 million (which will be amortized over 7 years), respectively. Licensing royalties were $2.4 million, $2.3 million and $3.0 million in the years ended December 31, 2014, 2013 and 2012, respectively. Although licensing agreements may not be renewed for strategic or other reasons, the Company generally maintains and extends its existing license arrangements.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future amortization expense for these intangible assets as of December 31, 2014 is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Years</w:t>
            </w:r>
          </w:p>
        </w:tc>
        <w:tc>
          <w:tcPr>
            <w:tcW w:w="6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96"/>
        </w:trPr>
        <w:tc>
          <w:tcPr>
            <w:tcW w:w="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6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51,322</w:t>
            </w:r>
          </w:p>
        </w:tc>
        <w:tc>
          <w:tcPr>
            <w:tcW w:w="100" w:type="dxa"/>
            <w:vAlign w:val="bottom"/>
            <w:shd w:val="clear" w:color="auto" w:fill="CCEEFF"/>
          </w:tcPr>
          <w:p>
            <w:pPr>
              <w:spacing w:after="0"/>
              <w:rPr>
                <w:sz w:val="17"/>
                <w:szCs w:val="17"/>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2016</w:t>
            </w:r>
          </w:p>
        </w:tc>
        <w:tc>
          <w:tcPr>
            <w:tcW w:w="6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49,126</w:t>
            </w:r>
          </w:p>
        </w:tc>
        <w:tc>
          <w:tcPr>
            <w:tcW w:w="1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47,637</w:t>
            </w:r>
          </w:p>
        </w:tc>
        <w:tc>
          <w:tcPr>
            <w:tcW w:w="10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2018</w:t>
            </w:r>
          </w:p>
        </w:tc>
        <w:tc>
          <w:tcPr>
            <w:tcW w:w="6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39,554</w:t>
            </w:r>
          </w:p>
        </w:tc>
        <w:tc>
          <w:tcPr>
            <w:tcW w:w="1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39,554</w:t>
            </w:r>
          </w:p>
        </w:tc>
        <w:tc>
          <w:tcPr>
            <w:tcW w:w="100" w:type="dxa"/>
            <w:vAlign w:val="bottom"/>
            <w:shd w:val="clear" w:color="auto" w:fill="CCEEFF"/>
          </w:tcPr>
          <w:p>
            <w:pPr>
              <w:spacing w:after="0"/>
              <w:rPr>
                <w:sz w:val="18"/>
                <w:szCs w:val="18"/>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w w:val="86"/>
              </w:rPr>
              <w:t>Thereafter</w:t>
            </w:r>
          </w:p>
        </w:tc>
        <w:tc>
          <w:tcPr>
            <w:tcW w:w="6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133,044</w:t>
            </w:r>
          </w:p>
        </w:tc>
        <w:tc>
          <w:tcPr>
            <w:tcW w:w="100" w:type="dxa"/>
            <w:vAlign w:val="bottom"/>
          </w:tcPr>
          <w:p>
            <w:pPr>
              <w:spacing w:after="0"/>
              <w:rPr>
                <w:sz w:val="19"/>
                <w:szCs w:val="19"/>
                <w:color w:val="auto"/>
              </w:rPr>
            </w:pPr>
          </w:p>
        </w:tc>
      </w:tr>
      <w:tr>
        <w:trPr>
          <w:trHeight w:val="216"/>
        </w:trPr>
        <w:tc>
          <w:tcPr>
            <w:tcW w:w="74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360,237</w:t>
            </w:r>
          </w:p>
        </w:tc>
        <w:tc>
          <w:tcPr>
            <w:tcW w:w="100" w:type="dxa"/>
            <w:vAlign w:val="bottom"/>
            <w:shd w:val="clear" w:color="auto" w:fill="CCEEFF"/>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6320" w:type="dxa"/>
            <w:vAlign w:val="bottom"/>
            <w:gridSpan w:val="2"/>
          </w:tcPr>
          <w:p>
            <w:pPr>
              <w:jc w:val="right"/>
              <w:ind w:right="3020"/>
              <w:spacing w:after="0"/>
              <w:rPr>
                <w:sz w:val="20"/>
                <w:szCs w:val="20"/>
                <w:color w:val="auto"/>
              </w:rPr>
            </w:pPr>
            <w:r>
              <w:rPr>
                <w:rFonts w:ascii="Arial" w:cs="Arial" w:eastAsia="Arial" w:hAnsi="Arial"/>
                <w:sz w:val="18"/>
                <w:szCs w:val="18"/>
                <w:color w:val="auto"/>
              </w:rPr>
              <w:t>F-88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Company’s accrued expenses and other current liabilities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820" w:type="dxa"/>
            <w:vAlign w:val="bottom"/>
            <w:gridSpan w:val="4"/>
          </w:tcPr>
          <w:p>
            <w:pPr>
              <w:ind w:left="8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sales promotion and advertising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15,864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6,627</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46,023</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Company’s debt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w w:val="98"/>
              </w:rPr>
              <w:t>December 31, 2014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7"/>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portion, net of</w:t>
            </w: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8"/>
              </w:rPr>
              <w:t>Face Value</w:t>
            </w:r>
          </w:p>
        </w:tc>
        <w:tc>
          <w:tcPr>
            <w:tcW w:w="340" w:type="dxa"/>
            <w:vAlign w:val="bottom"/>
          </w:tcPr>
          <w:p>
            <w:pPr>
              <w:spacing w:after="0"/>
              <w:rPr>
                <w:sz w:val="13"/>
                <w:szCs w:val="13"/>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Premium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Discount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Carry Value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spacing w:after="0" w:line="160" w:lineRule="exact"/>
              <w:rPr>
                <w:sz w:val="20"/>
                <w:szCs w:val="20"/>
                <w:color w:val="auto"/>
              </w:rPr>
            </w:pPr>
            <w:r>
              <w:rPr>
                <w:rFonts w:ascii="Arial" w:cs="Arial" w:eastAsia="Arial" w:hAnsi="Arial"/>
                <w:sz w:val="14"/>
                <w:szCs w:val="14"/>
                <w:b w:val="1"/>
                <w:bCs w:val="1"/>
                <w:color w:val="auto"/>
              </w:rPr>
              <w:t>Less: current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89"/>
              </w:rPr>
              <w:t>discount/</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portion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premium</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4"/>
                <w:szCs w:val="14"/>
                <w:color w:val="auto"/>
              </w:rPr>
              <w:t>Revolvers</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center"/>
              <w:ind w:left="340"/>
              <w:spacing w:after="0"/>
              <w:rPr>
                <w:sz w:val="20"/>
                <w:szCs w:val="20"/>
                <w:color w:val="auto"/>
              </w:rPr>
            </w:pPr>
            <w:r>
              <w:rPr>
                <w:rFonts w:ascii="Arial" w:cs="Arial" w:eastAsia="Arial" w:hAnsi="Arial"/>
                <w:sz w:val="16"/>
                <w:szCs w:val="16"/>
                <w:color w:val="auto"/>
                <w:w w:val="99"/>
              </w:rPr>
              <w:t>—</w:t>
            </w: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AAG Term Loan—due 2016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4"/>
          </w:tcPr>
          <w:p>
            <w:pPr>
              <w:jc w:val="right"/>
              <w:spacing w:after="0"/>
              <w:rPr>
                <w:sz w:val="20"/>
                <w:szCs w:val="20"/>
                <w:color w:val="auto"/>
              </w:rPr>
            </w:pPr>
            <w:r>
              <w:rPr>
                <w:rFonts w:ascii="Arial" w:cs="Arial" w:eastAsia="Arial" w:hAnsi="Arial"/>
                <w:sz w:val="16"/>
                <w:szCs w:val="16"/>
                <w:color w:val="auto"/>
                <w:w w:val="93"/>
              </w:rPr>
              <w:t>279,000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6"/>
                <w:szCs w:val="16"/>
                <w:color w:val="auto"/>
              </w:rPr>
              <w:t>(3,389)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6"/>
                <w:szCs w:val="16"/>
                <w:color w:val="auto"/>
              </w:rPr>
              <w:t>275,611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6"/>
                <w:szCs w:val="16"/>
                <w:color w:val="auto"/>
                <w:w w:val="94"/>
              </w:rPr>
              <w:t>(3,000)</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272,611</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AAG Senior Notes—9.75%, due 2018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93"/>
              </w:rPr>
              <w:t>275,000</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(6,142)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268,858</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268,858</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IDQ Holdings—Senior Secured Notes—11.5%, due 2017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4"/>
          </w:tcPr>
          <w:p>
            <w:pPr>
              <w:jc w:val="right"/>
              <w:spacing w:after="0"/>
              <w:rPr>
                <w:sz w:val="20"/>
                <w:szCs w:val="20"/>
                <w:color w:val="auto"/>
              </w:rPr>
            </w:pPr>
            <w:r>
              <w:rPr>
                <w:rFonts w:ascii="Arial" w:cs="Arial" w:eastAsia="Arial" w:hAnsi="Arial"/>
                <w:sz w:val="16"/>
                <w:szCs w:val="16"/>
                <w:color w:val="auto"/>
                <w:w w:val="93"/>
              </w:rPr>
              <w:t>220,000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3,390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223,390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223,390</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IDQ Acq. Corp.—Senior Secured Notes—14.0%, due 2017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1,464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46,464</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center"/>
              <w:ind w:left="340"/>
              <w:spacing w:after="0"/>
              <w:rPr>
                <w:sz w:val="20"/>
                <w:szCs w:val="20"/>
                <w:color w:val="auto"/>
              </w:rPr>
            </w:pPr>
            <w:r>
              <w:rPr>
                <w:rFonts w:ascii="Arial" w:cs="Arial" w:eastAsia="Arial" w:hAnsi="Arial"/>
                <w:sz w:val="16"/>
                <w:szCs w:val="16"/>
                <w:color w:val="auto"/>
                <w:w w:val="99"/>
              </w:rPr>
              <w:t>—</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spacing w:after="0"/>
              <w:rPr>
                <w:sz w:val="17"/>
                <w:szCs w:val="17"/>
                <w:color w:val="auto"/>
              </w:rPr>
            </w:pPr>
          </w:p>
        </w:tc>
        <w:tc>
          <w:tcPr>
            <w:tcW w:w="960" w:type="dxa"/>
            <w:vAlign w:val="bottom"/>
            <w:gridSpan w:val="6"/>
          </w:tcPr>
          <w:p>
            <w:pPr>
              <w:jc w:val="right"/>
              <w:spacing w:after="0"/>
              <w:rPr>
                <w:sz w:val="20"/>
                <w:szCs w:val="20"/>
                <w:color w:val="auto"/>
              </w:rPr>
            </w:pPr>
            <w:r>
              <w:rPr>
                <w:rFonts w:ascii="Arial" w:cs="Arial" w:eastAsia="Arial" w:hAnsi="Arial"/>
                <w:sz w:val="16"/>
                <w:szCs w:val="16"/>
                <w:color w:val="auto"/>
              </w:rPr>
              <w:t>$ 819,000</w:t>
            </w:r>
          </w:p>
        </w:tc>
        <w:tc>
          <w:tcPr>
            <w:tcW w:w="5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4,854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6"/>
                <w:szCs w:val="16"/>
                <w:color w:val="auto"/>
              </w:rPr>
              <w:t>$ (9,531)</w:t>
            </w:r>
          </w:p>
        </w:tc>
        <w:tc>
          <w:tcPr>
            <w:tcW w:w="44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814,323</w:t>
            </w:r>
          </w:p>
        </w:tc>
        <w:tc>
          <w:tcPr>
            <w:tcW w:w="280" w:type="dxa"/>
            <w:vAlign w:val="bottom"/>
          </w:tcPr>
          <w:p>
            <w:pPr>
              <w:spacing w:after="0"/>
              <w:rPr>
                <w:sz w:val="17"/>
                <w:szCs w:val="17"/>
                <w:color w:val="auto"/>
              </w:rPr>
            </w:pPr>
          </w:p>
        </w:tc>
        <w:tc>
          <w:tcPr>
            <w:tcW w:w="200" w:type="dxa"/>
            <w:vAlign w:val="bottom"/>
            <w:gridSpan w:val="3"/>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center"/>
              <w:ind w:right="20"/>
              <w:spacing w:after="0"/>
              <w:rPr>
                <w:sz w:val="20"/>
                <w:szCs w:val="20"/>
                <w:color w:val="auto"/>
              </w:rPr>
            </w:pPr>
            <w:r>
              <w:rPr>
                <w:rFonts w:ascii="Arial" w:cs="Arial" w:eastAsia="Arial" w:hAnsi="Arial"/>
                <w:sz w:val="16"/>
                <w:szCs w:val="16"/>
                <w:color w:val="auto"/>
                <w:w w:val="94"/>
              </w:rPr>
              <w:t>(3,000)</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811,323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6"/>
                <w:szCs w:val="16"/>
                <w:color w:val="auto"/>
              </w:rPr>
              <w:t>(1)  —AAG Revolver and IDQ Holdings Revolving Credit Facilities.</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1"/>
              </w:rPr>
              <w:t>December 31, 2013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Less: current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rPr>
              <w:t>Long-term</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89"/>
              </w:rPr>
              <w:t>Balance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Discount</w:t>
            </w:r>
          </w:p>
        </w:tc>
        <w:tc>
          <w:tcPr>
            <w:tcW w:w="80" w:type="dxa"/>
            <w:vAlign w:val="bottom"/>
          </w:tcPr>
          <w:p>
            <w:pPr>
              <w:spacing w:after="0"/>
              <w:rPr>
                <w:sz w:val="12"/>
                <w:szCs w:val="12"/>
                <w:color w:val="auto"/>
              </w:rPr>
            </w:pPr>
          </w:p>
        </w:tc>
        <w:tc>
          <w:tcPr>
            <w:tcW w:w="1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Carry Value</w:t>
            </w:r>
          </w:p>
        </w:tc>
        <w:tc>
          <w:tcPr>
            <w:tcW w:w="2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9"/>
              </w:rPr>
              <w:t>Portion, net of</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portion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discount</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AAG Revolver</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ind w:left="240"/>
              <w:spacing w:after="0"/>
              <w:rPr>
                <w:sz w:val="20"/>
                <w:szCs w:val="20"/>
                <w:color w:val="auto"/>
              </w:rPr>
            </w:pPr>
            <w:r>
              <w:rPr>
                <w:rFonts w:ascii="Arial" w:cs="Arial" w:eastAsia="Arial" w:hAnsi="Arial"/>
                <w:sz w:val="16"/>
                <w:szCs w:val="16"/>
                <w:color w:val="auto"/>
                <w:w w:val="99"/>
              </w:rPr>
              <w:t>—</w:t>
            </w:r>
          </w:p>
        </w:tc>
        <w:tc>
          <w:tcPr>
            <w:tcW w:w="5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AAG Term Loan—due 2016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6"/>
                <w:szCs w:val="16"/>
                <w:color w:val="auto"/>
                <w:w w:val="86"/>
              </w:rPr>
              <w:t>291,000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39"/>
              <w:spacing w:after="0"/>
              <w:rPr>
                <w:sz w:val="20"/>
                <w:szCs w:val="20"/>
                <w:color w:val="auto"/>
              </w:rPr>
            </w:pPr>
            <w:r>
              <w:rPr>
                <w:rFonts w:ascii="Arial" w:cs="Arial" w:eastAsia="Arial" w:hAnsi="Arial"/>
                <w:sz w:val="16"/>
                <w:szCs w:val="16"/>
                <w:color w:val="auto"/>
                <w:w w:val="98"/>
              </w:rPr>
              <w:t>(6,271)</w:t>
            </w:r>
          </w:p>
        </w:tc>
        <w:tc>
          <w:tcPr>
            <w:tcW w:w="140" w:type="dxa"/>
            <w:vAlign w:val="bottom"/>
          </w:tcPr>
          <w:p>
            <w:pPr>
              <w:spacing w:after="0"/>
              <w:rPr>
                <w:sz w:val="17"/>
                <w:szCs w:val="17"/>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6"/>
                <w:szCs w:val="16"/>
                <w:color w:val="auto"/>
              </w:rPr>
              <w:t>284,729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left="100"/>
              <w:spacing w:after="0"/>
              <w:rPr>
                <w:sz w:val="20"/>
                <w:szCs w:val="20"/>
                <w:color w:val="auto"/>
              </w:rPr>
            </w:pPr>
            <w:r>
              <w:rPr>
                <w:rFonts w:ascii="Arial" w:cs="Arial" w:eastAsia="Arial" w:hAnsi="Arial"/>
                <w:sz w:val="16"/>
                <w:szCs w:val="16"/>
                <w:color w:val="auto"/>
                <w:w w:val="94"/>
              </w:rPr>
              <w:t>(3,000)</w:t>
            </w:r>
          </w:p>
        </w:tc>
        <w:tc>
          <w:tcPr>
            <w:tcW w:w="400" w:type="dxa"/>
            <w:vAlign w:val="bottom"/>
          </w:tcPr>
          <w:p>
            <w:pPr>
              <w:spacing w:after="0"/>
              <w:rPr>
                <w:sz w:val="17"/>
                <w:szCs w:val="17"/>
                <w:color w:val="auto"/>
              </w:rPr>
            </w:pPr>
          </w:p>
        </w:tc>
        <w:tc>
          <w:tcPr>
            <w:tcW w:w="120" w:type="dxa"/>
            <w:vAlign w:val="bottom"/>
            <w:gridSpan w:val="2"/>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281,729</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AAG Senior Notes—9.75%, due 2018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6"/>
              </w:rPr>
              <w:t>275,000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w w:val="98"/>
              </w:rPr>
              <w:t>(6,147)</w:t>
            </w:r>
          </w:p>
        </w:tc>
        <w:tc>
          <w:tcPr>
            <w:tcW w:w="14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268,853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268,853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7"/>
          </w:tcPr>
          <w:p>
            <w:pPr>
              <w:jc w:val="right"/>
              <w:ind w:right="2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566,000</w:t>
            </w:r>
          </w:p>
        </w:tc>
        <w:tc>
          <w:tcPr>
            <w:tcW w:w="380" w:type="dxa"/>
            <w:vAlign w:val="bottom"/>
          </w:tcPr>
          <w:p>
            <w:pPr>
              <w:spacing w:after="0"/>
              <w:rPr>
                <w:sz w:val="17"/>
                <w:szCs w:val="17"/>
                <w:color w:val="auto"/>
              </w:rPr>
            </w:pPr>
          </w:p>
        </w:tc>
        <w:tc>
          <w:tcPr>
            <w:tcW w:w="960" w:type="dxa"/>
            <w:vAlign w:val="bottom"/>
            <w:gridSpan w:val="5"/>
          </w:tcPr>
          <w:p>
            <w:pPr>
              <w:jc w:val="right"/>
              <w:ind w:right="139"/>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(12,418)</w:t>
            </w:r>
          </w:p>
        </w:tc>
        <w:tc>
          <w:tcPr>
            <w:tcW w:w="140" w:type="dxa"/>
            <w:vAlign w:val="bottom"/>
          </w:tcPr>
          <w:p>
            <w:pPr>
              <w:spacing w:after="0"/>
              <w:rPr>
                <w:sz w:val="17"/>
                <w:szCs w:val="17"/>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6"/>
                <w:szCs w:val="16"/>
                <w:color w:val="auto"/>
              </w:rPr>
              <w:t>$  553,582</w:t>
            </w:r>
          </w:p>
        </w:tc>
        <w:tc>
          <w:tcPr>
            <w:tcW w:w="28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7"/>
                <w:szCs w:val="17"/>
                <w:color w:val="auto"/>
              </w:rPr>
            </w:pPr>
          </w:p>
        </w:tc>
        <w:tc>
          <w:tcPr>
            <w:tcW w:w="740" w:type="dxa"/>
            <w:vAlign w:val="bottom"/>
            <w:gridSpan w:val="2"/>
          </w:tcPr>
          <w:p>
            <w:pPr>
              <w:jc w:val="center"/>
              <w:ind w:left="100"/>
              <w:spacing w:after="0"/>
              <w:rPr>
                <w:sz w:val="20"/>
                <w:szCs w:val="20"/>
                <w:color w:val="auto"/>
              </w:rPr>
            </w:pPr>
            <w:r>
              <w:rPr>
                <w:rFonts w:ascii="Arial" w:cs="Arial" w:eastAsia="Arial" w:hAnsi="Arial"/>
                <w:sz w:val="16"/>
                <w:szCs w:val="16"/>
                <w:color w:val="auto"/>
                <w:w w:val="94"/>
              </w:rPr>
              <w:t>(3,000)</w:t>
            </w:r>
          </w:p>
        </w:tc>
        <w:tc>
          <w:tcPr>
            <w:tcW w:w="400" w:type="dxa"/>
            <w:vAlign w:val="bottom"/>
          </w:tcPr>
          <w:p>
            <w:pPr>
              <w:spacing w:after="0"/>
              <w:rPr>
                <w:sz w:val="17"/>
                <w:szCs w:val="17"/>
                <w:color w:val="auto"/>
              </w:rPr>
            </w:pPr>
          </w:p>
        </w:tc>
        <w:tc>
          <w:tcPr>
            <w:tcW w:w="120" w:type="dxa"/>
            <w:vAlign w:val="bottom"/>
            <w:gridSpan w:val="2"/>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550,582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420"/>
          </w:cols>
          <w:pgMar w:left="240" w:top="459" w:right="23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 Credit Facility</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Acquisition on November 5, 2010, the Company entered into a credit agreement, among Intermediate, the Company, several lenders, JPMorgan Chase Bank, N.A., as administrative agent, and the other agents parties thereto (the “AAG Credit Facility”). Borrowings under the AAG Credit Facility bear interest at a rate of the sum of (i) the greater of the London Interbank Offered Rate (“LIBOR”) or 1.75% and (ii) 4.25%. The AAG Credit Facility provided revolving credit and a Term Loan as follows:</w:t>
      </w:r>
    </w:p>
    <w:p>
      <w:pPr>
        <w:spacing w:after="0" w:line="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AAG Revolver</w:t>
      </w:r>
      <w:r>
        <w:rPr>
          <w:rFonts w:ascii="Arial" w:cs="Arial" w:eastAsia="Arial" w:hAnsi="Arial"/>
          <w:sz w:val="18"/>
          <w:szCs w:val="18"/>
          <w:color w:val="auto"/>
        </w:rPr>
        <w:t>—A secured $50.0 million revolving credit loan (the “AAG Revolver”) governed by the AAG Revolving Credit facility, which expires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2015. Further to interest as described above on the AAG Revolver, an annual commitment fee of 0.75% is charged quarterly based on the average daily unused portion of the AAG Revolver. No amounts were outstanding against the AAG Revolver at December 31, 2014 and December 31, 2013. While the Company expects to be able to renew the AAG Revolving Credit Facility, there is no guarantee the Company will be successful, which may limit the Company’s ability to achieve its corporate operating plans.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March 11, 2014, the Company entered into an amendment of AAG’s Credit Facility revising a defined term, Consolidated EBITDA. Consolidated EBITDA is used in the calculation of certain financial condition covenants under the AAG Credit Facility. The revision to the definition of Consolidated EBITDA excludes from Consolidated EBITDA fees and expenses incurred for the Company’s acquisition of IDQ Acq. Corp., the Company’s implementation of a management services agreement with IDQ Acq. Corp. and the Company’s pursuit of cost savings, expense reductions and other operating improvements and synergies related to IDQ.</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AAG Term Loan</w:t>
      </w:r>
      <w:r>
        <w:rPr>
          <w:rFonts w:ascii="Arial" w:cs="Arial" w:eastAsia="Arial" w:hAnsi="Arial"/>
          <w:sz w:val="18"/>
          <w:szCs w:val="18"/>
          <w:color w:val="auto"/>
        </w:rPr>
        <w:t>—A $300.0 million term loan (the “AAG Term Loan”) with quarterly principal payments of $0.8 million and the remaining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maturing in November 2016.</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September 2012, the Company entered into an amendment of the AAG Credit Facility revising the maximum consolidated leverage ratio and the minimum consolidated interest coverage ratio as applicable to the Company’s $50.0 million Revolver. Costs associated with the amendment of $0.4 million have been deferred and are recorded as other current assets and other non-current assets on the Company’s consolidated balance sheets, and will be amortized to interest expense together with other of the Company’s deferred financing costs using the effective interest method.</w:t>
      </w:r>
    </w:p>
    <w:p>
      <w:pPr>
        <w:spacing w:after="0" w:line="17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AAG Credit Facility is collateralized by substantially all of the assets of AAG. The AAG Credit Facility is subject to certain covenants which restrict the payment of dividends, AAG’s ability to incur indebtedness or liens, or make certain investments and requires AAG to maintain certain financial ratios. As of December 31, 2014, the Company was in compliance with all covenants related to the AAG Credit Facility. The Company’s payment obligations under the AAG Credit Facility are guaranteed, jointly and severally, by all of AAG’s wholly owned domestic subsidiaries.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 Senior Notes</w:t>
      </w:r>
    </w:p>
    <w:p>
      <w:pPr>
        <w:spacing w:after="0" w:line="11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In connection with the Acquisition on November 5, 2010, AAG issued 9.25% senior unsecured notes (the “AAG Senior Notes”) in an aggregate principal amount of $275.0 million, which will mature in November 2018. The coupon interest on these notes is payable semiannually on May 1 and November 1.</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Under terms of a registration rights agreement the Company entered into with respect to the AAG Senior Notes, the Company agreed to use commercially reasonable efforts to complete an exchange offer related to the notes by April 28, 2012. Until the exchange offer was completed on August 23, 2012, additional interest of $0.3 million accrued on the AAG Senior Notes that was paid November 2012.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400"/>
          </w:cols>
          <w:pgMar w:left="240" w:top="459" w:right="25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indenture that governs the AAG Senior Notes is subject to certain covenants which restrict the payment of dividends, AAG’s ability to incur indebtedness or liens, or make certain investments. AAG’s payment obligations under the AAG Senior Notes are guaranteed, jointly and severally, by all of the AAG’s wholly owned domestic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IDQ Holdings $220 Million Senior Secured Notes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March 17, 2014, the Company assumed the debt of IDQ Holdings, as part of the March 17 Acquisition (See Note 2). In connection with the March 2014 Sale, the $220 Million Senior Secured Notes (the “$220M Notes”) were recorded at their estimated fair value of $224.4 million, which included a premium of $4.4 million. The premium is being amortized into interest expense using the effective interest rate method over the remaining term of the $220M Notes. At December 31, 2014 the carrying value of the $220M Notes was $223.4 million, which includes unamortized premiums of $3.4 million. Interest is payable on the $220M Notes in cash semi-annually, in arrears, on April 1 and October 1 of each year.</w:t>
      </w:r>
    </w:p>
    <w:p>
      <w:pPr>
        <w:spacing w:after="0" w:line="1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Previously, on March 27, 2012, IDQ Holdings completed the sale of $220 million aggregate principal amount of 11.5% senior secured notes due April 2017. The $220M Notes were issued under an indenture among IDQ Holdings, its’ subsidiary guarantors named therein, and The Bank of New York Mellon Trust Company, N.A., as trustee. The $220M Notes are fully and unconditionally guaranteed, jointly and severally, on a senior secured basis by each of IDQ’s existing and future domestic restricted subsidiaries. The $220M Notes and the related guarantees are secured by liens on substantially all of IDQ’s and the guarantor’s assets, subject to certain exceptions and permitted liens. The security interest in such assets consisting of working capital assets that secure the notes and the related guarantees are contractually subordinated to liens thereon that secure the IDQ Holdings Revolving Credit Facility. The security interest in the non-working capital assets are contractually subordinated to liens thereon that secure the notes and the related guarantees.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indenture governing the $220M Notes contains certain restrictive covenants that, among other requirements, limits IDQ’s and it’s restricted subsidiaries’ ability to incur additional debt, pay dividends or make other restricted payments, prepay, redeem or repurchase capital stock or subordinated debt, transfer or sell assets, make investments, enter into transactions with IDQ’s affiliates, create or incur liens and merge or consolidate with any person. These covenants are subject to a number of exceptions and qualifications, as defined in the indenture, and for so long as the $220M Notes have an investment grade rating from both Standard &amp; Poor’s and Moody’s Investor Service, Inc., and no default has occurred and is continuing under the indenture governing the $220M Notes, generally, the Company will not be subject to certain of the covenants listed above. As of December 31, 2014, IDQ Holdings was in compliance with all such covenants.</w:t>
      </w:r>
    </w:p>
    <w:p>
      <w:pPr>
        <w:spacing w:after="0" w:line="18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Subject to certain conditions, in general, IDQ must make an offer to purchase the $220M Notes with the excess cash flow offer amount, defined in the indenture as 75% of IDQ’s excess cash flow, determined for each annual period ending December 31, at 103% of the principal amount thereof, plus accrued and unpaid interest, if any, to the date of repurchase. The Company will not be required (but may elect to do so) to make an excess cash offer unless the excess cash amount with respect to the period exceeds $3.0 million (lesser amounts are to be carried forward for determining whether the $3.0 million threshold has been met for any future period). Should the Company conclude or be required to make such offer, then the offer shall be mailed to the $220M Notes’ holders within 120 days after the applicable annual period ending December 31. With respect to the year ended December 31, 2014, the Company has estimated the excess cash flow offer amount to be approximately $14.6 million.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400"/>
          </w:cols>
          <w:pgMar w:left="240" w:top="459" w:right="25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After October 1, 2014, the Company has the option to redeem a portion or all of the notes at a premium, set forth, in the indenture, which will decrease over time, plus accrued and unpaid interest, if any, to the date of redemption.</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Should the Company experience a change in control, as defined in the indenture, the holders of the $220M Notes have the right to require the Company to purchase the notes at a price in cash equal to 101% of the principal amount thereof, together with accrued and unpaid interest, if any, to the date of purchase. In connection with the change in control that occurred on March 17, 2014, the indenture governing the $220M Notes was amended effective March 17, 2014, so that the acquisitions did not constitute a “Change in Control”, as defined in the indenture and, therefore, IDQ was not required to make any “Change in Control Offers” to the $220M Note holders. The provisions of these Supplemental Indentures required consideration of $0.6 million for the amendment.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2014, accrued interest on the notes was $6.3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IDQ Holdings $35 Million Revolving Credit Facility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On March 27, 2012, concurrent with the sale of the $220M Notes and repayment of the revolving bank debt, IDQ entered into a new $35 million asset based revolving credit facility with the same lender (the “IDQ Holdings Revolving Credit Facility”) which is effective through March 27, 2017. Under the IDQ Holdings Revolving Credit Facility, the interest rate, at the option of the Company, is prime rate plus 1.50% or LIBOR plus 2.50%. The Company may borrow based on a borrowing base formula that includes 85% and 60% of eligible receivables and inventory, respectively.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IDQ’s obligations under the IDQ Holdings Revolving Credit Facility are secured, subject to certain exceptions, by a first priority lien on IDQ’s working capital assets and by a second priority lien on IDQ Holdings’ non-working capital assets. In addition under the IDQ Holdings Revolving Credit Facility, IDQ must adhere to an annual capital expenditure limit covenant of $1.75 million, for the year ended December 31, 2014. Amounts not used may be carried over for one year only to the next fiscal year. A third amendment to the IDQ Holdings Revolving Credit Facility allows for restructuring capital expenditures associated with the March 2014 Sale, not to exceed $4.0 million during the term of this agreement. As of December 31, 2014, IDQ Holdings was in compliance with this covenant.</w:t>
      </w:r>
    </w:p>
    <w:p>
      <w:pPr>
        <w:spacing w:after="0" w:line="193"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On August 20, 2012, in connection with the sale of $45 million aggregate principal amount of senior secured notes due October 1, 2017 by IDQ Acq. Corp. (the “$45M Notes”), as described further below, the IDQ Holdings Revolving Credit Facility was amended to permit IDQ Holdings to declare and make a dividend to IDQ Acq. Corp., subject to certain requirements defined in the amended agreement, in order to allow IDQ Acq. Corp. to pay the fees and expenses associated with the sale of the $45M Notes. Additionally, the amendment permits IDQ Holdings to declare and make a dividend to IDQ Acq. Corp., subject to certain limitations, for the regularly scheduled cash payment of interest, at the rate of 14.00%, per annum, on the $45M Notes. On March 17, 2014, there was a third amendment to the IDQ Holdings Revolving Credit Facility for the consent to the changes in ownership that occurred on that date (See Note</w:t>
      </w:r>
    </w:p>
    <w:p>
      <w:pPr>
        <w:spacing w:after="0" w:line="5" w:lineRule="exact"/>
        <w:rPr>
          <w:sz w:val="20"/>
          <w:szCs w:val="20"/>
          <w:color w:val="auto"/>
        </w:rPr>
      </w:pPr>
    </w:p>
    <w:p>
      <w:pPr>
        <w:ind w:right="280" w:firstLine="8"/>
        <w:spacing w:after="0" w:line="273" w:lineRule="auto"/>
        <w:tabs>
          <w:tab w:leader="none" w:pos="195"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and to allow for the payment of fees and expenses in connection with the change in control. The second amendment on December 27, 2012, permits the IDQ Holdings to make payments to Kinderhook pursuant to the management agreement in effect on December 27, 2012 (See Note 11). Consent fees of $87,500 and $350,000, were paid in consideration of the third and second amendment, respectively. At December 31, 2014, the availability under the IDQ Holdings Revolving Credit Facility was $13.6 million and there was no outstanding balance at December 31, 2014.</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400"/>
          </w:cols>
          <w:pgMar w:left="240" w:top="459" w:right="25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IDQ Acq. Corp. $45 Million Senior Secured Notes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connection with the March 17, 2014 sale transaction (See Note 2), the Company and subsidiaries assumed the IDQ $45M Notes (the “$45M Notes”) at their estimated fair value of $46.8 million, which included a premium of $1.8 million. The premium is being amortized into interest expense using the effective interest rate method over the remaining term of the notes. The terms of the $45M Notes require the Company to pay interest due entirely in cash</w:t>
      </w:r>
    </w:p>
    <w:p>
      <w:pPr>
        <w:ind w:right="240"/>
        <w:spacing w:after="0" w:line="295" w:lineRule="auto"/>
        <w:rPr>
          <w:sz w:val="20"/>
          <w:szCs w:val="20"/>
          <w:color w:val="auto"/>
        </w:rPr>
      </w:pPr>
      <w:r>
        <w:rPr>
          <w:rFonts w:ascii="Arial" w:cs="Arial" w:eastAsia="Arial" w:hAnsi="Arial"/>
          <w:sz w:val="16"/>
          <w:szCs w:val="16"/>
          <w:color w:val="auto"/>
        </w:rPr>
        <w:t>(14.00%) to the extent that there is sufficient cash in an interest reserve account established by the Company or, if there is not sufficient cash in the interest reserve account, partially with cash from the interest reserve account, if any, and the balance by the issuance of additional PIK Notes at (14.75%) which would increase the principal amount of the outstanding notes. Interest is payable semi-annually, in arrears, on April 1 and October 1 of each year. As of December 31, 2014, the carrying balance of the $45M Notes was $46.5 million, which includes the unamortized premium of $1.5 million.</w:t>
      </w:r>
    </w:p>
    <w:p>
      <w:pPr>
        <w:spacing w:after="0" w:line="1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August 20, 2012, IDQ Acq. Corp. completed the sale of $45 million aggregate principal amount of senior secured notes due October 1, 2017. The $45M Notes were issued at 100% of the aggregate principal amount. The notes were issued under an indenture among IDQ and The Bank of New York Mellon Trust Company, N.A., as trustee and collateral agent. The notes are not guaranteed by any of IDQ’s subsidiaries and are structurally subordinated to all of the liabilities and preferred stock of any of IDQ’s subsidiaries, including the $220M Notes and the IDQ Holdings Revolving Credit Facility. The $45M Notes are secured by liens on substantially all of IDQ Acq. Corp.’s assets subject to certain exception and permitted liens, including a first priority pledge on 100% of the capital stock of IDQ Holdings.</w:t>
      </w:r>
    </w:p>
    <w:p>
      <w:pPr>
        <w:spacing w:after="0" w:line="19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indenture governing the $45M Notes contains certain restrictive covenants that, among other requirements, limits IDQ and restricted subsidiaries’, including IDQ Holdings’, ability to incur additional debt, pay dividends or make other restricted payments, prepay, redeem or repurchase capital stock or subordinated debt, transfer or sell assets, make investments, enter into transactions with affiliates, create or incur liens and merge or consolidate with any person. In addition, IDQ Acq. Corp. may not engage in any business or activity other than its ownership of all of the equity interest in IDQ Holdings, performing its obligations with respect to indebtedness or liens permitted to be incurred under the indenture, and activities incidental to the foregoing.</w:t>
      </w:r>
    </w:p>
    <w:p>
      <w:pPr>
        <w:spacing w:after="0" w:line="15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After October 1, 2014, the Company has the option to redeem a portion or all of the $45M Notes at a premium, set forth in the indenture, which will decrease over time, plus accrued and unpaid interest, if any, to the date of redemption.</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Should IDQ Acq. Corp. experience a change in control, as defined in the indenture, the holders of the $45M Notes have the right to require IDQ Acq. Corp. to purchase their notes at a price in cash equal to 101% of the aggregate principal amount thereof, together with accrued and unpaid interest (at the cash interest rate) thereon. In the event that the terms of the indebtedness of IDQ Acq. Corp.’s subsidiaries prohibits such a repurchase, then within a specified time described fully in the $45M Notes indenture, IDQ Acq. Corp. shall repay in full all such indebtedness, or offer to repay in full such indebtedness, if doing so will allow the purchase of the notes or obtain the requisite consent under the agreements governing such indebtedness to permit the repurchase of the notes. In connection with the change in control that occurred on March 17, 2014 (See Note 2), the indenture governing the $45M Notes was amended effective March 17, 2014 so that the acquisitions did not constitute a “Change in Control”, as defined in the indenture and, therefore, IDQ Acq. Corp. was not required to make any “Change in Control Offers” to the note holders. The provisions of these Supplemental Indentures required consideration of $0.7 million for the amendment.</w:t>
      </w:r>
    </w:p>
    <w:p>
      <w:pPr>
        <w:spacing w:after="0" w:line="19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As mentioned above, effective August 20, 2012, an amendment to the IDQ Holdings Revolving Credit Facility permits IDQ Holdings to declare and make dividends to IDQ Acq. Corp, subject to certain requirements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400"/>
          </w:cols>
          <w:pgMar w:left="240" w:top="460" w:right="25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defined in the amendment agreement, in order to allow IDQ Acq. Corp. to make the regularly scheduled cash payments of interest, at the rate of 14.00% per annum, on the $45M Notes. On the business day preceding October 1 of each year, IDQ Acq. Corp. will cause IDQ Holdings to make the maximum amount of permitted dividends to it, pursuant to the indenture governing the $220M Notes, so long as such dividend is otherwise permitted to be made under the indenture governing the $220M Notes, the IDQ Holdings Revolving Credit Facility, and in accordance with applicable law, and that IDQ. Acq. Corp. shall deposit such amounts in the interest reserve account maintained with the collateral agent. In lieu of causing IDQ Holdings to make such a dividend, IDQ Acq. Corp. may deposit an equivalent amount from the sale of its capital stock or by a contribution of capital. Amounts on deposit in the interest reserve account shall be released to the Trustee in accordance with the terms of the security agreement to pay interest due on the $45M Notes. No indebtedness may be secured by a lien on the interest reserve account other than the $45M Notes.</w:t>
      </w:r>
    </w:p>
    <w:p>
      <w:pPr>
        <w:spacing w:after="0" w:line="17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September 30, 2014, IDQ Acq. Corp. reserved the cash interest of $3.1 million due April 1, 2015 on the $45M Notes. These funds, as required, were deposited in the interest reserve account maintained with the collateral agent, and at December 31, 2014 are included in restricted cash (See Note 1) within current assets in the accompanying consolidated balance sheets. On April 1, 2015, IDQ Acq. Corp. authorized the release of those funds to the trustee of the $45M Notes. For the period March 17, 2014 through December 31, 2014, interest expense related to the $45M Notes amounted to $4.7 million, which is net of amortization of note premium of $0.3 million.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Interest expense associated with the credit facilities and the Company’s long-term debt including commitment fees for unused borrowings, and amortization of original issue discount and deferred financing costs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Credit Facility</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AAG Revolver</w:t>
            </w:r>
          </w:p>
        </w:tc>
        <w:tc>
          <w:tcPr>
            <w:tcW w:w="278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813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864</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AAG Term Loan—due 2016</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19,392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19,954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20,110</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AAG Senior Notes—9.75%, due 2018</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27,210</w:t>
            </w: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27,089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26,980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IDQ Holdings Senior Secured Notes- 11.5%, due 2017</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18,985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IDQ Acq. Corp. Senior Secured Notes- 14.0%, due 2017</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23"/>
        </w:trPr>
        <w:tc>
          <w:tcPr>
            <w:tcW w:w="48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71,533</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48,024</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48,887</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2780" w:type="dxa"/>
            <w:vAlign w:val="bottom"/>
            <w:gridSpan w:val="2"/>
          </w:tcPr>
          <w:p>
            <w:pPr>
              <w:ind w:left="720"/>
              <w:spacing w:after="0"/>
              <w:rPr>
                <w:sz w:val="20"/>
                <w:szCs w:val="20"/>
                <w:color w:val="auto"/>
              </w:rPr>
            </w:pPr>
            <w:r>
              <w:rPr>
                <w:rFonts w:ascii="Arial" w:cs="Arial" w:eastAsia="Arial" w:hAnsi="Arial"/>
                <w:sz w:val="18"/>
                <w:szCs w:val="18"/>
                <w:color w:val="auto"/>
              </w:rPr>
              <w:t>F-94</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540" w:type="dxa"/>
            <w:vAlign w:val="bottom"/>
          </w:tcPr>
          <w:p>
            <w:pPr>
              <w:jc w:val="center"/>
              <w:ind w:left="1110"/>
              <w:spacing w:after="0"/>
              <w:rPr>
                <w:sz w:val="20"/>
                <w:szCs w:val="20"/>
                <w:color w:val="auto"/>
              </w:rPr>
            </w:pPr>
            <w:r>
              <w:rPr>
                <w:rFonts w:ascii="Arial" w:cs="Arial" w:eastAsia="Arial" w:hAnsi="Arial"/>
                <w:sz w:val="18"/>
                <w:szCs w:val="18"/>
                <w:color w:val="auto"/>
                <w:w w:val="92"/>
              </w:rPr>
              <w:t>Armored AutoGroup Parent, Inc.</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40" w:type="dxa"/>
            <w:vAlign w:val="bottom"/>
          </w:tcPr>
          <w:p>
            <w:pPr>
              <w:jc w:val="center"/>
              <w:ind w:left="1130"/>
              <w:spacing w:after="0"/>
              <w:rPr>
                <w:sz w:val="20"/>
                <w:szCs w:val="20"/>
                <w:color w:val="auto"/>
              </w:rPr>
            </w:pPr>
            <w:r>
              <w:rPr>
                <w:rFonts w:ascii="Arial" w:cs="Arial" w:eastAsia="Arial" w:hAnsi="Arial"/>
                <w:sz w:val="18"/>
                <w:szCs w:val="18"/>
                <w:color w:val="auto"/>
                <w:w w:val="96"/>
              </w:rPr>
              <w:t>NOTES TO CONSOLIDATED FINANCIAL STATEMENTS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6540" w:type="dxa"/>
            <w:vAlign w:val="bottom"/>
          </w:tcPr>
          <w:p>
            <w:pPr>
              <w:jc w:val="center"/>
              <w:ind w:left="1110"/>
              <w:spacing w:after="0"/>
              <w:rPr>
                <w:sz w:val="20"/>
                <w:szCs w:val="20"/>
                <w:color w:val="auto"/>
              </w:rPr>
            </w:pPr>
            <w:r>
              <w:rPr>
                <w:rFonts w:ascii="Arial" w:cs="Arial" w:eastAsia="Arial" w:hAnsi="Arial"/>
                <w:sz w:val="18"/>
                <w:szCs w:val="18"/>
                <w:color w:val="auto"/>
                <w:w w:val="89"/>
              </w:rPr>
              <w:t>December 31, 2014</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Debt Maturities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920" w:type="dxa"/>
            <w:vAlign w:val="bottom"/>
            <w:gridSpan w:val="2"/>
          </w:tcPr>
          <w:p>
            <w:pPr>
              <w:spacing w:after="0"/>
              <w:rPr>
                <w:sz w:val="20"/>
                <w:szCs w:val="20"/>
                <w:color w:val="auto"/>
              </w:rPr>
            </w:pPr>
            <w:r>
              <w:rPr>
                <w:rFonts w:ascii="Arial" w:cs="Arial" w:eastAsia="Arial" w:hAnsi="Arial"/>
                <w:sz w:val="18"/>
                <w:szCs w:val="18"/>
                <w:color w:val="auto"/>
              </w:rPr>
              <w:t>Debt maturities are as follows as of December 31, 2014 (in thousands):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920" w:type="dxa"/>
            <w:vAlign w:val="bottom"/>
            <w:gridSpan w:val="2"/>
          </w:tcPr>
          <w:p>
            <w:pPr>
              <w:ind w:left="1380"/>
              <w:spacing w:after="0"/>
              <w:rPr>
                <w:sz w:val="20"/>
                <w:szCs w:val="20"/>
                <w:color w:val="auto"/>
              </w:rPr>
            </w:pPr>
            <w:r>
              <w:rPr>
                <w:rFonts w:ascii="Arial" w:cs="Arial" w:eastAsia="Arial" w:hAnsi="Arial"/>
                <w:sz w:val="14"/>
                <w:szCs w:val="14"/>
                <w:b w:val="1"/>
                <w:bCs w:val="1"/>
                <w:color w:val="auto"/>
              </w:rPr>
              <w:t>Fiscal Years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276,000</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265,000</w:t>
            </w:r>
          </w:p>
        </w:tc>
        <w:tc>
          <w:tcPr>
            <w:tcW w:w="100" w:type="dxa"/>
            <w:vAlign w:val="bottom"/>
            <w:shd w:val="clear" w:color="auto" w:fill="CCEEFF"/>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275,000</w:t>
            </w:r>
          </w:p>
        </w:tc>
        <w:tc>
          <w:tcPr>
            <w:tcW w:w="10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819,000</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Financing Costs,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Costs associated with the establishment of the AAG Credit Facility and AAG Senior Notes have been deferred and are recorded as other current assets and other non-current assets on the Company’s Consolidated Balance Sheets as follows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40" w:type="dxa"/>
            <w:vAlign w:val="bottom"/>
            <w:gridSpan w:val="4"/>
          </w:tcPr>
          <w:p>
            <w:pPr>
              <w:ind w:left="150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(6,397)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Less: current portion, net of amortization</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(1,508)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net of amortization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 of Assets and Liabilities</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Company defines fair value as the price that would be received to sell an asset or paid to transfer a liability in an orderly transaction between market participants at the measurement date. The Company established a fair value hierarchy that prioritizes the inputs to valuation techniques used to measure fair value which is intended to increase consistency and comparability and related disclosures. An asset or liability’s classification is based on the lowest level of input that is significant to the fair value measurement and is disclosed in one of the following three categories: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2—Observable market-based inputs or unobservable inputs that are corroborated by market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3—Unobservable inputs reflecting the reporting entity’s own assumptions.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300"/>
          </w:cols>
          <w:pgMar w:left="240" w:top="459" w:right="35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Company’s financial instruments consist of cash, trade accounts receivable, trade accounts payable and long-term debt. Due to their short-term maturity, the carrying amounts of cash, trade accounts receivable and trade accounts payable approximate their fair market values. The carrying and fair values of the Company’s long-term debt were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2013</w:t>
            </w:r>
          </w:p>
        </w:tc>
      </w:tr>
      <w:tr>
        <w:trPr>
          <w:trHeight w:val="119"/>
        </w:trPr>
        <w:tc>
          <w:tcPr>
            <w:tcW w:w="752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37"/>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AAG Term Loan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275,611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278,303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284,729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AAG Senior Notes—9.75%, due 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268,858</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273,625</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268,853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267,438</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IDQ Holdings—Senior Secured Notes—11.5%, due 2017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223,400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224,400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IDQ Acq. Corp.—Senior Secured Notes—14.0%, due 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46,800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fair value of the Term Loan and Senior Notes was determined using broker quotes (Level 2). The broker quotes are determined on an analysis of discounted cash flows together with applicable forward LIBOR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leases various manufacturing, warehousing and office facilities under non-cancelable operating lease agreements which expire at various dates through 2019. The Company also has a number of third party service providers covering aspects of the administration of the business, including procurement, contract manufacturing, logistics, transportation, warehousing, software maintenance, systems support and hosting. In its marketing and brand support, the Company employs sponsorships, television, print, digital and online advertising. In sourcing of these services the Company generally enters into enforceable and legally binding agreements specifying all significant terms, including quantity, price and the approximate timing of the provision of the good or service to the Company. Under its existing non-cancelable contracts, as of December 31, 2014 the Company is required to pay minimum annual payments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Procurement,</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4"/>
              </w:rPr>
              <w:t>Software</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Manufacturing,</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Maintenance,</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Sponsorship</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Advisory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Warehousing</w:t>
            </w:r>
          </w:p>
        </w:tc>
        <w:tc>
          <w:tcPr>
            <w:tcW w:w="12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Systems</w:t>
            </w: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2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and Logistics</w:t>
            </w:r>
          </w:p>
        </w:tc>
        <w:tc>
          <w:tcPr>
            <w:tcW w:w="14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Support and</w:t>
            </w: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Media</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Services and</w:t>
            </w:r>
          </w:p>
        </w:tc>
        <w:tc>
          <w:tcPr>
            <w:tcW w:w="0" w:type="dxa"/>
            <w:vAlign w:val="bottom"/>
          </w:tcPr>
          <w:p>
            <w:pPr>
              <w:spacing w:after="0"/>
              <w:rPr>
                <w:sz w:val="1"/>
                <w:szCs w:val="1"/>
                <w:color w:val="auto"/>
              </w:rPr>
            </w:pPr>
          </w:p>
        </w:tc>
      </w:tr>
      <w:tr>
        <w:trPr>
          <w:trHeight w:val="171"/>
        </w:trPr>
        <w:tc>
          <w:tcPr>
            <w:tcW w:w="1620" w:type="dxa"/>
            <w:vAlign w:val="bottom"/>
            <w:vMerge w:val="continue"/>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Obligations</w:t>
            </w:r>
          </w:p>
        </w:tc>
        <w:tc>
          <w:tcPr>
            <w:tcW w:w="120" w:type="dxa"/>
            <w:vAlign w:val="bottom"/>
          </w:tcPr>
          <w:p>
            <w:pPr>
              <w:spacing w:after="0"/>
              <w:rPr>
                <w:sz w:val="14"/>
                <w:szCs w:val="1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Hosting</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Agreements</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Monitoring</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tcPr>
          <w:p>
            <w:pPr>
              <w:ind w:left="32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3,906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2018</w:t>
            </w:r>
          </w:p>
        </w:tc>
        <w:tc>
          <w:tcPr>
            <w:tcW w:w="3380" w:type="dxa"/>
            <w:vAlign w:val="bottom"/>
            <w:gridSpan w:val="2"/>
          </w:tcPr>
          <w:p>
            <w:pPr>
              <w:ind w:left="32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2,369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38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Thereafter</w:t>
            </w:r>
            <w:r>
              <w:rPr>
                <w:rFonts w:ascii="Arial" w:cs="Arial" w:eastAsia="Arial" w:hAnsi="Arial"/>
                <w:sz w:val="15"/>
                <w:szCs w:val="15"/>
                <w:color w:val="auto"/>
              </w:rPr>
              <w:t>(1)</w:t>
            </w:r>
          </w:p>
        </w:tc>
        <w:tc>
          <w:tcPr>
            <w:tcW w:w="3380" w:type="dxa"/>
            <w:vAlign w:val="bottom"/>
            <w:gridSpan w:val="2"/>
          </w:tcPr>
          <w:p>
            <w:pPr>
              <w:ind w:left="32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15,124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64" w:lineRule="auto"/>
        <w:tabs>
          <w:tab w:leader="none" w:pos="4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—Excludes the Company’s withdrawal liability to the pension of former employees of IDQ Operating, relating to a complete withdrawal within the meaning of Section 4203 of ERISA. The Company is obligated to fund the pension fund $50,000 per year, until the obligations are satisfied. (See Note 16 in the Notes to the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420"/>
          </w:cols>
          <w:pgMar w:left="240" w:top="459" w:right="23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i w:val="1"/>
          <w:iCs w:val="1"/>
          <w:color w:val="auto"/>
        </w:rPr>
        <w:t>Operating lease arrangements</w:t>
      </w:r>
      <w:r>
        <w:rPr>
          <w:rFonts w:ascii="Arial" w:cs="Arial" w:eastAsia="Arial" w:hAnsi="Arial"/>
          <w:sz w:val="16"/>
          <w:szCs w:val="16"/>
          <w:color w:val="auto"/>
        </w:rPr>
        <w:t>—Certain of the Company’s operating lease agreements contain rent abatement and rent escalation clauses.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expenses rent on a straight-line basis over the life its leases, which commences on the date the Company has the right to control leased property. Certain of the Company’s facility operating lease agreements also provide for additional conditional payments in connection with the lease of the property (e.g., share of operating expenses, insurance, and real estate taxes). These additional payments are not included in the summary of above.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 for all operating leases was (in thousands):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 ended</w:t>
      </w:r>
    </w:p>
    <w:p>
      <w:pPr>
        <w:spacing w:after="0" w:line="24" w:lineRule="exact"/>
        <w:rPr>
          <w:sz w:val="20"/>
          <w:szCs w:val="20"/>
          <w:color w:val="auto"/>
        </w:rPr>
      </w:pPr>
    </w:p>
    <w:tbl>
      <w:tblPr>
        <w:tblLayout w:type="fixed"/>
        <w:tblInd w:w="2880" w:type="dxa"/>
        <w:tblCellMar>
          <w:top w:w="0" w:type="dxa"/>
          <w:left w:w="0" w:type="dxa"/>
          <w:bottom w:w="0" w:type="dxa"/>
          <w:right w:w="0" w:type="dxa"/>
        </w:tblCellMar>
      </w:tblPr>
      <w:tr>
        <w:trPr>
          <w:trHeight w:val="119"/>
        </w:trPr>
        <w:tc>
          <w:tcPr>
            <w:tcW w:w="2100" w:type="dxa"/>
            <w:vAlign w:val="bottom"/>
            <w:tcBorders>
              <w:top w:val="single" w:sz="8" w:color="auto"/>
            </w:tcBorders>
            <w:gridSpan w:val="2"/>
          </w:tcPr>
          <w:p>
            <w:pPr>
              <w:ind w:left="540"/>
              <w:spacing w:after="0" w:line="119" w:lineRule="exact"/>
              <w:rPr>
                <w:sz w:val="20"/>
                <w:szCs w:val="20"/>
                <w:color w:val="auto"/>
              </w:rPr>
            </w:pPr>
            <w:r>
              <w:rPr>
                <w:rFonts w:ascii="Arial" w:cs="Arial" w:eastAsia="Arial" w:hAnsi="Arial"/>
                <w:sz w:val="13"/>
                <w:szCs w:val="13"/>
                <w:b w:val="1"/>
                <w:bCs w:val="1"/>
                <w:color w:val="auto"/>
              </w:rPr>
              <w:t>December 31,</w:t>
            </w:r>
          </w:p>
        </w:tc>
        <w:tc>
          <w:tcPr>
            <w:tcW w:w="1860" w:type="dxa"/>
            <w:vAlign w:val="bottom"/>
            <w:tcBorders>
              <w:top w:val="single" w:sz="8" w:color="auto"/>
            </w:tcBorders>
            <w:gridSpan w:val="2"/>
          </w:tcPr>
          <w:p>
            <w:pPr>
              <w:ind w:left="420"/>
              <w:spacing w:after="0" w:line="119" w:lineRule="exact"/>
              <w:rPr>
                <w:sz w:val="20"/>
                <w:szCs w:val="20"/>
                <w:color w:val="auto"/>
              </w:rPr>
            </w:pPr>
            <w:r>
              <w:rPr>
                <w:rFonts w:ascii="Arial" w:cs="Arial" w:eastAsia="Arial" w:hAnsi="Arial"/>
                <w:sz w:val="13"/>
                <w:szCs w:val="13"/>
                <w:b w:val="1"/>
                <w:bCs w:val="1"/>
                <w:color w:val="auto"/>
              </w:rPr>
              <w:t>December 31,</w:t>
            </w:r>
          </w:p>
        </w:tc>
        <w:tc>
          <w:tcPr>
            <w:tcW w:w="1740" w:type="dxa"/>
            <w:vAlign w:val="bottom"/>
            <w:tcBorders>
              <w:top w:val="single" w:sz="8" w:color="auto"/>
            </w:tcBorders>
          </w:tcPr>
          <w:p>
            <w:pPr>
              <w:ind w:left="440"/>
              <w:spacing w:after="0" w:line="119" w:lineRule="exact"/>
              <w:rPr>
                <w:sz w:val="20"/>
                <w:szCs w:val="20"/>
                <w:color w:val="auto"/>
              </w:rPr>
            </w:pPr>
            <w:r>
              <w:rPr>
                <w:rFonts w:ascii="Arial" w:cs="Arial" w:eastAsia="Arial" w:hAnsi="Arial"/>
                <w:sz w:val="13"/>
                <w:szCs w:val="13"/>
                <w:b w:val="1"/>
                <w:bCs w:val="1"/>
                <w:color w:val="auto"/>
              </w:rPr>
              <w:t>December 31,</w:t>
            </w:r>
          </w:p>
        </w:tc>
      </w:tr>
      <w:tr>
        <w:trPr>
          <w:trHeight w:val="185"/>
        </w:trPr>
        <w:tc>
          <w:tcPr>
            <w:tcW w:w="1940" w:type="dxa"/>
            <w:vAlign w:val="bottom"/>
            <w:tcBorders>
              <w:bottom w:val="single" w:sz="8" w:color="auto"/>
            </w:tcBorders>
          </w:tcPr>
          <w:p>
            <w:pPr>
              <w:jc w:val="right"/>
              <w:ind w:right="76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2012</w:t>
            </w:r>
          </w:p>
        </w:tc>
      </w:tr>
      <w:tr>
        <w:trPr>
          <w:trHeight w:val="210"/>
        </w:trPr>
        <w:tc>
          <w:tcPr>
            <w:tcW w:w="194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$4,731</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44"/>
              <w:spacing w:after="0"/>
              <w:rPr>
                <w:sz w:val="20"/>
                <w:szCs w:val="20"/>
                <w:color w:val="auto"/>
              </w:rPr>
            </w:pPr>
            <w:r>
              <w:rPr>
                <w:rFonts w:ascii="Arial" w:cs="Arial" w:eastAsia="Arial" w:hAnsi="Arial"/>
                <w:sz w:val="18"/>
                <w:szCs w:val="18"/>
                <w:color w:val="auto"/>
              </w:rPr>
              <w:t>$2,775</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64"/>
              <w:spacing w:after="0"/>
              <w:rPr>
                <w:sz w:val="20"/>
                <w:szCs w:val="20"/>
                <w:color w:val="auto"/>
              </w:rPr>
            </w:pPr>
            <w:r>
              <w:rPr>
                <w:rFonts w:ascii="Arial" w:cs="Arial" w:eastAsia="Arial" w:hAnsi="Arial"/>
                <w:sz w:val="18"/>
                <w:szCs w:val="18"/>
                <w:color w:val="auto"/>
              </w:rPr>
              <w:t>$4,108</w:t>
            </w:r>
          </w:p>
        </w:tc>
      </w:tr>
    </w:tbl>
    <w:p>
      <w:pPr>
        <w:spacing w:after="0" w:line="2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Contract manufacturing, warehousing and logistics obligations</w:t>
      </w:r>
      <w:r>
        <w:rPr>
          <w:rFonts w:ascii="Arial" w:cs="Arial" w:eastAsia="Arial" w:hAnsi="Arial"/>
          <w:sz w:val="16"/>
          <w:szCs w:val="16"/>
          <w:color w:val="auto"/>
        </w:rPr>
        <w:t>—The Company secures its warehousing facilities and attendant services, and logistics</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transportation expertise under several contracts extending into 2019. These outsourcing arrangements typically provide for a base fee and variable costs determined with reference to volume or the provision of additional services, and terms providing for termination for convenience on 120 days’ notice and the payment of stipulated fees and additional costs. Only fixed or base fees on an ongoing basis for the term of the contracted services are included in the above summary. Further, the Company has ongoing relationships with various suppliers who procure, manufacture and/or package the Company’s products (“Contract Manufacturers”). Certain of the Company’s Contract Manufacturers maintain title and control of raw materials and components, materials utilized in finished products, and of the finished products themselves until shipment to the Company’s customers or third party distribution centers in accordance with agreed upon shipment terms. The Company purchases and maintains title and control of raw materials and components packaged by other of its Contract Manufacturers and is only obligated further for the services themselves. The Company typically does not have definitive minimum purchase obligations included in the contract terms with its Contract Manufacturers or other raw material or component suppliers. In the ordinary course of business, supply and service needs are communicated by the Company to its Contract Manufacturers based on orders and short-term projections, ranging typically three months. The Company is committed to purchase the products produced by the Contract Manufacturers based on the projections provided.</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Software maintenance, systems support and hosting</w:t>
      </w:r>
      <w:r>
        <w:rPr>
          <w:rFonts w:ascii="Arial" w:cs="Arial" w:eastAsia="Arial" w:hAnsi="Arial"/>
          <w:sz w:val="18"/>
          <w:szCs w:val="18"/>
          <w:color w:val="auto"/>
        </w:rPr>
        <w:t>—The Company outsources much of its information technology infrastructure. These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provide for a base or fixed fee and additional costs associated with added systems users and supplementary services, and terms providing for early contract termination with notice and the payment of stipulated fees. Only fixed or base fees on an ongoing basis for the term of the contracted services are included in the above summary.</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Supply and purchase agreements</w:t>
      </w:r>
      <w:r>
        <w:rPr>
          <w:rFonts w:ascii="Arial" w:cs="Arial" w:eastAsia="Arial" w:hAnsi="Arial"/>
          <w:sz w:val="18"/>
          <w:szCs w:val="18"/>
          <w:color w:val="auto"/>
        </w:rPr>
        <w:t>—IDQ Acq. Corp. completed a raw material supply agreement that was in effect March 1, 2014 through July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from this supplier for the period March 17, 2014 through July 31, 2014 were approximately $1.1 million. Additionally, IDQ Acq. Corp. had another supply agreement that was in effect from November 1, 2013 through December 31, 2014, during which period IDQ Acq. Corp. was expected to make purchases totaling approximately $1.8 million. For the period ended December 31, 2014, IDQ Holdings purchases from this supplier totaled approximately $2.1 million. The Company anticipates renewing these agreements in 2015.</w:t>
      </w:r>
    </w:p>
    <w:p>
      <w:pPr>
        <w:spacing w:after="0" w:line="188"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i w:val="1"/>
          <w:iCs w:val="1"/>
          <w:color w:val="auto"/>
        </w:rPr>
        <w:t>Sponsorship and media agreements</w:t>
      </w:r>
      <w:r>
        <w:rPr>
          <w:rFonts w:ascii="Arial" w:cs="Arial" w:eastAsia="Arial" w:hAnsi="Arial"/>
          <w:sz w:val="16"/>
          <w:szCs w:val="16"/>
          <w:color w:val="auto"/>
        </w:rPr>
        <w:t>—The Company’s marketing campaigns rely heavily on racing and rally sponsorships, promotional events,</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print and online advertising. Sponsorship commitments extend into 2015 and the Company’s media plan extends through 2016.</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400"/>
          </w:cols>
          <w:pgMar w:left="240" w:top="459" w:right="25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i w:val="1"/>
          <w:iCs w:val="1"/>
          <w:color w:val="auto"/>
        </w:rPr>
        <w:t>Advisory Services and Monitoring Agreement</w:t>
      </w:r>
      <w:r>
        <w:rPr>
          <w:rFonts w:ascii="Arial" w:cs="Arial" w:eastAsia="Arial" w:hAnsi="Arial"/>
          <w:sz w:val="16"/>
          <w:szCs w:val="16"/>
          <w:color w:val="auto"/>
        </w:rPr>
        <w:t>—Under the Company’s Advisory Services and Monitoring Agreement, Avista and Kinderhook 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the Company ongoing advisory services with respect to strategic business plans, corporate development and financial monitoring (See Note 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12—Litigation and Other Legal Matters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is subject to various lawsuits and claims relating to issues such as contract disputes, product liability, patents and trademarks, advertising, employee and other matters. Although the results of claims and litigation cannot be predicted with certainty, it is the opinion of management that the ultimate disposition of these matters will not have a material adverse effect, individually or in the aggregate, on the Company’s financial position or results of operations.</w:t>
      </w:r>
    </w:p>
    <w:p>
      <w:pPr>
        <w:spacing w:after="0" w:line="18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connection with the Acquisition, Clorox retained liability associated with a potential contract claim and the Company has agreed to indemnify and reimburse Clorox for 50% of the first $5.0 million in costs related to the contract claim. As of December 31, 2014 and 2013, the Company has accrued a $2.5 million long-term liability related to this contingency, which is included in other liabilities on the consolidated balance sheets.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13—Shareholders’ 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March 2014, the Company amended its Articles of Incorporation to authorize 200 million shares of preferred stock, of which 150,000 shares are designated as Series A Preferred stock and the remainder is undesignated. The Company’s parent, Avista, contributed $62.0 million to the Company in exchange for 62,000 shares of the Preferred A stock. Upon completion of the March 17, 2014 Sales Transaction, Kinderhook and former shareholders of IDQ received 4,746 shares and 647 shares, respectively, of the Company’s Series A Preferred stock. Since these shares are not traded on the public market, the Company commissioned a valuation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Compensation, and assigned a fair value to the Series A Preferred stock issued to Kinderhook and former management IDQ shareholders of $1,094.90 and $766.43 per share (discounted for lack of marketability), respectively.</w:t>
      </w:r>
    </w:p>
    <w:p>
      <w:pPr>
        <w:spacing w:after="0" w:line="192"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At December 31, 2014, Avista owned 91.4% of the Company’s issued and outstanding Series A Preferred stock, with an additional 7.1% owned by Kinderhook and the remaining aggregate 1.5% owned by certain members of management and the Board of Directors (“Management Stockholders”).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preferred stock has certain rights, powers and privileges which include, but are not limited to the following:</w:t>
      </w:r>
    </w:p>
    <w:p>
      <w:pPr>
        <w:spacing w:after="0" w:line="117" w:lineRule="exact"/>
        <w:rPr>
          <w:sz w:val="20"/>
          <w:szCs w:val="20"/>
          <w:color w:val="auto"/>
        </w:rPr>
      </w:pPr>
    </w:p>
    <w:p>
      <w:pPr>
        <w:ind w:right="80" w:firstLine="464"/>
        <w:spacing w:after="0" w:line="277" w:lineRule="auto"/>
        <w:tabs>
          <w:tab w:leader="none" w:pos="701"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preferred stock will rank senior to any capital stock or other equity securities of the Company (including, without limitation, the common stock of the Company) with respect to dividend rights, rights on liquidation, dissolution, redemption or winding up;</w:t>
      </w:r>
    </w:p>
    <w:p>
      <w:pPr>
        <w:spacing w:after="0" w:line="170" w:lineRule="exact"/>
        <w:rPr>
          <w:rFonts w:ascii="Arial" w:cs="Arial" w:eastAsia="Arial" w:hAnsi="Arial"/>
          <w:sz w:val="18"/>
          <w:szCs w:val="18"/>
          <w:color w:val="auto"/>
        </w:rPr>
      </w:pPr>
    </w:p>
    <w:p>
      <w:pPr>
        <w:ind w:right="120" w:firstLine="464"/>
        <w:spacing w:after="0" w:line="264" w:lineRule="auto"/>
        <w:tabs>
          <w:tab w:leader="none" w:pos="711"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preferred stock is subject to a liquidation preference of $1,000 per share (subject to customary adjustments such as stock splits) plus all unpaid and accrued dividends described in (c) below which will be required if a liquidation event occurs (including certain mergers or sales of the Company or the sale, lease, transfer, exclusive license or other disposition of substantially all of the assets of the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360"/>
          </w:cols>
          <w:pgMar w:left="240" w:top="460" w:right="29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120" w:firstLine="464"/>
        <w:spacing w:after="0" w:line="276" w:lineRule="auto"/>
        <w:tabs>
          <w:tab w:leader="none" w:pos="701"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preferred stock shall be entitled to receive, on a cumulative basis, cash dividends, accrued on a daily basis, whether or not declared and compounding semi-annually on July 31 and December 31 of each year, at a rate of 20% per annum on the sum of the liquidation value thereof plus all accumulated and unpaid dividends thereon from, and including, the date of issuance of such shares of Preferred stock until the date that the liquidation value and accrued dividends are paid or the date which such Preferred stock is redeemed or acquired by the Company (whether or not declared). The unrecorded accumulated and unpaid dividends at December 31, 2014 totaled $11.1 million;</w:t>
      </w:r>
    </w:p>
    <w:p>
      <w:pPr>
        <w:spacing w:after="0" w:line="172" w:lineRule="exact"/>
        <w:rPr>
          <w:rFonts w:ascii="Arial" w:cs="Arial" w:eastAsia="Arial" w:hAnsi="Arial"/>
          <w:sz w:val="17"/>
          <w:szCs w:val="17"/>
          <w:color w:val="auto"/>
        </w:rPr>
      </w:pPr>
    </w:p>
    <w:p>
      <w:pPr>
        <w:ind w:right="320" w:firstLine="464"/>
        <w:spacing w:after="0" w:line="277" w:lineRule="auto"/>
        <w:tabs>
          <w:tab w:leader="none" w:pos="71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preferred stock is subject to redemption by the Company at liquidation value plus all accrued but unpaid dividends at the sole election of the Company;</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preferred stock is not mandatorily redeemable, conditional nor does it contain any conversion options; and</w:t>
      </w:r>
    </w:p>
    <w:p>
      <w:pPr>
        <w:spacing w:after="0" w:line="225" w:lineRule="exact"/>
        <w:rPr>
          <w:rFonts w:ascii="Arial" w:cs="Arial" w:eastAsia="Arial" w:hAnsi="Arial"/>
          <w:sz w:val="18"/>
          <w:szCs w:val="18"/>
          <w:color w:val="auto"/>
        </w:rPr>
      </w:pPr>
    </w:p>
    <w:p>
      <w:pPr>
        <w:ind w:right="280" w:firstLine="464"/>
        <w:spacing w:after="0" w:line="277" w:lineRule="auto"/>
        <w:tabs>
          <w:tab w:leader="none" w:pos="68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preferred stockholders share voting rights with the common stock holders. Each holder of Series A Preferred stock shall be entitled to 10,000 votes per share of Series A Preferred stock on all matters to be voted on by the Company’s shareholders.</w:t>
      </w:r>
    </w:p>
    <w:p>
      <w:pPr>
        <w:spacing w:after="0" w:line="17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During 2014, the Company repurchased 81 shares of the Company’s Series A Preferred stock from former IDQ employees, at a cost of approximately $88,000 and the shares were subsequently cancelled. The Company’s Series A Preferred stock is not traded upon any public market.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In March 2014, the Company amended its Articles of Incorporation to increase the number of authorized common stock to 400 million shares of common stock from the previous authorized number of 365 million shares. On March 17, 2014, the Company issued 23.1 million shares of the Company’s common stock to the former shareholders of IDQ Acq. Corp., as consideration for their sale of the outstanding common and preferred stock of IDQ Acq. Corp. to the Company and its subsidiaries under the Stock Purchase Agreement. The shares were issued to Kinderhook, IDQ’s largest shareholder, as well as members of IDQ’s s management team in exchange for their shares of IDQ’ s outstanding common stock and preferred stock. Since these shares are not traded on the public market, the Company commissioned a valuation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Compensation, and assigned a fair value to the Common Stock issued to Kinderhook and former management IDQ shareholders of $1.02 and $0.71 per share (discounted for lack of marketability), respectively.</w:t>
      </w:r>
    </w:p>
    <w:p>
      <w:pPr>
        <w:spacing w:after="0" w:line="18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As of December 31, 2014, Avista owned 91.3 % of the Company’s issued and outstanding common stock, with an additional 7.1% owned by Kinderhook and the remaining aggregate 1.6% owned by Management Stockholders. The Company’s common stock is not traded upon any public market.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right</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terms of the Stockholders’ Agreement dated November 5, 2010, as amended, among the Company, Avista, and the Management Stockholders, the Company has the option but not an obligation to repurchase all of the shares of common stock held by former Company employees whether acquired directly on Acquisition or issued pursuant to the exercise of stock options to former Company employees who terminate employment under certain circumstances. The purchase price of the Company’s call option as prescribed in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400"/>
          </w:cols>
          <w:pgMar w:left="240" w:top="459" w:right="25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Stockholders’ Agreement is to be determined through a valuation of the Company’s common stock on a minority, non-marketable interest basis or, under certain circumstances, based on cost, as defined therein. As there is no active market for the Company’s common stock, the Company estimates the fair value of its common stock as determined by the Board of Directors in good faith. If a participant in the 2010 AAG Stock Option Plan (See Note 14) were to terminate employment with the Company, the Company’s exercise of its repurchase right under the Stockholders’ Agreement on shares received by the a Company employee through the exercise of stock options may require equity awards to be expensed in the Company’s statement of comprehensive loss in the period in which the termination occurs. During 2014, the Company repurchased 468,371 shares of the Company’s common stock from former employees, at a cost of approximately $0.5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has not paid any cash dividends on its common stock. The declaration of any future cash dividends is at the discretion of the Company’s Board of Directors and depends upon its earnings, if any, our capital requirements and financial position, its general economic conditions, and other pertinent conditions. It is the Company’s present intention not to pay any cash dividends in the foreseeable future, but rather to reinvest earnings, if any, in its business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14—Share Based Compensation Plans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details of total share based compensation expense that is included in the Company’s statements of comprehensive loss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4"/>
                <w:szCs w:val="14"/>
                <w:b w:val="1"/>
                <w:bCs w:val="1"/>
                <w:color w:val="auto"/>
                <w:w w:val="92"/>
              </w:rPr>
              <w:t>Year ended</w:t>
            </w: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320" w:type="dxa"/>
            <w:vAlign w:val="bottom"/>
          </w:tcPr>
          <w:p>
            <w:pPr>
              <w:spacing w:after="0"/>
              <w:rPr>
                <w:sz w:val="10"/>
                <w:szCs w:val="10"/>
                <w:color w:val="auto"/>
              </w:rPr>
            </w:pPr>
          </w:p>
        </w:tc>
        <w:tc>
          <w:tcPr>
            <w:tcW w:w="1660" w:type="dxa"/>
            <w:vAlign w:val="bottom"/>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6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53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8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($ 42)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(762)</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260</w:t>
            </w:r>
          </w:p>
        </w:tc>
        <w:tc>
          <w:tcPr>
            <w:tcW w:w="5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243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share based compensation costs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8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November 2010, the Parent’s Board of Directors approved the 2010 Equity Incentive Plan (the “2010 AAG Option Plan”), which authorized equity awards to be granted for up to 26,500,000 shares of Parent’s common stock. On June 23, 2014, the Parent’s Board of Directors resolved to increase the authorized shares to 27,565,000. Under the 2010 AAG Option Plan, certain management and key employees of the Company have been or may be granted a combination of time based and performance based options to purchase the Parent’s common stock. Share based compensation expense related to employee grants under the 2010 AAG Option Plan has been reflected in these financial statements. However, during the third quarter of 2014, the Company determined that no compensation expense should be recognized until an actual vesting event occurs. As a result, approximately $0.8 million of compensation expense which was previously recognized for these grants was reversed. As of December 31, 2014, equity awards for approximately 2,808,750 shares of Parent’s common stock remain available for grant under the 2010 AAG Option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400"/>
          </w:cols>
          <w:pgMar w:left="240" w:top="459" w:right="25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Company utilizes an option pricing method employing a Black Scholes model to estimate the fair value of stock options granted. The following weighted average assumptions were used for time based and performance based option grants in the periods: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4520" w:type="dxa"/>
            <w:vAlign w:val="bottom"/>
          </w:tcPr>
          <w:p>
            <w:pPr>
              <w:spacing w:after="0"/>
              <w:rPr>
                <w:sz w:val="12"/>
                <w:szCs w:val="12"/>
                <w:color w:val="auto"/>
              </w:rPr>
            </w:pP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45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 years</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 years</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80.0%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34.0%</w:t>
            </w:r>
          </w:p>
        </w:tc>
        <w:tc>
          <w:tcPr>
            <w:tcW w:w="3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35.0%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0.65% - 0.86%</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 - 2.03%</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0.91% - 1.36%</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Time based and performance based options expire ten years from the date of grant. The expected life of the stock options on the option grants during the period is determined based on the average of the weighted vesting term and the contractual term of the options. However, after the modification discussed below, the expected term was changed to the remaining vesting period of 3 years. The Company estimates stock option forfeitures based on historical data and will adjust the rate to expected forfeitures when Company-specific experience indicates a different trend. Expected volatility for the period is determined consistently based on a five-company peer group, all of which have publicly traded stock. The risk-free interest rate is based on the implied yield on a U.S. Treasury yield curve with a term similar to the expected remaining term of the option on the date of the grant. Dividend yield for the period is determined based on projected annual dividend payments.</w:t>
      </w:r>
    </w:p>
    <w:p>
      <w:pPr>
        <w:spacing w:after="0" w:line="178"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Employees of the Company participate in the 2010 AAG Stock Option Plan. On June 23, 2014, the Company modified the stock option grant agreements for certain employees participating in the Plan. In addition, the Company granted additional options covering 2,385,000 shares to employees during the quarter ended June 30, 2014 at $1.00 per share. One half of the modified and newly granted options vest ratably over a five year period from the date of grant/modification based upon the passage of time (the “Time Award”), while the remaining 50% of the options vest upon the achievement of specified performance conditions as set forth in the grant agreements. The performance condition can be met each fiscal year if certain EBITDA targets are achieved, subject to certain carry back and carry forward provisions, or if a change of control occurs and the applicable return of capital target is met.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360"/>
          </w:cols>
          <w:pgMar w:left="240" w:top="459" w:right="29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table summarizes stock option activity for time based options under the 2010 AAG Stock Option Plan for the periods presented (in thousands, except per share amounts):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6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4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Time based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9"/>
              </w:rPr>
              <w:t>Shares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c>
          <w:tcPr>
            <w:tcW w:w="74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(614)</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Vested</w:t>
            </w: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(1,153)</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5,628</w:t>
            </w:r>
          </w:p>
        </w:tc>
        <w:tc>
          <w:tcPr>
            <w:tcW w:w="74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Time Based Shares from Modification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3,285</w:t>
            </w: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(1,913)</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Non-vested at December 31, 2014</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10,876</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2,678</w:t>
            </w: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13,554</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2010 AAG Option Plan, time based options vest ratably over the applicable service period, five years, on each anniversary of the date of grant and, regardless, immediately upon a change in control event, subject to certain conditions. However, Parent and holders of outstanding options covering 14,608,750 option shares and about 40 grants under the 2010 AAG Stock Option Plan agreed to revisions to the stock option award agreements. The revisions effective June 23, 2014, included the following changes:</w:t>
      </w:r>
    </w:p>
    <w:p>
      <w:pPr>
        <w:spacing w:after="0" w:line="92" w:lineRule="exact"/>
        <w:rPr>
          <w:sz w:val="20"/>
          <w:szCs w:val="20"/>
          <w:color w:val="auto"/>
        </w:rPr>
      </w:pPr>
    </w:p>
    <w:p>
      <w:pPr>
        <w:ind w:left="900" w:hanging="446"/>
        <w:spacing w:after="0"/>
        <w:tabs>
          <w:tab w:leader="none" w:pos="9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vesting period for unvested time based option shares was extended to annual vesting ratably over 5 years from June 23, 2014;</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25% of the option shares designated for performance based vesting in participants’ original grants were revised to time based vesting, with annual vesting ratably over 5 years from June 23, 2014;</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performance criteria for the remainder of the performance based option shares was revised to vest based on the company achieving annual EBITDA targets which were designated in the revised grants; and</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for performance based options shares, if they do not vest under scenario (c) above, the option shares may vest under an alternative vesting criteria that is based on a target return of capital to stockholders. The return of capital target is a scale of 2 to 3 times the stockholders original investment at such time as there is a change of control of the Company’s ownership.</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There have been no vested, time based stock options exercised to date under the 2010 AAG Stock Option Plan and no cash received. The weighted average fair value per option of time based options granted in 2014, 2013 and 2012 was $0.29, $0.15 and $0.15, respectively. The aggregate fair value of options vested in 2014, 2013 and 2012 was $0.0 million, $0.2 million and $0.3 million, respectively. At December 31, 2014, the total amount of unrecognized compensation cost for time based options granted is $4.1 million. At December 31, 2014, vested and exercisable options and total time based options outstanding have weighted average remaining contractual terms of 6.2 and 7.6 years, respectively, and carry no intrinsic value.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420"/>
          </w:cols>
          <w:pgMar w:left="240" w:top="459" w:right="23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summarizes stock option activity for performance based options under the 2010 AAG Stock Option Plan for the periods presented (in thousands, except per share and year amounts):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Number of</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5020" w:type="dxa"/>
            <w:vAlign w:val="bottom"/>
          </w:tcPr>
          <w:p>
            <w:pPr>
              <w:spacing w:after="0"/>
              <w:rPr>
                <w:sz w:val="12"/>
                <w:szCs w:val="12"/>
                <w:color w:val="auto"/>
              </w:rPr>
            </w:pPr>
          </w:p>
        </w:tc>
        <w:tc>
          <w:tcPr>
            <w:tcW w:w="2580" w:type="dxa"/>
            <w:vAlign w:val="bottom"/>
            <w:gridSpan w:val="3"/>
          </w:tcPr>
          <w:p>
            <w:pPr>
              <w:jc w:val="center"/>
              <w:ind w:left="853"/>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4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5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based</w:t>
            </w:r>
          </w:p>
        </w:tc>
        <w:tc>
          <w:tcPr>
            <w:tcW w:w="3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r>
      <w:tr>
        <w:trPr>
          <w:trHeight w:val="171"/>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2012</w:t>
            </w:r>
          </w:p>
        </w:tc>
        <w:tc>
          <w:tcPr>
            <w:tcW w:w="1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12,862</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1,869</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2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Non-vested at December 31, 2013</w:t>
            </w:r>
          </w:p>
        </w:tc>
        <w:tc>
          <w:tcPr>
            <w:tcW w:w="13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13,805</w:t>
            </w:r>
          </w:p>
        </w:tc>
        <w:tc>
          <w:tcPr>
            <w:tcW w:w="4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(4,844)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Converted to Time Based</w:t>
            </w:r>
          </w:p>
        </w:tc>
        <w:tc>
          <w:tcPr>
            <w:tcW w:w="2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Non-vested and outstanding at December 31, 2014</w:t>
            </w:r>
          </w:p>
        </w:tc>
        <w:tc>
          <w:tcPr>
            <w:tcW w:w="1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11,204</w:t>
            </w:r>
          </w:p>
        </w:tc>
        <w:tc>
          <w:tcPr>
            <w:tcW w:w="4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Under the 2010 AAG Stock Option Plan, performance based options vest subject to a liquidity event (e.g., an initial public offering or change in control, as defined) and based upon the attainment of specified minimum returns on capital to Company’s shareholders. Compensation expense on performance based option grants is not recognized until it is probable that the liquidity event will occur. For all periods the Company did not recognize share based compensation expense related to its performance based grants given that the performance condition (a liquidity event) has not occurred in any of those periods.</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Because it is not probable that these performance based option grants will vest and no compensation expense is recognized, the Company did not value these grants. At a time in which it becomes probable that the performance option grants will vest the Company will have a valuation performed. At that time, the Company will disclose the total compensation cost in their ending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 provision for income taxes on loss before income taxes, by tax jurisdiction, consisted of the following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98"/>
              </w:rPr>
              <w:t>Year Ended</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9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0"/>
                <w:szCs w:val="10"/>
                <w:color w:val="auto"/>
              </w:rPr>
            </w:pP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rPr>
              <w:t>Federal</w:t>
            </w:r>
          </w:p>
        </w:tc>
        <w:tc>
          <w:tcPr>
            <w:tcW w:w="262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7,566</w:t>
            </w:r>
          </w:p>
        </w:tc>
        <w:tc>
          <w:tcPr>
            <w:tcW w:w="42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3,006</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r>
      <w:tr>
        <w:trPr>
          <w:trHeight w:val="223"/>
        </w:trPr>
        <w:tc>
          <w:tcPr>
            <w:tcW w:w="29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9"/>
                <w:szCs w:val="19"/>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4,435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Deferred:</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(20,023)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(11,874)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(11,060)</w:t>
            </w: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rPr>
              <w:t>State</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(598)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(2,818)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w:t>
            </w:r>
          </w:p>
        </w:tc>
      </w:tr>
      <w:tr>
        <w:trPr>
          <w:trHeight w:val="230"/>
        </w:trPr>
        <w:tc>
          <w:tcPr>
            <w:tcW w:w="2980" w:type="dxa"/>
            <w:vAlign w:val="bottom"/>
          </w:tcPr>
          <w:p>
            <w:pPr>
              <w:ind w:left="360"/>
              <w:spacing w:after="0"/>
              <w:rPr>
                <w:sz w:val="20"/>
                <w:szCs w:val="20"/>
                <w:color w:val="auto"/>
              </w:rPr>
            </w:pPr>
            <w:r>
              <w:rPr>
                <w:rFonts w:ascii="Arial" w:cs="Arial" w:eastAsia="Arial" w:hAnsi="Arial"/>
                <w:sz w:val="18"/>
                <w:szCs w:val="18"/>
                <w:color w:val="auto"/>
              </w:rPr>
              <w:t>Total deferred</w:t>
            </w:r>
          </w:p>
        </w:tc>
        <w:tc>
          <w:tcPr>
            <w:tcW w:w="2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(20,583)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(15,210)</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(10,612)</w:t>
            </w:r>
          </w:p>
        </w:tc>
        <w:tc>
          <w:tcPr>
            <w:tcW w:w="100" w:type="dxa"/>
            <w:vAlign w:val="bottom"/>
          </w:tcPr>
          <w:p>
            <w:pPr>
              <w:spacing w:after="0"/>
              <w:rPr>
                <w:sz w:val="20"/>
                <w:szCs w:val="20"/>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(11,076)</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(10,775)</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(7,040)</w:t>
            </w:r>
          </w:p>
        </w:tc>
      </w:tr>
      <w:tr>
        <w:trPr>
          <w:trHeight w:val="20"/>
        </w:trPr>
        <w:tc>
          <w:tcPr>
            <w:tcW w:w="2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2620" w:type="dxa"/>
            <w:vAlign w:val="bottom"/>
            <w:gridSpan w:val="2"/>
          </w:tcPr>
          <w:p>
            <w:pPr>
              <w:ind w:left="1600"/>
              <w:spacing w:after="0"/>
              <w:rPr>
                <w:sz w:val="20"/>
                <w:szCs w:val="20"/>
                <w:color w:val="auto"/>
              </w:rPr>
            </w:pPr>
            <w:r>
              <w:rPr>
                <w:rFonts w:ascii="Arial" w:cs="Arial" w:eastAsia="Arial" w:hAnsi="Arial"/>
                <w:sz w:val="18"/>
                <w:szCs w:val="18"/>
                <w:color w:val="auto"/>
              </w:rPr>
              <w:t>F-103</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loss before income taxes, by tax jurisdiction, were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360" w:type="dxa"/>
            <w:vAlign w:val="bottom"/>
          </w:tcPr>
          <w:p>
            <w:pPr>
              <w:spacing w:after="0"/>
              <w:rPr>
                <w:sz w:val="10"/>
                <w:szCs w:val="10"/>
                <w:color w:val="auto"/>
              </w:rPr>
            </w:pP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5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(31,562)</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(19,496)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0"/>
              </w:rPr>
              <w:t>(24,878)</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(3,983)</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(4,667)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w w:val="95"/>
              </w:rPr>
              <w:t>(27,961)</w:t>
            </w:r>
          </w:p>
        </w:tc>
      </w:tr>
      <w:tr>
        <w:trPr>
          <w:trHeight w:val="27"/>
        </w:trPr>
        <w:tc>
          <w:tcPr>
            <w:tcW w:w="5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(35,545)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(24,163)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(52,839)</w:t>
            </w:r>
          </w:p>
        </w:tc>
      </w:tr>
      <w:tr>
        <w:trPr>
          <w:trHeight w:val="20"/>
        </w:trPr>
        <w:tc>
          <w:tcPr>
            <w:tcW w:w="5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statutory federal income tax rate to the Company’s effective tax rate on loss before income taxes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1020"/>
              <w:spacing w:after="0"/>
              <w:rPr>
                <w:sz w:val="20"/>
                <w:szCs w:val="20"/>
                <w:color w:val="auto"/>
              </w:rPr>
            </w:pPr>
            <w:r>
              <w:rPr>
                <w:rFonts w:ascii="Arial" w:cs="Arial" w:eastAsia="Arial" w:hAnsi="Arial"/>
                <w:sz w:val="14"/>
                <w:szCs w:val="14"/>
                <w:b w:val="1"/>
                <w:bCs w:val="1"/>
                <w:color w:val="auto"/>
                <w:w w:val="96"/>
              </w:rPr>
              <w:t>Year Ended</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800" w:type="dxa"/>
            <w:vAlign w:val="bottom"/>
          </w:tcPr>
          <w:p>
            <w:pPr>
              <w:spacing w:after="0"/>
              <w:rPr>
                <w:sz w:val="10"/>
                <w:szCs w:val="10"/>
                <w:color w:val="auto"/>
              </w:rPr>
            </w:pPr>
          </w:p>
        </w:tc>
        <w:tc>
          <w:tcPr>
            <w:tcW w:w="1860" w:type="dxa"/>
            <w:vAlign w:val="bottom"/>
            <w:gridSpan w:val="2"/>
          </w:tcPr>
          <w:p>
            <w:pPr>
              <w:jc w:val="right"/>
              <w:ind w:right="10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880" w:type="dxa"/>
            <w:vAlign w:val="bottom"/>
            <w:gridSpan w:val="2"/>
          </w:tcPr>
          <w:p>
            <w:pPr>
              <w:jc w:val="center"/>
              <w:ind w:right="10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35.0%</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Non-deductible impairment of goodwill</w:t>
            </w:r>
          </w:p>
        </w:tc>
        <w:tc>
          <w:tcPr>
            <w:tcW w:w="186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 benefits)</w:t>
            </w:r>
          </w:p>
        </w:tc>
        <w:tc>
          <w:tcPr>
            <w:tcW w:w="18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0.6</w:t>
            </w:r>
          </w:p>
        </w:tc>
        <w:tc>
          <w:tcPr>
            <w:tcW w:w="18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(2.1)</w:t>
            </w:r>
          </w:p>
        </w:tc>
        <w:tc>
          <w:tcPr>
            <w:tcW w:w="1880" w:type="dxa"/>
            <w:vAlign w:val="bottom"/>
            <w:gridSpan w:val="2"/>
          </w:tcPr>
          <w:p>
            <w:pPr>
              <w:jc w:val="right"/>
              <w:ind w:right="98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Domestic production activities deduction</w:t>
            </w:r>
          </w:p>
        </w:tc>
        <w:tc>
          <w:tcPr>
            <w:tcW w:w="18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1.9</w:t>
            </w:r>
          </w:p>
        </w:tc>
        <w:tc>
          <w:tcPr>
            <w:tcW w:w="18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Acquisition related</w:t>
            </w: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(2.0)</w:t>
            </w:r>
          </w:p>
        </w:tc>
        <w:tc>
          <w:tcPr>
            <w:tcW w:w="18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(1.7)</w:t>
            </w:r>
          </w:p>
        </w:tc>
        <w:tc>
          <w:tcPr>
            <w:tcW w:w="18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UK interest deduction</w:t>
            </w:r>
          </w:p>
        </w:tc>
        <w:tc>
          <w:tcPr>
            <w:tcW w:w="1860" w:type="dxa"/>
            <w:vAlign w:val="bottom"/>
            <w:gridSpan w:val="2"/>
          </w:tcPr>
          <w:p>
            <w:pPr>
              <w:jc w:val="right"/>
              <w:ind w:right="1020"/>
              <w:spacing w:after="0"/>
              <w:rPr>
                <w:sz w:val="20"/>
                <w:szCs w:val="20"/>
                <w:color w:val="auto"/>
              </w:rPr>
            </w:pPr>
            <w:r>
              <w:rPr>
                <w:rFonts w:ascii="Arial" w:cs="Arial" w:eastAsia="Arial" w:hAnsi="Arial"/>
                <w:sz w:val="18"/>
                <w:szCs w:val="18"/>
                <w:color w:val="auto"/>
              </w:rPr>
              <w:t>4.9</w:t>
            </w: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2.5</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(2.0)</w:t>
            </w:r>
          </w:p>
        </w:tc>
        <w:tc>
          <w:tcPr>
            <w:tcW w:w="18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differences</w:t>
            </w: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(3.5)</w:t>
            </w: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3.8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r>
      <w:tr>
        <w:trPr>
          <w:trHeight w:val="27"/>
        </w:trPr>
        <w:tc>
          <w:tcPr>
            <w:tcW w:w="4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31.1%</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44.6%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0"/>
        </w:trPr>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Company’s effective rate for 2014 differs from the statutory rate primarily due to differences in the foreign tax rates when compared to the statutory rate, changes in valuation allowances relating to certain foreign jurisdictions and uncertain tax positions. The Company’s effective benefit rate for 2013 differs from the statutory rate primarily due to state taxes. Other items impacting the Company’s effective benefit rate relate primarily to deductible interest expense in the U.K., and adjustments resulting from the filing of the income tax returns.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180"/>
          </w:cols>
          <w:pgMar w:left="240" w:top="459" w:right="47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of assets and liabilities and their respective tax bases using enacted tax rates in effect for the year in which the differences are expected to be reversed. Significant deferred tax assets and liabilities consist of the following (in thousands):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120" w:type="dxa"/>
            <w:vAlign w:val="bottom"/>
            <w:gridSpan w:val="4"/>
          </w:tcPr>
          <w:p>
            <w:pPr>
              <w:ind w:left="188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Accrual and reserves</w:t>
            </w:r>
          </w:p>
        </w:tc>
        <w:tc>
          <w:tcPr>
            <w:tcW w:w="202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2,661</w:t>
            </w:r>
          </w:p>
        </w:tc>
        <w:tc>
          <w:tcPr>
            <w:tcW w:w="40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costs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Acquisition related</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9,738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20" w:type="dxa"/>
            <w:vAlign w:val="bottom"/>
            <w:shd w:val="clear" w:color="auto" w:fill="CCEEFF"/>
          </w:tcPr>
          <w:p>
            <w:pPr>
              <w:spacing w:after="0"/>
              <w:rPr>
                <w:sz w:val="18"/>
                <w:szCs w:val="18"/>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and intangible assets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(151,616)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(93,388)</w:t>
            </w: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Section 481(a) adjustments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(151,876)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(93,388)</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8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(135,275)</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(86,055)</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deferred tax assets and liabilities are included in the balance sheets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 (included in other current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(140,726)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(135,275)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periodically reviews its deferred tax assets for recoverability. A valuation allowance is established when the Company believes that it is more likely than not that some portion or all of its deferred tax assets will not be realized. As of December 31, 2014, the Company had aggregate foreign net operating losses of approximately $15.1 million, which is comprised of losses of $13.3 million, $1.7 million and $0.1 million in the United Kingdom, China and other foreign jurisdictions, respectively. Losses in the United Kingdom are subject to an indefinite carryforward period; however, due to limitations on the ability to utilize such losses to offset income from only certain members of the United Kingdom group, a full valuation allowance has been provided on such losses. Losses in China have a five year carryforward period and also carry a full valuation allowance.</w:t>
      </w:r>
    </w:p>
    <w:p>
      <w:pPr>
        <w:spacing w:after="0" w:line="178"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In connection with Acquisition, Clorox has agreed to indemnify the Company for any taxes and interest associated with the periods prior to November 4, 2010.</w:t>
      </w:r>
    </w:p>
    <w:p>
      <w:pPr>
        <w:spacing w:after="0" w:line="17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Company recognizes interest and penalties related to uncertain tax positions as a component of income tax expense. As of December 31, 2014 and December 31, 2013, the total balance of accrued interest and penalties related to uncertain tax positions was $0.3 million and $0.1 million,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420"/>
          </w:cols>
          <w:pgMar w:left="240" w:top="459" w:right="23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2014</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beginning and ending amounts of the Company’s gross unrecognized tax benefits (in thousands):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benefits—beginning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Gross increases—tax positions in prior periods</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275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625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increase—current period tax positions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Reversal of accrual for prior year tax positions</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Statute of limitations lapse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of December 31, 2014 and December 31, 2013, the total amount of unrecognized tax benefits was $2.3 million, and $0.9 million, respectively, which would affect the effective tax rate, if recognized. Of the 2014 and 2013 balances above, $0.3 million and $0.2 million, respectively, relates to periods which were included within Clorox tax returns. An offsetting receivable has been recorded in other assets for the Clorox indemnity as of December 31, 2014 and 2013. As of December 31, 2014, the Company had an uncertain tax position of $1.2 million which was offset against a corresponding net operating loss in accordance with ASU 2013-11.</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subject to exam by the U.S. federal, state, and foreign tax authorities on its filings since 2011. During 2013, the U.S. federal tax return filed by the Company for 2010 was examined by the IRS, and resulted in no change.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twelve months succeeding December 31, 2014, the Company expects total unrecognized tax benefits to change by $0.1 million due to the lapse of statute of limitations on a portion of the unrecognized tax benefit indemnified by Clorox. Audit outcomes and the timing of audit settlements are subject to significant uncertainty.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provides for U.S. income taxes on the earnings of foreign subsidiaries unless the earnings are considered indefinitely invested outside of the U.S. No provision has been made for U.S. income taxes or foreign withholding taxes on $0.8 million of cumulative unremitted earnings of certain foreign subsidiaries as of December 31, 2014 due to the Company’s existing tax structure, existing tax law and the Company’s intention to indefinitely reinvest these earnings outside of the U.S. The Company determined that the calculation of the amount of unrecognized deferred tax liability related to these cumulative unremitted earnings was not practicable. If these earnings were distributed to the Company’s U.S. entity, the Company would be subject to additional U.S. income taxes and foreign withholding taxes would be reduced by available foreign tax credits.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360"/>
          </w:cols>
          <w:pgMar w:left="240" w:top="459" w:right="29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December 31,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16—Retirement Income and Health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established a defined contribution plan in the United States for the Company’s employees that contain two components, a 401(k) component and a profit-sharing component, which qualifies as a tax deferred savings plan under Section 401(k) of the IRC (“The Plan”). Eligible U.S. employees may contribute a percentage of their pre-tax compensation, subject to certain IRC limitations. The Plan provides for employer matching contributions to be made up to $1,000 per year and profit sharing contributions at the discretion of the Board of Directors. The Company’s aggregate cost of the defined contribution plans was (in thousands):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Year Ended</w:t>
      </w:r>
    </w:p>
    <w:p>
      <w:pPr>
        <w:spacing w:after="0" w:line="24" w:lineRule="exact"/>
        <w:rPr>
          <w:sz w:val="20"/>
          <w:szCs w:val="20"/>
          <w:color w:val="auto"/>
        </w:rPr>
      </w:pPr>
    </w:p>
    <w:tbl>
      <w:tblPr>
        <w:tblLayout w:type="fixed"/>
        <w:tblInd w:w="2520" w:type="dxa"/>
        <w:tblCellMar>
          <w:top w:w="0" w:type="dxa"/>
          <w:left w:w="0" w:type="dxa"/>
          <w:bottom w:w="0" w:type="dxa"/>
          <w:right w:w="0" w:type="dxa"/>
        </w:tblCellMar>
      </w:tblPr>
      <w:tr>
        <w:trPr>
          <w:trHeight w:val="119"/>
        </w:trPr>
        <w:tc>
          <w:tcPr>
            <w:tcW w:w="2220" w:type="dxa"/>
            <w:vAlign w:val="bottom"/>
            <w:tcBorders>
              <w:top w:val="single" w:sz="8" w:color="auto"/>
            </w:tcBorders>
            <w:gridSpan w:val="2"/>
          </w:tcPr>
          <w:p>
            <w:pPr>
              <w:ind w:left="660"/>
              <w:spacing w:after="0" w:line="119" w:lineRule="exact"/>
              <w:rPr>
                <w:sz w:val="20"/>
                <w:szCs w:val="20"/>
                <w:color w:val="auto"/>
              </w:rPr>
            </w:pPr>
            <w:r>
              <w:rPr>
                <w:rFonts w:ascii="Arial" w:cs="Arial" w:eastAsia="Arial" w:hAnsi="Arial"/>
                <w:sz w:val="13"/>
                <w:szCs w:val="13"/>
                <w:b w:val="1"/>
                <w:bCs w:val="1"/>
                <w:color w:val="auto"/>
              </w:rPr>
              <w:t>December 31,</w:t>
            </w:r>
          </w:p>
        </w:tc>
        <w:tc>
          <w:tcPr>
            <w:tcW w:w="2120" w:type="dxa"/>
            <w:vAlign w:val="bottom"/>
            <w:tcBorders>
              <w:top w:val="single" w:sz="8" w:color="auto"/>
            </w:tcBorders>
            <w:gridSpan w:val="2"/>
          </w:tcPr>
          <w:p>
            <w:pPr>
              <w:ind w:left="540"/>
              <w:spacing w:after="0" w:line="119" w:lineRule="exact"/>
              <w:rPr>
                <w:sz w:val="20"/>
                <w:szCs w:val="20"/>
                <w:color w:val="auto"/>
              </w:rPr>
            </w:pPr>
            <w:r>
              <w:rPr>
                <w:rFonts w:ascii="Arial" w:cs="Arial" w:eastAsia="Arial" w:hAnsi="Arial"/>
                <w:sz w:val="13"/>
                <w:szCs w:val="13"/>
                <w:b w:val="1"/>
                <w:bCs w:val="1"/>
                <w:color w:val="auto"/>
              </w:rPr>
              <w:t>December 31,</w:t>
            </w:r>
          </w:p>
        </w:tc>
        <w:tc>
          <w:tcPr>
            <w:tcW w:w="2040" w:type="dxa"/>
            <w:vAlign w:val="bottom"/>
            <w:tcBorders>
              <w:top w:val="single" w:sz="8" w:color="auto"/>
            </w:tcBorders>
          </w:tcPr>
          <w:p>
            <w:pPr>
              <w:ind w:left="620"/>
              <w:spacing w:after="0" w:line="119" w:lineRule="exact"/>
              <w:rPr>
                <w:sz w:val="20"/>
                <w:szCs w:val="20"/>
                <w:color w:val="auto"/>
              </w:rPr>
            </w:pPr>
            <w:r>
              <w:rPr>
                <w:rFonts w:ascii="Arial" w:cs="Arial" w:eastAsia="Arial" w:hAnsi="Arial"/>
                <w:sz w:val="13"/>
                <w:szCs w:val="13"/>
                <w:b w:val="1"/>
                <w:bCs w:val="1"/>
                <w:color w:val="auto"/>
              </w:rPr>
              <w:t>December 31,</w:t>
            </w:r>
          </w:p>
        </w:tc>
      </w:tr>
      <w:tr>
        <w:trPr>
          <w:trHeight w:val="185"/>
        </w:trPr>
        <w:tc>
          <w:tcPr>
            <w:tcW w:w="216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84"/>
              <w:spacing w:after="0"/>
              <w:rPr>
                <w:sz w:val="20"/>
                <w:szCs w:val="20"/>
                <w:color w:val="auto"/>
              </w:rPr>
            </w:pPr>
            <w:r>
              <w:rPr>
                <w:rFonts w:ascii="Arial" w:cs="Arial" w:eastAsia="Arial" w:hAnsi="Arial"/>
                <w:sz w:val="14"/>
                <w:szCs w:val="14"/>
                <w:b w:val="1"/>
                <w:bCs w:val="1"/>
                <w:color w:val="auto"/>
              </w:rPr>
              <w:t>2012</w:t>
            </w:r>
          </w:p>
        </w:tc>
      </w:tr>
      <w:tr>
        <w:trPr>
          <w:trHeight w:val="210"/>
        </w:trPr>
        <w:tc>
          <w:tcPr>
            <w:tcW w:w="2160" w:type="dxa"/>
            <w:vAlign w:val="bottom"/>
            <w:shd w:val="clear" w:color="auto" w:fill="CCEEFF"/>
          </w:tcPr>
          <w:p>
            <w:pPr>
              <w:jc w:val="right"/>
              <w:ind w:right="824"/>
              <w:spacing w:after="0"/>
              <w:rPr>
                <w:sz w:val="20"/>
                <w:szCs w:val="20"/>
                <w:color w:val="auto"/>
              </w:rPr>
            </w:pPr>
            <w:r>
              <w:rPr>
                <w:rFonts w:ascii="Arial" w:cs="Arial" w:eastAsia="Arial" w:hAnsi="Arial"/>
                <w:sz w:val="18"/>
                <w:szCs w:val="18"/>
                <w:color w:val="auto"/>
              </w:rPr>
              <w:t>$420</w:t>
            </w:r>
          </w:p>
        </w:tc>
        <w:tc>
          <w:tcPr>
            <w:tcW w:w="6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724"/>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684"/>
              <w:spacing w:after="0"/>
              <w:rPr>
                <w:sz w:val="20"/>
                <w:szCs w:val="20"/>
                <w:color w:val="auto"/>
              </w:rPr>
            </w:pPr>
            <w:r>
              <w:rPr>
                <w:rFonts w:ascii="Arial" w:cs="Arial" w:eastAsia="Arial" w:hAnsi="Arial"/>
                <w:sz w:val="18"/>
                <w:szCs w:val="18"/>
                <w:color w:val="auto"/>
              </w:rPr>
              <w:t>$1,622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 Pension Fund Withdrawal Liability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June 30, 2000, IDQ Operating, under its former management, withdrew from the Local 29 RWDSU Pension Fund (EIN #13-2669167) and, as a result, affected a complete withdrawal from the fund, within the meaning of Section 4203(a) of the Employee Retirement Income Security Act of 1974. Consequently, the Company is subject to the payment of a withdrawal liability to the fund. Beginning on April 1, 2001, this liability is payable on a quarterly basis in the amount of $12,509, including interest. The annual amount contributed to the plan by the Company and charged to expense in 2014 was $37,459.</w:t>
      </w:r>
    </w:p>
    <w:p>
      <w:pPr>
        <w:spacing w:after="0" w:line="15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Company contribution to the plan was approximately 12.5% of total contributions of approximately $0.4 million, made by employers and the Pension Benefit Guaranty Corp. Based on the latest information available, the plan’s actuarial present value of accumulated plan benefits is approximately $3.3 million. At December 31, 2014, this liability included in other liabilities amounted to $0.7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has evaluated events from the balance sheet date through April 17, 2015, the date at which the financial statements were available to be issued, and determined that there are no other items to disclose.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320"/>
          </w:cols>
          <w:pgMar w:left="240" w:top="459" w:right="33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Armored AutoGroup Parent,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42,550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116,873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60,784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24"/>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239,782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29,855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519,804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466,610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1,258,022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1,236,550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246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Current liabilities</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30,488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64,291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 less discount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4"/>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97,779</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premium, discount and current portion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810,867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137,572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140,726</w:t>
            </w:r>
          </w:p>
        </w:tc>
        <w:tc>
          <w:tcPr>
            <w:tcW w:w="0" w:type="dxa"/>
            <w:vAlign w:val="bottom"/>
          </w:tcPr>
          <w:p>
            <w:pPr>
              <w:spacing w:after="0"/>
              <w:rPr>
                <w:sz w:val="1"/>
                <w:szCs w:val="1"/>
                <w:color w:val="auto"/>
              </w:rPr>
            </w:pPr>
          </w:p>
        </w:tc>
      </w:tr>
      <w:tr>
        <w:trPr>
          <w:trHeight w:val="224"/>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1,050,489</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1,021,512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Series A Preferred Stock ($0.01 par value, 150,000 shares authorized, 67,312 issued and outstanding at March 31,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2015 and December 31, 2014)</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340"/>
              <w:spacing w:after="0" w:line="201" w:lineRule="exact"/>
              <w:rPr>
                <w:sz w:val="20"/>
                <w:szCs w:val="20"/>
                <w:color w:val="auto"/>
              </w:rPr>
            </w:pPr>
            <w:r>
              <w:rPr>
                <w:rFonts w:ascii="Arial" w:cs="Arial" w:eastAsia="Arial" w:hAnsi="Arial"/>
                <w:sz w:val="18"/>
                <w:szCs w:val="18"/>
                <w:color w:val="auto"/>
                <w:w w:val="96"/>
              </w:rPr>
              <w:t>Common stock ($0.01 par value, 400,000,000 and 365,000,000 shares authorized, 288,384,891 shares issued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outstanding at March 31, 2015 and December 31, 2014)</w:t>
            </w:r>
          </w:p>
        </w:tc>
        <w:tc>
          <w:tcPr>
            <w:tcW w:w="1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352,693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(122,987)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207,533</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1,258,022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1,236,550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420"/>
          </w:cols>
          <w:pgMar w:left="240" w:top="459" w:right="23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Armored AutoGroup Parent,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$ 119,445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$ 86,268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18"/>
                <w:szCs w:val="18"/>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w w:val="98"/>
              </w:rPr>
              <w:t>68,120</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45,109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51,325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9,696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Advertising costs</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12,334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9,672</w:t>
            </w: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30,994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31,868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20,331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Non-operating expenses: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19,317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(7,958)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(1,892)</w:t>
            </w:r>
          </w:p>
        </w:tc>
        <w:tc>
          <w:tcPr>
            <w:tcW w:w="0" w:type="dxa"/>
            <w:vAlign w:val="bottom"/>
          </w:tcPr>
          <w:p>
            <w:pPr>
              <w:spacing w:after="0"/>
              <w:rPr>
                <w:sz w:val="1"/>
                <w:szCs w:val="1"/>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7,505</w:t>
            </w:r>
          </w:p>
        </w:tc>
        <w:tc>
          <w:tcPr>
            <w:tcW w:w="560" w:type="dxa"/>
            <w:vAlign w:val="bottom"/>
            <w:gridSpan w:val="2"/>
          </w:tcPr>
          <w:p>
            <w:pPr>
              <w:jc w:val="right"/>
              <w:ind w:right="5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420"/>
          </w:cols>
          <w:pgMar w:left="240" w:top="459" w:right="23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Armored AutoGroup Parent,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Three months ended</w:t>
      </w:r>
    </w:p>
    <w:p>
      <w:pPr>
        <w:jc w:val="center"/>
        <w:ind w:left="94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(2,681)</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15,126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12,456</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952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(3,784)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(3,598)</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charges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520" w:type="dxa"/>
            <w:vAlign w:val="bottom"/>
          </w:tcPr>
          <w:p>
            <w:pPr>
              <w:ind w:left="700"/>
              <w:spacing w:after="0"/>
              <w:rPr>
                <w:sz w:val="20"/>
                <w:szCs w:val="20"/>
                <w:color w:val="auto"/>
              </w:rPr>
            </w:pPr>
            <w:r>
              <w:rPr>
                <w:rFonts w:ascii="Arial" w:cs="Arial" w:eastAsia="Arial" w:hAnsi="Arial"/>
                <w:sz w:val="18"/>
                <w:szCs w:val="18"/>
                <w:b w:val="1"/>
                <w:bCs w:val="1"/>
                <w:color w:val="auto"/>
              </w:rPr>
              <w:t>Cash effects of changes, net of acquisition effects in: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(47,094)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(18,550)</w:t>
            </w:r>
          </w:p>
        </w:tc>
      </w:tr>
      <w:tr>
        <w:trPr>
          <w:trHeight w:val="216"/>
        </w:trPr>
        <w:tc>
          <w:tcPr>
            <w:tcW w:w="20" w:type="dxa"/>
            <w:vAlign w:val="bottom"/>
          </w:tcPr>
          <w:p>
            <w:pPr>
              <w:spacing w:after="0"/>
              <w:rPr>
                <w:sz w:val="18"/>
                <w:szCs w:val="18"/>
                <w:color w:val="auto"/>
              </w:rPr>
            </w:pPr>
          </w:p>
        </w:tc>
        <w:tc>
          <w:tcPr>
            <w:tcW w:w="9520" w:type="dxa"/>
            <w:vAlign w:val="bottom"/>
          </w:tcPr>
          <w:p>
            <w:pPr>
              <w:ind w:left="10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2,520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(4,397)</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(1,965)</w:t>
            </w:r>
          </w:p>
        </w:tc>
      </w:tr>
      <w:tr>
        <w:trPr>
          <w:trHeight w:val="216"/>
        </w:trPr>
        <w:tc>
          <w:tcPr>
            <w:tcW w:w="20" w:type="dxa"/>
            <w:vAlign w:val="bottom"/>
          </w:tcPr>
          <w:p>
            <w:pPr>
              <w:spacing w:after="0"/>
              <w:rPr>
                <w:sz w:val="18"/>
                <w:szCs w:val="18"/>
                <w:color w:val="auto"/>
              </w:rPr>
            </w:pPr>
          </w:p>
        </w:tc>
        <w:tc>
          <w:tcPr>
            <w:tcW w:w="9520" w:type="dxa"/>
            <w:vAlign w:val="bottom"/>
          </w:tcPr>
          <w:p>
            <w:pPr>
              <w:ind w:left="10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32,062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21,542</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30"/>
        </w:trPr>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(3,235)</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Acquisition of IDQ Acquisition Corp, net of cash acquired</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(40,234)</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Proceeds from sale of fixed assets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(40,576)</w:t>
            </w:r>
          </w:p>
        </w:tc>
      </w:tr>
      <w:tr>
        <w:trPr>
          <w:trHeight w:val="223"/>
        </w:trPr>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(9,750)</w:t>
            </w: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62,000</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30"/>
        </w:trPr>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23"/>
        </w:trPr>
        <w:tc>
          <w:tcPr>
            <w:tcW w:w="954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(5,398)</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47,948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26,038</w:t>
            </w:r>
          </w:p>
        </w:tc>
      </w:tr>
      <w:tr>
        <w:trPr>
          <w:trHeight w:val="223"/>
        </w:trPr>
        <w:tc>
          <w:tcPr>
            <w:tcW w:w="95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42,550</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disclosures</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4,726</w:t>
            </w: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420"/>
          </w:cols>
          <w:pgMar w:left="240" w:top="459" w:right="23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1—The Company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Armored AutoGroup Parent, Inc. (“Armored AutoGroup”, “AAG” or “the Company”) is a consumer products company consisting of industry leading and highly recognizable brands in the automotive aftermarket appearance products: Armor All</w:t>
      </w:r>
      <w:r>
        <w:rPr>
          <w:rFonts w:ascii="Arial" w:cs="Arial" w:eastAsia="Arial" w:hAnsi="Arial"/>
          <w:sz w:val="15"/>
          <w:szCs w:val="15"/>
          <w:color w:val="auto"/>
        </w:rPr>
        <w:t>®</w:t>
      </w:r>
      <w:r>
        <w:rPr>
          <w:rFonts w:ascii="Arial" w:cs="Arial" w:eastAsia="Arial" w:hAnsi="Arial"/>
          <w:sz w:val="18"/>
          <w:szCs w:val="18"/>
          <w:color w:val="auto"/>
        </w:rPr>
        <w:t>; performance chemicals categories, STP</w:t>
      </w:r>
      <w:r>
        <w:rPr>
          <w:rFonts w:ascii="Arial" w:cs="Arial" w:eastAsia="Arial" w:hAnsi="Arial"/>
          <w:sz w:val="15"/>
          <w:szCs w:val="15"/>
          <w:color w:val="auto"/>
        </w:rPr>
        <w:t>®</w:t>
      </w:r>
      <w:r>
        <w:rPr>
          <w:rFonts w:ascii="Arial" w:cs="Arial" w:eastAsia="Arial" w:hAnsi="Arial"/>
          <w:sz w:val="18"/>
          <w:szCs w:val="18"/>
          <w:color w:val="auto"/>
        </w:rPr>
        <w:t>; and, newly acquired products in the do-it-yourself (DIY) air conditioner recharge and retrofit kits and related products: A/C PRO, Arctic Freeze</w:t>
      </w:r>
      <w:r>
        <w:rPr>
          <w:rFonts w:ascii="Arial" w:cs="Arial" w:eastAsia="Arial" w:hAnsi="Arial"/>
          <w:sz w:val="15"/>
          <w:szCs w:val="15"/>
          <w:color w:val="auto"/>
        </w:rPr>
        <w:t>®</w:t>
      </w:r>
      <w:r>
        <w:rPr>
          <w:rFonts w:ascii="Arial" w:cs="Arial" w:eastAsia="Arial" w:hAnsi="Arial"/>
          <w:sz w:val="18"/>
          <w:szCs w:val="18"/>
          <w:color w:val="auto"/>
        </w:rPr>
        <w:t>, Sub Zero</w:t>
      </w:r>
      <w:r>
        <w:rPr>
          <w:rFonts w:ascii="Arial" w:cs="Arial" w:eastAsia="Arial" w:hAnsi="Arial"/>
          <w:sz w:val="15"/>
          <w:szCs w:val="15"/>
          <w:color w:val="auto"/>
        </w:rPr>
        <w:t>®</w:t>
      </w:r>
      <w:r>
        <w:rPr>
          <w:rFonts w:ascii="Arial" w:cs="Arial" w:eastAsia="Arial" w:hAnsi="Arial"/>
          <w:sz w:val="18"/>
          <w:szCs w:val="18"/>
          <w:color w:val="auto"/>
        </w:rPr>
        <w:t>, and Super Seal</w:t>
      </w:r>
      <w:r>
        <w:rPr>
          <w:rFonts w:ascii="Arial" w:cs="Arial" w:eastAsia="Arial" w:hAnsi="Arial"/>
          <w:sz w:val="15"/>
          <w:szCs w:val="15"/>
          <w:color w:val="auto"/>
        </w:rPr>
        <w:t>®</w:t>
      </w:r>
      <w:r>
        <w:rPr>
          <w:rFonts w:ascii="Arial" w:cs="Arial" w:eastAsia="Arial" w:hAnsi="Arial"/>
          <w:sz w:val="18"/>
          <w:szCs w:val="18"/>
          <w:color w:val="auto"/>
        </w:rPr>
        <w:t xml:space="preserve"> Stop Leak.</w:t>
      </w:r>
    </w:p>
    <w:p>
      <w:pPr>
        <w:spacing w:after="0" w:line="18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On March 17, 2014, the Company and its wholly owned subsidiaries, Armored AutoGroup, Inc. and AAG IDQ Acquisition Corporation, acquired a 100% equity interest in IDQ Acquisition Corp. (“IDQ” or “IDQ Acq. Corp.”). IDQ is a leading manufacturer of do-it-yourself air conditioner recharge and retrofit kits and related products for the automotive aftermarket.</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Armored AutoGroup delivers its products to distributors, resellers and end users (collectively the customers) through its direct operations in the United States, Canada, Mexico, Australia, China and the United Kingdom and distributor relationships in approximately 50 countries. The Armor All and STP brands offer multiple automotive appearance and performance chemicals that can be found in most of the major developed countries around the world. IDQ products are sold in over 25,000 retail stores principally in the United States under the brands A/C PRO, Arctic Freeze</w:t>
      </w:r>
      <w:r>
        <w:rPr>
          <w:rFonts w:ascii="Arial" w:cs="Arial" w:eastAsia="Arial" w:hAnsi="Arial"/>
          <w:sz w:val="15"/>
          <w:szCs w:val="15"/>
          <w:color w:val="auto"/>
        </w:rPr>
        <w:t>®</w:t>
      </w:r>
      <w:r>
        <w:rPr>
          <w:rFonts w:ascii="Arial" w:cs="Arial" w:eastAsia="Arial" w:hAnsi="Arial"/>
          <w:sz w:val="18"/>
          <w:szCs w:val="18"/>
          <w:color w:val="auto"/>
        </w:rPr>
        <w:t>, Sub Zero</w:t>
      </w:r>
      <w:r>
        <w:rPr>
          <w:rFonts w:ascii="Arial" w:cs="Arial" w:eastAsia="Arial" w:hAnsi="Arial"/>
          <w:sz w:val="15"/>
          <w:szCs w:val="15"/>
          <w:color w:val="auto"/>
        </w:rPr>
        <w:t>®</w:t>
      </w:r>
      <w:r>
        <w:rPr>
          <w:rFonts w:ascii="Arial" w:cs="Arial" w:eastAsia="Arial" w:hAnsi="Arial"/>
          <w:sz w:val="18"/>
          <w:szCs w:val="18"/>
          <w:color w:val="auto"/>
        </w:rPr>
        <w:t>, and Super Seal</w:t>
      </w:r>
      <w:r>
        <w:rPr>
          <w:rFonts w:ascii="Arial" w:cs="Arial" w:eastAsia="Arial" w:hAnsi="Arial"/>
          <w:sz w:val="15"/>
          <w:szCs w:val="15"/>
          <w:color w:val="auto"/>
        </w:rPr>
        <w:t>®</w:t>
      </w:r>
      <w:r>
        <w:rPr>
          <w:rFonts w:ascii="Arial" w:cs="Arial" w:eastAsia="Arial" w:hAnsi="Arial"/>
          <w:sz w:val="18"/>
          <w:szCs w:val="18"/>
          <w:color w:val="auto"/>
        </w:rPr>
        <w:t xml:space="preserve"> Stop Leak.</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September 2010, Viking Acquisition Inc., an entity owned by affiliates of Avista Capital Holdings, L.P. (“Avista”), entered into an agreement to acquire the AutoCare Products Business, Armor All, STP and certain other brands from Clorox pursuant to the terms of a Purchase and Sale Agreement dated September 21, 2010 (the “Acquisition”). The Acquisition closed on November 5, 2010 and included employees in the United States and other countries dedicated to the Company, related product patent and developed technology and certain other assets, including the manufacturing facilities located in Painesville, Ohio and Wales, U.K. Viking Acquisition Inc. was subsequently renamed as Armored AutoGroup Inc. (“AAG Inc.”). The Company indirectly owns 91.3% of AAG Inc.’s issued and outstanding capital stock through its direct subsidiary and AAG Inc.’s direct parent, Armored AutoGroup Intermediate Inc. (“Intermediate”). The Company granted a 7.1% stake in the common equity of the Company to Kinderhook Industries on March 17, 2014, as a component of the consideration for the sale of its ownership interest in IDQ to the Company. In addition, members of IDQ’s management acquired an additional 1.6% common equity interest as a component of the consideration for the sale of their ownership interest in IDQ.</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References to “Armored AutoGroup” or the “Company” herein, refer collectively to Armored AutoGroup Parent, Inc., as well as all of its consolidated subsidiaries, unless otherwise specified.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interim condensed consolidated financial statements have been prepared in accordance with accounting principles generally accepted in the United States (“U.S. GAAP”). The Company’s fiscal year end is December 31. The accompanying consolidated financial statements include the accounts of the Company and its wholly owned subsidiaries. All significant intercompany accounts and transactions have been eliminated.</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Company’s appearance and air conditioner products sales are seasonal and can be impacted by weather. Sales are typically higher in the first half of the calendar year as the Company’s customers purchase inventory for the spring and summer seasons when weather is warmer than in the northern hemisphere in the fall and winter months. This pattern is largely reflective of our customers’ seasonal purchasing patterns, as well as the timing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1420"/>
          </w:cols>
          <w:pgMar w:left="240" w:top="460" w:right="23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3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promotional activities. Weather can also influence consumer behavior, especially for appearance and air conditioner products. Both product lines sell best during warm and dry weather, and less if weather is cold and wet. For these reasons, among others, the Company’s results for any quarter are not necessarily indicative of future quarterly results and, accordingly, period-to-period comparisons should not be relied upon as an indication of future performance. The Company builds moderate levels of working capital and inventory in advance of and during the peak selling season. Working capital is also impacted by increases in accounts receivable, which increase significantly during the peak selling period and are typically lowest in the fourth quarter of the year.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Local currencies are the functional currencies for substantially all of the Company’s foreign operations, with the exception of the Company’s United Kingdom (“U.K.”) operation, whose functional currency was the U.S. dollar, during 2014 and prior. Subsequently, in early 2015 the Company’s U.K. entity switched their functional currency from the U.S. dollar to the British Pound sterling. An entity’s functional currency is the currency of the primary economic environment in which the entity operates. Management determined in early 2015 that due to a change in the manner in which the U. K. entity operates, that a switch in the functional currency to the British Pound sterling from the U. S. dollar was necessary.</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When the transactional currency is different than the functional currency, transaction gains and losses are included as a component of other expense, net in the consolidated statement of comprehensive loss. Assets and liabilities of foreign operations are translated into U.S. dollars using the exchange rates in effect at the respective balance sheet reporting date. Income and expenses are translated at the average exchange rate during the period. Gains and losses on foreign currency translations are reported as a component of accumulated other comprehensive loss. Deferred taxes are not provided on cumulative translation adjustments as the Company expects earnings of its foreign subsidiary to be indefinitely reinvested.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accounts for acquired businesses using the purchase method of accounting. Under the purchase method, the Company’s consolidated financial statements include the operations of an acquired business from the date of acquisition. In addition, the assets acquired and liabilities assumed are recorded at the date of acquisition at their respective estimated fair values, with any excess of the purchase price over the estimated fair values of the net assets acquired recorded as goodwill.</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Determining the fair value of certain assets and liabilities acquired is judgmental in nature and often involves the use of significant estimates and assumptions. The Company typically uses an income method to estimate the fair value of intangible assets, which is based on forecasts of the expected future cash flows attributable to the respective assets. Significant estimates and assumptions inherent in the valuations reflect a consideration of other marketplace participants and include the amount and timing of future cash flows, the underlying product life cycles, the economic barriers to entry and the discount rate applied to the cash flows. Actual results may differ from our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 Lived Intangible Assets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Amortization of intangible assets with finite lives (patents, customer relationships and licensing arrangements) is recognized over estimated useful lives ranging from 5 to 16 years, which the Company believes reasonably represents the time period in which the economic benefits of the intangible assets are consumed or otherwise realized. The Company has experienced a negligible attrition rate in its customer base, and is not able to identify a reliable pattern of attrition and, as such, is utilizing the straight-line amortization method to amortize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1420"/>
          </w:cols>
          <w:pgMar w:left="240" w:top="459" w:right="23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3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customer relationship intangible assets. Finite lived intangible assets are reviewed for possible impairment whenever events or changes in circumstances occur that indicate that the carrying amount of an asset may not be recoverable. There have been no instances of impairment identified.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 Lived Intangible Assets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tests its trademarks and brand names with indefinite lives for impairment annually as of the first day of the fourth quarter, unless there are indications during an interim period that these assets are more likely than not to have become impaired. For trademarks and brand names with indefinite lives, impairment occurs when the carrying amount of an asset is greater than its estimated fair value. An impairment charge is recorded for the difference between the carrying amount and the fair value. The Company uses an income approach, the relief-from-royalty method, to estimate the fair value of its trademarks and trade names with indefinite lives. This method assumes that, in lieu of ownership, a third party would be willing to pay a royalty in order to obtain the rights to use the comparable asset. The determination of the fair values of trademarks and brand name assets with indefinite lives requires significant judgments in determining both the assets’ estimated cash flows as well as the appropriate discount and royalty rates applied to those cash flows to determine fair value. Changes in such estimates or the application of alternative assumptions could produce different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tests its goodwill for impairment annually as of the first day of the fourth quarter unless there are indications during an interim period that these assets are more likely than not to have become impaired. The Company has four geographical reporting units under the AAG Inc. entity and one reporting unit under the IDQ entity. The first step of the goodwill impairment test is to compare the fair value of each reporting unit to its carrying amount to determine if there is potential impairment. If the fair value of the reporting unit is less than its carrying value, the second step of the goodwill impairment test is performed to measure the amount of impairment loss.</w:t>
      </w:r>
    </w:p>
    <w:p>
      <w:pPr>
        <w:spacing w:after="0" w:line="188"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The second step of the goodwill impairment test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at the date of the evaluation and the fair value was the purchase price paid to acquire the reporting unit.</w:t>
      </w:r>
    </w:p>
    <w:p>
      <w:pPr>
        <w:spacing w:after="0" w:line="193"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Company estimates the fair value of reporting units using a weighting of fair values derived from an income approach and a market approach. Determining the fair value of a reporting unit under the first step of the goodwill impairment test and determining the fair value of individual assets and liabilities of a reporting unit (including unrecognized intangible assets) under the second step of the goodwill impairment test is inherently subjective in nature and often involves the use of significant estimates and assumptions based on known facts and circumstances at the time the Company performs the valuation. The use of different assumptions, inputs and judgments or changes in circumstances could materially affect the results of the valuation and could have a significant impact on whether or not an impairment charge is recognized and the magnitude of any such charge.</w:t>
      </w:r>
    </w:p>
    <w:p>
      <w:pPr>
        <w:spacing w:after="0" w:line="16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—To determine fair value, the Company uses a DCF approach for each of the reporting units. Under this approach,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the future cash flows of each reporting unit and discounts these cash flows at a rate of return that reflects their relative risk. The cash flows used in the DCF are consistent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F-113</w:t>
      </w:r>
    </w:p>
    <w:p>
      <w:pPr>
        <w:sectPr>
          <w:pgSz w:w="11900" w:h="16838" w:orient="portrait"/>
          <w:cols w:equalWidth="0" w:num="1">
            <w:col w:w="11320"/>
          </w:cols>
          <w:pgMar w:left="240" w:top="459" w:right="33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23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with the Company’s long-range forecasts, and give consideration to historic and projected long-term business trends and strategies. The other key estimates and factors used in the DCF include, but are not limited to, discount rates, future sales volumes, revenue and expense growth rates, changes in working capital, capital expenditure forecasts, foreign exchange rates, currency devaluation, inflation, and a perpetuity growth rate.</w:t>
      </w:r>
    </w:p>
    <w:p>
      <w:pPr>
        <w:spacing w:after="0" w:line="166"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i w:val="1"/>
          <w:iCs w:val="1"/>
          <w:color w:val="auto"/>
        </w:rPr>
        <w:t>Market approach</w:t>
      </w:r>
      <w:r>
        <w:rPr>
          <w:rFonts w:ascii="Arial" w:cs="Arial" w:eastAsia="Arial" w:hAnsi="Arial"/>
          <w:sz w:val="17"/>
          <w:szCs w:val="17"/>
          <w:color w:val="auto"/>
        </w:rPr>
        <w:t>—The Company uses the guideline public company method to select reasonably similar/guideline publicly traded companies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Company’s reporting units. Using the guideline public company method, the Company calculates earnings before interest, taxes, depreciation and amortization (“EBITDA”) multiples for each of the public companies using both historical and forecasted EBITDA figures. By applying these multiples to the appropriate historical and forecasted EBITDA figures for each reporting unit, fair value estimates are calculated.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March 31, 2015, goodwill decreased by $3.6 million due to currency translation.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Sales are recognized when title to the product, ownership and risk of loss transfer to the customer, which can be on the date of shipment or the date of receipt by the customer and when all of the following have occurred: a firm sales arrangement exists, pricing is fixed and determinable, and collection is reasonably assured. Revenue includes shipping and handling costs, which generally are included in the list price to the customer. Taxes collected from customers and remitted to governmental authorities are not included in sales. A provision for payment discounts and product return allowances is recorded as a reduction of sales in the same period that the revenue is recognized.</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routinely commits to on-going and one-time trade promotion programs with customers, consisting primarily of customer pricing allowances, merchandising funds and consumer coupons offered through various programs to customers and consumers. Accruals for expected payouts under these programs are included as accrued marketing and promotion in the accrued expenses and other liabilities line item in the consolidated balance sheets and are recorded as a reduction of sales in the consolidated statements of comprehensive loss.</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Amounts received by the Company from the licensing of certain trademarks are recorded as deferred revenue on the Consolidated Balance Sheets and are recognized in net sales on a straight-line basis over the term of the licensing agreement when the underlying royalties are earned.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Cost of products sold is primarily comprised of direct materials and supplies consumed in the manufacturing of product, as well as manufacturing labor, depreciation expense, direct overhead expense necessary to acquire and convert the purchased materials and supplies into finished product, contract manufacturing costs, and provisions for inventory losses (including losses relating to excess and obsolete inventory). Cost of products sold also includes the cost to distribute products to customers, inbound freight costs, internal transfer costs, warehousing costs and other shipping and handling activity, as well as costs associated with developing and designing new packaging.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uses the asset and liability method to account for income taxes. For purposes of the unaudited interim condensed consolidated financial statements, the Company calculates tax with reference to the anticipated effective tax rate for the annual financial period. Deferred tax assets and liabilities are recognized 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1420"/>
          </w:cols>
          <w:pgMar w:left="240" w:top="459" w:right="23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(UNAUDITED)</w:t>
      </w:r>
    </w:p>
    <w:p>
      <w:pPr>
        <w:spacing w:after="0" w:line="238"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anticipated future tax consequences attributable to the differences between the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or all of its deferred tax assets will not be realized. Changes in valuation allowances from period to period are included in the Company’s tax provision in the period of change. In addition to valuation allowances, the Company provides for uncertain tax positions when such tax positions do not meet the recognition thresholds or measurement standards prescribed by accounting guidance on the accounting for uncertainty in income taxes. Amounts for uncertain tax positions are adjusted when new information becomes available or when positions are effectively settled.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2015 and December 31, 2014, the Company has $5.0 million of goodwill, which is expected to be deductible for tax purposes.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Certain reclassifications have been made to conform the prior period data to the current presentation. These reclassifications had no effect on reported net loss or comprehensive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April 2015, the Financial Accounting Standards Board (“FASB”) issued Accounting Standards Update (“ASU”) ASU No. 2015-03</w:t>
      </w:r>
      <w:r>
        <w:rPr>
          <w:rFonts w:ascii="Arial" w:cs="Arial" w:eastAsia="Arial" w:hAnsi="Arial"/>
          <w:sz w:val="17"/>
          <w:szCs w:val="17"/>
          <w:i w:val="1"/>
          <w:iCs w:val="1"/>
          <w:color w:val="auto"/>
        </w:rPr>
        <w:t>—</w:t>
      </w:r>
      <w:r>
        <w:rPr>
          <w:rFonts w:ascii="Arial" w:cs="Arial" w:eastAsia="Arial" w:hAnsi="Arial"/>
          <w:sz w:val="17"/>
          <w:szCs w:val="17"/>
          <w:color w:val="auto"/>
        </w:rPr>
        <w:t>Simplifying the Presentation of Debt Issuance Costs, which requires that debt issuance costs be presented in the balance sheet as a direct deduction from the carrying amount of the debt liability to which they relate, consistent with debt discounts, as opposed to being presented as assets. The ASU is effective for interim and annual reporting periods in fiscal years that begin after December 15, 2015 and requires retrospective application. The adoption of this update on January 1, 2016 is not expected to have a material impact on our consolidated financial statements. As of March 31, 2015 and December 31, 2014, the unamortized deferred financing costs recorded on the Company’s balance sheets were $3.2 million and $3.6 million, respectively.</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February 2015, the FASB issued ASU 2015-02, “Consolidation (Topic 10): Amendments to the Consolidation Analysis” (“ASU 2015-02”). The ASU provides guidance on the consolidation evaluation for reporting organizations that are required to evaluate whether they should consolidate certain legal entities. In accordance with ASU 2015-02, all legal entities are subject to reevaluation under the revised consolidation model. ASU 2015-02 will be effective for the Company in its first quarter of fiscal 2016. The Company is currently evaluating the impact of the pending adoption of the ASU on its consolidated financial statements.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August 2014, the FASB issued ASU No. 2014-15—Disclosure of Uncertainties about an Entity’s Ability to Continue as a Going Concern. The ASU requires management to evaluate whether there are conditions and events that raise substantial doubt about the entity’s ability to continue as a going concern within one year after the financial statements are issued and, if so, to disclose that fact. The ASU requires management to make this evaluation for both the annual and interim reporting periods, if applicable. Management is also required to evaluate and disclose whether its plans alleviate that doubt. The ASU is effective for annual periods ending after December 15, 2016 and interim periods within annual periods beginning after December 15, 2016.</w:t>
      </w:r>
    </w:p>
    <w:p>
      <w:pPr>
        <w:spacing w:after="0" w:line="158"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In May 2014, the FASB issued ASU No. 2014-09, Revenue from Contracts with Customers (Topic 606). The ASU clarifies the principles for recognizing revenue and develops a common revenue standard for U.S. GAAP and International Financial Reporting Standards (“IFRS”) that removes inconsistencies and weaknesses in revenue requirements, provides a more robust framework for addressing revenue issues, improves comparability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380"/>
          </w:cols>
          <w:pgMar w:left="240" w:top="459" w:right="27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(UNAUDITED)</w:t>
      </w:r>
    </w:p>
    <w:p>
      <w:pPr>
        <w:spacing w:after="0" w:line="23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of revenue recognition practices across entities, industries, jurisdictions and capital markets, provides more useful information to users of the financial statements through improved disclosure requirements and simplifies the preparation of financial statements by reducing the number of requirements to which an entity must refer. For nonpublic entities, ASU No. 2014-09 is effective for the annual reporting periods beginning after December 15, 2017, and interim periods within annual periods beginning after December 15, 2018. A nonpublic entity may elect to apply this guidance earlier as follows: (1) an annual reporting period beginning after December 15, 2016, including interim periods within that reporting period, (2) an annual reporting period beginning after December 15, 2016, and interim periods within annual periods beginning after December 15, 2017 (3) an annual reporting period beginning after December 15, 2017, including interim periods within that reporting period. The Company is assessing the impact of the adoption of the ASU on its financial statements, disclosure requirements and methods of adoption.</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1, 2015, the FASB proposed a one-year deferral of the effective date for its new revenue standard for public and nonpublic entities reporting under U.S. GAAP. Under the proposal, the standard would be effective for public entities for annual reporting periods beginning after December 15, 2017 and interim periods therein. Nonpublic entities would be required to adopt the new standard for annual reporting periods beginning after December 15, 2018, and interim periods within annual reporting periods beginning after December 15, 2019.</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proposal also would permit both public and nonpublic entities to adopt the standard as early as the original public entity effective date (i.e., annual reporting periods beginning after December 15, 2016 and interim periods therein). Early adoption prior to that date would not be permitted. The FASB has issued an exposure draft on the proposal and expects to seek public comment with a 30-day comment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2—Acquisition of IDQ Acquisition Corp. and Related-Party Transactions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17, 2014, the Company, in conjunction with its wholly owned subsidiaries, AAG Inc., and AAG IDQ Acquisition Corporation, the Company’s direct wholly-owned subsidiary (“AcquisitionCo”) collectively acquired 100% of the common stock of IDQ Acquisition Corp., pursuant to a Stock Purchase Agreement, dated as of March 17, 2014 (the “AAG Purchase Agreement”), by and among the Company, AAG Inc., AcquisitionCo, IDQ Acq. Corp., the then existing stockholders of IDQ Acq. Corp., and a Contribution Agreement, dated March 17, 2014 (the “Contribution Agreement”), by and among the Company and the then existing stockholders of IDQ Acq. Corp. (“the March 17 Acquisition”) for an aggregate purchase price of $97.1 million. The acquisition did not result in the Company or any of its subsidiaries becoming an obligor of IDQ’s debt instruments and IDQ did not become an obligor of the Company or any of the Company’s other subsidiaries’ debt instruments.</w:t>
      </w:r>
    </w:p>
    <w:p>
      <w:pPr>
        <w:spacing w:after="0" w:line="189"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acquisition of IDQ expands the Company’s consumer product portfolio in the automotive aftermarket industry, as it is a leading manufacturer of do-it-yourself air conditioner recharge and retrofit kits and related products which are sold in over 25,000 retail stores principally in the United States. In accordance with ASC Topic 805, Business Combinations, the change in control was accounted for under the acquisition method of accounting by the Company. As such, the assets and liabilities of IDQ were recorded at their estimated fair value on March 17, 2014.</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AAG Purchase Agreement, immediately prior to the execution of said Agreement, the existing stockholders of IDQ Acq. Corp., pursuant to the Contribution Agreement noted above, collectively contributed 186,541 of their common stock in IDQ to the Company in exchange for common and preferred shares in AAG Parent representing a total estimated fair value of $28.4 million. The remaining 458,177 issued and outstanding shares of common stock of IDQ were purchased from the existing stockholders for a total $70.0</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400"/>
          </w:cols>
          <w:pgMar w:left="240" w:top="460" w:right="25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million. In addition, at the time of the close, IDQ paid $1.3 million in third party professional fees and expenses that were incurred by AAG Inc. in connection with the acquisition, which was recorded as a reduction of the total consideration exchanged.</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IDQ obtained consents for the change in control from its creditors through amendments to the indentures governing the IDQ Holdings $220 million Notes and the IDQ Acq. Corp. $45 million Notes, and an amendment to the IDQ Holdings’ Revolving Credit Facility, in consideration of payments of $0.6 million, $0.7 million and $0.1 million, respectively (See Note 4). In addition, the creditors consented to the payments of acquisition related transaction costs, such as advisory, legal and other professional fees, of up to $8.0 million, of which $5.6 million was expensed and included in general and administrative expenses in the accompanying statements of comprehensive loss for the year ended December 31, 2014.</w:t>
      </w:r>
    </w:p>
    <w:p>
      <w:pPr>
        <w:spacing w:after="0" w:line="173"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During the fourth quarter of 2014, the Company finalized its valuation of the acquisition date fair values of the consideration transferred, and the assets acquired and liabilities assumed. Based on that assessment, management determined that the acquisition resulted in goodwill of $166.6 million, which is attributable to expected synergies and other benefits that will result from combining certain operations of IDQ and AAG Inc.</w:t>
      </w:r>
    </w:p>
    <w:p>
      <w:pPr>
        <w:spacing w:after="0" w:line="16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conjunction with the original Acquisition, the Company entered into a Transition Services Agreement (“TSA”) with Clorox whereby Clorox would provide certain services, equipment and office space to the Company. Additionally under the TSA, the Company provided certain services to Clorox. Related party transactions and activities involving Clorox are not always consummated on terms equivalent to those that would prevail in an arm’s-length transaction where conditions of competitive, free-market dealings may exist. On November 1, 2011, the Company completed the transition of its North American and export operations from Clorox provisioning to standalone operations. The Company completed the transition of certain international operations from Clorox in the second quarter of 2012 and terminated the remaining service components of the TSA.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Avista</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Avista owns approximately 91.3% of the Company. As a result, Avista has the power to elect our board of directors and has the ability to exercise significant influence or control over the Company’s operations.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Company has entered into a monitoring agreement with Avista and affiliates of Avista whereby Avista provides services for a fixed fee of $1.0 million annually to the Company. Selling, general and administrative expenses, including out of pocket expenses related to this monitoring agreement were (in thousands):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98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Avista monitoring agreement fees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connection with the Original Acquisition and the issuance of its long-term debt, the Company paid $4.1 million to Avista and affiliates of Avista for consulting expenses and recorded these as deferred financing costs which are amortized over the term of the debt using the effective interest method. Related amortization expense was (in thousands):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6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364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Avista consulting expenses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365"/>
        </w:trPr>
        <w:tc>
          <w:tcPr>
            <w:tcW w:w="3640" w:type="dxa"/>
            <w:vAlign w:val="bottom"/>
          </w:tcPr>
          <w:p>
            <w:pPr>
              <w:spacing w:after="0"/>
              <w:rPr>
                <w:sz w:val="24"/>
                <w:szCs w:val="24"/>
                <w:color w:val="auto"/>
              </w:rPr>
            </w:pPr>
          </w:p>
        </w:tc>
        <w:tc>
          <w:tcPr>
            <w:tcW w:w="2500" w:type="dxa"/>
            <w:vAlign w:val="bottom"/>
            <w:gridSpan w:val="2"/>
          </w:tcPr>
          <w:p>
            <w:pPr>
              <w:jc w:val="right"/>
              <w:ind w:right="1529"/>
              <w:spacing w:after="0"/>
              <w:rPr>
                <w:sz w:val="20"/>
                <w:szCs w:val="20"/>
                <w:color w:val="auto"/>
              </w:rPr>
            </w:pPr>
            <w:r>
              <w:rPr>
                <w:rFonts w:ascii="Arial" w:cs="Arial" w:eastAsia="Arial" w:hAnsi="Arial"/>
                <w:sz w:val="18"/>
                <w:szCs w:val="18"/>
                <w:color w:val="auto"/>
              </w:rPr>
              <w:t>F-117</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Michael Klein, who serves as the Company’s Chief Executive Officer, is the sole member of Las Colinas Investments, LLC, which is entitled to receive $125,280 per annum from IDQ Operating, Inc., a subsidiary of IDQ Acq. Corp., pursuant to, and subject to the terms and conditions of, the Consulting Agreement, dated as of January 28, 2013, as amended, subject to an aggregate cap of $360,000 following April 1, 2014. Gerard Rooney, who serves as the Company’s Executive Vice President of Operations, is the sole member of Windy Hill Investments LLC, which is entitled to receive $83,250 per annum from IDQ Operating, Inc. pursuant to, and subject to the terms and conditions of, the Consulting Agreement, dated as of January 28, 2013, as amended, subject to an aggregate cap of $240,000 following April 1, 2014. Under the terms of the Board Service and Consulting Agreements, dated as of June 1, 2014 and March 17, 2014, respectively, Ms. Kranc and Mr. Yurko are each entitled to receive $50,000 per annum from the Company for their board service and consulting services. In consideration for services rendered in connection with the IDQ investment, Mr. Yurko received a transaction fee equal to $250,000 per the terms of the consulting agreement. In June 2014, Ms. Kranc was granted 100,000 stock options, per the terms of her consulting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Kinderhook Industries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Under the terms of the IDQ Acquisition, Kinderhook Industries, which formerly owned 88% of IDQ Acq. Corp., received a 7.1% stake in the common equity of the Company, as a component of the consideration for the sale of its ownership interest in IDQ Acq. Corp. Kinderhook had a monitoring agreement whereby Kinderhook provides services for a fixed fee of $1.7 million annually to IDQ Acq. Corp. The agreement was amended in March 2014 to cap future payments to Kinderhook at a total of $5.0 million. Selling, general and administrative expenses, including out of pocket expenses related to this monitoring agreement were $0.3 million during the quarter ended March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Officers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connection with the Acquisition and issuance of the AAG’s long-term debt, the Company incurred costs of $1.8 million for consulting expenses from individuals that later became directors and officers of the Company. Of this amount, $0.4 million was paid to certain directors and officers of the Company and $1.4 million was reinvested in the Company through the purchase of common stock. Of these consulting expenses, $1.3 million was recorded in 2010 with the remaining $0.5 million deferred and amortized over the term of the respective debt using the effective interest method. Related amortization expense was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860" w:type="dxa"/>
            <w:vAlign w:val="bottom"/>
          </w:tcPr>
          <w:p>
            <w:pPr>
              <w:spacing w:after="0"/>
              <w:rPr>
                <w:sz w:val="10"/>
                <w:szCs w:val="10"/>
                <w:color w:val="auto"/>
              </w:rPr>
            </w:pPr>
          </w:p>
        </w:tc>
        <w:tc>
          <w:tcPr>
            <w:tcW w:w="1840" w:type="dxa"/>
            <w:vAlign w:val="bottom"/>
            <w:gridSpan w:val="3"/>
          </w:tcPr>
          <w:p>
            <w:pPr>
              <w:jc w:val="center"/>
              <w:ind w:right="1060"/>
              <w:spacing w:after="0" w:line="119" w:lineRule="exact"/>
              <w:rPr>
                <w:sz w:val="20"/>
                <w:szCs w:val="20"/>
                <w:color w:val="auto"/>
              </w:rPr>
            </w:pPr>
            <w:r>
              <w:rPr>
                <w:rFonts w:ascii="Arial" w:cs="Arial" w:eastAsia="Arial" w:hAnsi="Arial"/>
                <w:sz w:val="13"/>
                <w:szCs w:val="13"/>
                <w:b w:val="1"/>
                <w:bCs w:val="1"/>
                <w:color w:val="auto"/>
              </w:rPr>
              <w:t>March 31,</w:t>
            </w: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6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directors’ and officers’ consulting expenses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engaged Charles McIlvaine, a former Director of the Company, to provide services associated with corporate development and other strategic initiatives on a consulting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420"/>
          </w:cols>
          <w:pgMar w:left="240" w:top="459" w:right="23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20" w:type="dxa"/>
            <w:vAlign w:val="bottom"/>
          </w:tcPr>
          <w:p>
            <w:pPr>
              <w:spacing w:after="0"/>
              <w:rPr>
                <w:sz w:val="14"/>
                <w:szCs w:val="14"/>
                <w:color w:val="auto"/>
              </w:rPr>
            </w:pPr>
          </w:p>
        </w:tc>
        <w:tc>
          <w:tcPr>
            <w:tcW w:w="2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$ 41,807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Work in process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Allowances for obsolescence</w:t>
            </w:r>
          </w:p>
        </w:tc>
        <w:tc>
          <w:tcPr>
            <w:tcW w:w="2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(2,268)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(2,316)</w:t>
            </w:r>
          </w:p>
        </w:tc>
      </w:tr>
      <w:tr>
        <w:trPr>
          <w:trHeight w:val="27"/>
        </w:trPr>
        <w:tc>
          <w:tcPr>
            <w:tcW w:w="4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$ 60,784</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63,305</w:t>
            </w:r>
          </w:p>
        </w:tc>
        <w:tc>
          <w:tcPr>
            <w:tcW w:w="12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 of Assets and Liabilities</w:t>
      </w:r>
    </w:p>
    <w:p>
      <w:pPr>
        <w:spacing w:after="0" w:line="121"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The Company defines fair value as the price that would be received to sell an asset or paid to transfer a liability in an orderly transaction between market participants at the measurement date. The Company established a fair value hierarchy that prioritizes the inputs to valuation techniques used to measure fair value which is intended to increase consistency and comparability and related disclosures. An asset or liability’s classification is based on the lowest level of input that is significant to the fair value measurement and is disclosed in one of the following three categories: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2—Observable market-based inputs or unobservable inputs that are corroborated by market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3—Unobservable inputs reflecting the reporting entity’s own assumptions.</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Company’s financial instruments consist of cash, trade accounts receivable, trade accounts payable and long-term debt. Due to their short-term maturity, the carrying amounts of cash, trade accounts receivable and trade accounts payable approximate their fair market values. The carrying and fair values of the Company’s long-term debt were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 2014</w:t>
            </w:r>
          </w:p>
        </w:tc>
      </w:tr>
      <w:tr>
        <w:trPr>
          <w:trHeight w:val="119"/>
        </w:trPr>
        <w:tc>
          <w:tcPr>
            <w:tcW w:w="752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37"/>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AAG Term Loan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275,273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278,250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275,611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278,303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AAG Senior Notes- 9.75%, due 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269,191</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279,125</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268,858</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273,625</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IDQ Holdings- Senior Secured Notes- 11.5%, due 2017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223,052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224,400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223,390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224,400</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IDQ Acq. Corp.- Senior Secured Notes- 14.0%, due 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46,351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46,800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46,464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46,800</w:t>
            </w:r>
          </w:p>
        </w:tc>
      </w:tr>
    </w:tbl>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fair value of the Term Loan and Senior Notes was determined using broker quotes (Level 2). The broker quotes are determined on an analysis of discounted cash flows together with applicable forward LIBOR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5—Litigation and Other Legal Matters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subject to various lawsuits and claims relating to issues such as contract disputes, product liability, patents and trademarks, advertising, employee and other matters. Although the results of claims and litigation cannot be predicted with certainty, it is the opinion of management that the ultimate disposition of these matters will not have a material adverse effect, individually or in the aggregate, on the Company’s financial position or results of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420"/>
          </w:cols>
          <w:pgMar w:left="240" w:top="459" w:right="23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38"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connection with the Acquisition, Clorox retained liability associated with a potential contract claim and the Company has agreed to indemnify and reimburse Clorox for 50% of the first $5.0 million in costs related to the contract claim. As of March 31, 2015 and December 31, 2014, the Company has accrued a $2.5 million long-term liability related to this contingency, which is included in other liabilities on the consolidated balance sheets.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tax rate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37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March 31,</w:t>
            </w:r>
          </w:p>
        </w:tc>
        <w:tc>
          <w:tcPr>
            <w:tcW w:w="1040" w:type="dxa"/>
            <w:vAlign w:val="bottom"/>
            <w:tcBorders>
              <w:top w:val="single" w:sz="8" w:color="auto"/>
            </w:tcBorders>
            <w:gridSpan w:val="2"/>
          </w:tcPr>
          <w:p>
            <w:pPr>
              <w:jc w:val="center"/>
              <w:ind w:left="313"/>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r>
      <w:tr>
        <w:trPr>
          <w:trHeight w:val="171"/>
        </w:trPr>
        <w:tc>
          <w:tcPr>
            <w:tcW w:w="374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r>
      <w:tr>
        <w:trPr>
          <w:trHeight w:val="20"/>
        </w:trPr>
        <w:tc>
          <w:tcPr>
            <w:tcW w:w="3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The Company’s effective rate for 2015 differs from the statutory rate primarily due to differences in the foreign tax rates when compared to the statutory rate, changes in valuation allowances relating to certain foreign jurisdictions and uncertain tax positions. Other items impacting the Company’s effective benefit rate relate primarily to deductible interest expense in the U.K., and adjustments resulting from the filing of the income tax returns.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7—Subsequent Events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April 28, 2015, AAG Parent entered into an Agreement and Plan of Merger (the “Merger Agreement”) with Spectrum Brands Holdings, Inc. (“Spectrum Brands Holdings”), Ignite Merger Sub, Inc. (“Ignite”), a direct wholly owned subsidiary of Spectrum Brands, Inc., and Avista Capital Partners II GP, LLC, as representative of the stockholders and the optionholders of AAG Parent. Pursuant to the Merger Agreement, on May 20, 2015,Ignite merged with and into AAG Parent and with AAG Parent surviving the merger as a wholly owned subsidiary of Spectrum Brands Holdings, Inc. The merger consideration was approximately $1.4 billion in cash and assumed debt (subject to customary adjustments for cash, debt and net working capital), as well as approximately $56 million of transaction costs. Further, each share of common stock of AAG Parent issued and outstanding immediately prior to the effective time of the Merger was cancelled and converted automatically into the right to receive $1.7696 in cash.</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connection with the closing of the Merger and immediately prior to the effective time of the Merger, each outstanding, unexpired and unexercised option to purchase shares of AAG Parent common stock (each, a “AAG Option”), that was granted under any equity incentive plan of AAG, including the 2010 Equity Incentive Plan (the “2010 Equity Plan”), whether or not then exercisable or vested, was accelerated, vested and cancelled and converted into the right to receive an amount in cash (subject to any applicable withholding taxes) equal to the product of (A) the total number of shares of AAG Parent common stock subject to such AAG Option as of immediately prior to the effective time of the Merger and (B) the excess, if any, of the Per Share Cash Merger Consideration over the exercise price per share (the “Option Price”) of such AAG Option (the “Option Payment”).</w:t>
      </w:r>
    </w:p>
    <w:p>
      <w:pPr>
        <w:spacing w:after="0" w:line="178"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connection with the closing of the Merger and immediately prior to the effective time of the Merger, each issued and outstanding share of AAG Parent Series A preferred stock, was cancelled and converted automatically into the right to receive; (i) $1,000.00 liquidation value for each preferred share issued and outstanding and (ii) $254.58 in accrued and unpaid dividends for each preferred share issued and outstanding at May 20, 2015.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420"/>
          </w:cols>
          <w:pgMar w:left="240" w:top="459" w:right="23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Armored AutoGroup Parent,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Merger on 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closing of the Merger, AAG’s credit agreement was terminated, and paid in full and the balance due of approximately $282 million was paid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of Control Tender Offer</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June 2015, Spectrum redeemed any and all of the outstanding series of the: (i) $275 million of Armored AutoGroup, Inc. 9.25% Senior Notes due November 1, 2018; (ii) the $220 million of IDQ Holdings, Inc. 11.50% Senior Secured Notes due April 1, 2017; and (iii) the $45 million of 14.00% Senior Secured Notes due October 1, 2017. The redemptions were completed in June 2015 and required Spectrum to pay: (i) $1,046.25 per $1,000 principal amount of the Armored AutoGroup, Inc. 9.25% Senior Notes, plus accrued and unpaid interest; (ii) $1,047.50 per $1,000 principal amount of the IDQ Holdings, Inc. 11.50% Senior Secured Notes, plus accrued and unpaid interest; (iii) $1,070.00 per $1,000 principal amount of the IDQ Holdings, Inc. 14.00% Senior Secured Notes, plus accrued and unpaid interest. On June 15, 2015, a payment of $290.8 million, based on a principal amount of $275 million of notes and $12.7 million of accrued interest was paid. On June 22, 2015, a payment of $287.9 million, based on a principal amount of $265 million of notes and $7.1 million of accrued interest was paid.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420"/>
          </w:cols>
          <w:pgMar w:left="240" w:top="460" w:right="239" w:bottom="1440" w:gutter="0" w:footer="0" w:header="0"/>
        </w:sectPr>
      </w:pPr>
    </w:p>
    <w:bookmarkStart w:id="415" w:name="page416"/>
    <w:bookmarkEnd w:id="4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1283335</wp:posOffset>
            </wp:positionV>
            <wp:extent cx="2058035" cy="5746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00"/>
        <w:spacing w:after="0"/>
        <w:rPr>
          <w:sz w:val="20"/>
          <w:szCs w:val="20"/>
          <w:color w:val="auto"/>
        </w:rPr>
      </w:pPr>
      <w:r>
        <w:rPr>
          <w:rFonts w:ascii="Arial" w:cs="Arial" w:eastAsia="Arial" w:hAnsi="Arial"/>
          <w:sz w:val="43"/>
          <w:szCs w:val="43"/>
          <w:b w:val="1"/>
          <w:bCs w:val="1"/>
          <w:color w:val="auto"/>
        </w:rPr>
        <w:t>SPECTRUM BRANDS, INC.</w:t>
      </w:r>
    </w:p>
    <w:p>
      <w:pPr>
        <w:spacing w:after="0" w:line="242"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6.375% Senior Notes due 2020 and Related Guarantees</w:t>
      </w:r>
    </w:p>
    <w:p>
      <w:pPr>
        <w:spacing w:after="0" w:line="152"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6.625% Senior Notes due 2022 and Related Guarantees</w:t>
      </w:r>
    </w:p>
    <w:p>
      <w:pPr>
        <w:spacing w:after="0" w:line="152"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6.125% Senior Notes due 2024 and Related Guarantees</w:t>
      </w:r>
    </w:p>
    <w:p>
      <w:pPr>
        <w:spacing w:after="0" w:line="152"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5.750% Senior Notes due 2025 and Related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4313555</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4364990</wp:posOffset>
            </wp:positionV>
            <wp:extent cx="7246620"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sets forth the various expenses payable in connection with the distribution of the securities being registered hereby. All of such expenses are being borne by Spectrum Brands, Inc.</w:t>
      </w:r>
    </w:p>
    <w:p>
      <w:pPr>
        <w:sectPr>
          <w:pgSz w:w="11900" w:h="16838" w:orient="portrait"/>
          <w:cols w:equalWidth="0" w:num="1">
            <w:col w:w="11400"/>
          </w:cols>
          <w:pgMar w:left="240" w:top="459" w:right="259" w:bottom="1440" w:gutter="0" w:footer="0" w:header="0"/>
        </w:sectPr>
      </w:pPr>
    </w:p>
    <w:p>
      <w:pPr>
        <w:spacing w:after="0" w:line="19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Accounting fees and expenses</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SEC registration fee</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$70,000</w:t>
      </w:r>
    </w:p>
    <w:p>
      <w:pPr>
        <w:spacing w:after="0" w:line="23"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$40,000</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$80,000</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5715</wp:posOffset>
            </wp:positionV>
            <wp:extent cx="58293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29210</wp:posOffset>
            </wp:positionV>
            <wp:extent cx="58293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-153035</wp:posOffset>
            </wp:positionH>
            <wp:positionV relativeFrom="paragraph">
              <wp:posOffset>46355</wp:posOffset>
            </wp:positionV>
            <wp:extent cx="58293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8200" w:space="720"/>
            <w:col w:w="2480"/>
          </w:cols>
          <w:pgMar w:left="240" w:top="459" w:right="259" w:bottom="1440" w:gutter="0" w:footer="0" w:header="0"/>
          <w:type w:val="continuous"/>
        </w:sectPr>
      </w:pPr>
    </w:p>
    <w:p>
      <w:pPr>
        <w:jc w:val="both"/>
        <w:ind w:right="60" w:firstLine="456"/>
        <w:spacing w:after="0" w:line="288" w:lineRule="auto"/>
        <w:rPr>
          <w:sz w:val="20"/>
          <w:szCs w:val="20"/>
          <w:color w:val="auto"/>
        </w:rPr>
      </w:pPr>
      <w:r>
        <w:rPr>
          <w:rFonts w:ascii="Arial" w:cs="Arial" w:eastAsia="Arial" w:hAnsi="Arial"/>
          <w:sz w:val="16"/>
          <w:szCs w:val="16"/>
          <w:color w:val="auto"/>
        </w:rPr>
        <w:t>Delaware law permits a corporation to adopt a provision in its certificate of incorporation eliminating or limiting the personal liability of a director, but not an officer in his or her capacity as such, to the corporation or its stockholders for monetary damages for breach of fiduciary duty as a director, except that such provision shall not eliminate or limit the liability of a director for (1) any breach of the director’s duty of loyalty to the corporation or its stockholders,</w:t>
      </w:r>
    </w:p>
    <w:p>
      <w:pPr>
        <w:jc w:val="both"/>
        <w:ind w:right="20" w:firstLine="8"/>
        <w:spacing w:after="0" w:line="273" w:lineRule="auto"/>
        <w:tabs>
          <w:tab w:leader="none" w:pos="255"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law, (3) liability under section 174 of the Delaware General Corporation Law (the “DGCL”) for unlawful payment of dividends or stock purchases or redemptions or (4) any transaction from which the director derived an improper personal benefit. Our certificate of incorporation provides that, to the fullest extent permitted under the DGCL, none of our directors will be personally liable to us or our stockholders for monetary damages for breach of fiduciary duty as a director.</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Under Section 145 of the DGCL, a corporation may indemnify any person who was or is a party or is threatened to be made a party to any threatened, pending or completed action, suit or proceeding,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or other enterprise, against expenses, including attorneys’ fees, judgments, fines and amounts paid in settlement actually and reasonably incurred in connection with such proceeding if: (1) he or she acted in good faith and in a manner he or she reasonably believed to be in or not opposed to the best interests of the corporation and (2) with respect to any criminal action or proceeding, he or she had no reasonable cause to believe that his or her conduct was unlawful. The termination of any action, suit or proceeding by judgment, order, settlement, conviction, or upon a plea of nolo contendere or its equivalent, shall not, of itself, create a presumption that a person did not act in good faith and in a manner which he or she reasonably believed to be in or not opposed to the best interests of the corporation, and, with respect to any criminal action or proceeding, had reasonable cause to believe that his or her conduct was unlawful. A corporation may indemnify any person who was or is a party or is threatened to be made a party to any threatened, pending or completed action or suit brought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or other enterprise, against expenses, including attorneys’ fees, actually and reasonably incurred in connection with such action or suit if he or she acted in good faith and in a manner he or she reasonably believed to be in or not opposed to the best interests of the corporation, except that no indemnification will be made if the person is found liable to the corporation unless and to the extent that, in such a case, the court determines the person is nonetheless entitled to indemnification for such expenses. A corporation must also indemnify a present or former director or officer who has been successful on the merits or otherwise in defense of any action, suit or proceeding, or in defense of any claim, issue or matter therein, against expenses, including attorneys’ fees, actually and reasonably incurred by him or her. Expenses, including attorneys’ fees, incurred by 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type w:val="continuous"/>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director, officer, employee or agent, in defending civil, criminal administrative or investigative actions, suits or proceedings may be paid by the corporation in advance of the final disposition of such actions, suits or proceedings upon, in the case of a current director or officer, receipt of an undertaking by or on behalf of such director or officer to repay such amount if it shall ultimately be determined that he or she is not entitled to be indemnified by the corporation. Such expenses incurred by former directors or officers may be so paid upon such terms and conditions, if any, as the corporation deems appropriate. The provisions of Section 145 regarding indemnification and the advancement of expenses is not exclusive of any other rights a person may be entitled to under any bylaw, agreement, vote of stockholders or disinterested directors or otherwise.</w:t>
      </w:r>
    </w:p>
    <w:p>
      <w:pPr>
        <w:spacing w:after="0" w:line="17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certificate of incorporation and bylaws generally provide for mandatory indemnification of directors and officers to the fullest extent permitted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Delaware law also provides that a corporation may purchase and maintain insurance on behalf of any person who is or was a director, officer, employee or agent of the corporation, or is or was serving at the request of the corporation as a director, officer, employee or agent of another corporation or other entity, against any liability asserted against and incurred by such person, whether or not the corporation would have the power to indemnify such person against such liability. We will maintain, at our expense, an insurance policy that insures our officers and directors, subject to customary exclusions and deductions, against specified liabilities that may be incurred in those capacities.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December 17, 2012, in connection with the acquisition of the residential hardware and home improvement business from Stanley Black &amp; Decker, Spectrum Brands, Inc. assumed $520.0 million aggregate principal amount of 6.375% Senior Notes due 2020 at par value, and $570.0 million aggregate principal amount of 6.625% Senior Notes due 2022 at par value, previously issued by Spectrum Brands Escrow Corporation. The notes are guaranteed by Spectrum Brands, Inc.’s parent company, SB/RH Holdings, LLC, as well as by Spectrum Brands, Inc.’s existing and future domestic subsidiaries. The initial purchasers of these notes were Barclays Capital Inc., Deutsche Bank Securities Inc., Jefferies &amp; Company, Inc., SunTrust Robinson Humphrey, Inc. and Mitsubishi UFJ Securities (USA), Inc.</w:t>
      </w:r>
    </w:p>
    <w:p>
      <w:pPr>
        <w:spacing w:after="0" w:line="19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On December 4, 2014, Spectrum Brands, Inc. issued $250.0 million aggregate principal amount of 6.125% Senior Notes due 2024 at par value. The notes are guaranteed by Spectrum Brands, Inc.’s parent company, SB/RH Holdings, LLC, as well as by Spectrum Brands, Inc.’s existing and future domestic subsidiaries. The initial purchasers of these notes were Credit Suisse Securities (USA) LLC and Deutsche Bank Securities Inc.</w:t>
      </w:r>
    </w:p>
    <w:p>
      <w:pPr>
        <w:spacing w:after="0" w:line="166"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On May 20, 2015, Spectrum Brands, Inc. issued $1,000.0 million aggregate principal amount of 5.750% Senior Notes due 2025 at par value. The notes are guaranteed by Spectrum Brands, Inc.’s parent company, SB/RH Holdings, LLC, as well as by Spectrum Brands, Inc.’s existing and future domestic subsidiaries. The initial purchasers of these notes were Credit Suisse Securities (USA) LLC, Deutsche Bank Securities Inc. and Jefferies LLC.</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issuances of the securities in the transactions described above were deemed to be exempt from registration under the Securities Act of 1933, as amended (the “Securities Act”) in reliance upon Section 4(a)(2) of the Securities Act. Resales of the securities were made by the initial purchasers to qualified institutional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buyers pursuant to Rule 144A under the Securities Act or to non-U.S. investors outside the United States in compliance with Regulation 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1"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See the Exhibit Index immediately following the signature pages included in this Registration Statement.</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Schedules I, II, III, IV, and V are not applicable and have therefore been omitted.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460" w:hanging="452"/>
        <w:spacing w:after="0"/>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ind w:left="1480" w:right="60" w:hanging="567"/>
        <w:spacing w:after="0" w:line="272" w:lineRule="auto"/>
        <w:tabs>
          <w:tab w:leader="none" w:pos="1480" w:val="left"/>
        </w:tabs>
        <w:numPr>
          <w:ilvl w:val="2"/>
          <w:numId w:val="38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480" w:right="260" w:hanging="567"/>
        <w:spacing w:after="0" w:line="277" w:lineRule="auto"/>
        <w:tabs>
          <w:tab w:leader="none" w:pos="148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900" w:right="380" w:hanging="446"/>
        <w:spacing w:after="0" w:line="264" w:lineRule="auto"/>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hanging="446"/>
        <w:spacing w:after="0" w:line="291" w:lineRule="auto"/>
        <w:tabs>
          <w:tab w:leader="none" w:pos="90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7" w:lineRule="auto"/>
        <w:tabs>
          <w:tab w:leader="none" w:pos="90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2"/>
          <w:numId w:val="38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480" w:right="200" w:hanging="567"/>
        <w:spacing w:after="0" w:line="277" w:lineRule="auto"/>
        <w:tabs>
          <w:tab w:leader="none" w:pos="1480" w:val="left"/>
        </w:tabs>
        <w:numPr>
          <w:ilvl w:val="2"/>
          <w:numId w:val="38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2"/>
          <w:numId w:val="38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38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60" w:right="31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SPECTRUM BRANDS,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Andreas Rouvé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Andreas Rouvé</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Signature</w:t>
            </w:r>
          </w:p>
        </w:tc>
        <w:tc>
          <w:tcPr>
            <w:tcW w:w="18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880" w:type="dxa"/>
            <w:vAlign w:val="bottom"/>
          </w:tcPr>
          <w:p>
            <w:pPr>
              <w:spacing w:after="0"/>
              <w:rPr>
                <w:sz w:val="15"/>
                <w:szCs w:val="15"/>
                <w:color w:val="auto"/>
              </w:rPr>
            </w:pPr>
          </w:p>
        </w:tc>
      </w:tr>
      <w:tr>
        <w:trPr>
          <w:trHeight w:val="412"/>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Andreas Rouvé</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Andreas Rouvé</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L. Martin</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w w:val="95"/>
              </w:rPr>
              <w:t>Executive Vice President, Chief Financial Officer and Chief</w:t>
            </w:r>
          </w:p>
        </w:tc>
      </w:tr>
      <w:tr>
        <w:trPr>
          <w:trHeight w:val="182"/>
        </w:trPr>
        <w:tc>
          <w:tcPr>
            <w:tcW w:w="2400" w:type="dxa"/>
            <w:vAlign w:val="bottom"/>
            <w:gridSpan w:val="2"/>
          </w:tcPr>
          <w:p>
            <w:pPr>
              <w:spacing w:after="0" w:line="182" w:lineRule="exact"/>
              <w:rPr>
                <w:sz w:val="20"/>
                <w:szCs w:val="20"/>
                <w:color w:val="auto"/>
              </w:rPr>
            </w:pPr>
            <w:r>
              <w:rPr>
                <w:rFonts w:ascii="Arial" w:cs="Arial" w:eastAsia="Arial" w:hAnsi="Arial"/>
                <w:sz w:val="18"/>
                <w:szCs w:val="18"/>
                <w:color w:val="auto"/>
              </w:rPr>
              <w:t>Douglas L. Martin</w:t>
            </w:r>
          </w:p>
        </w:tc>
        <w:tc>
          <w:tcPr>
            <w:tcW w:w="1840" w:type="dxa"/>
            <w:vAlign w:val="bottom"/>
          </w:tcPr>
          <w:p>
            <w:pPr>
              <w:spacing w:after="0"/>
              <w:rPr>
                <w:sz w:val="15"/>
                <w:szCs w:val="15"/>
                <w:color w:val="auto"/>
              </w:rPr>
            </w:pPr>
          </w:p>
        </w:tc>
        <w:tc>
          <w:tcPr>
            <w:tcW w:w="4720" w:type="dxa"/>
            <w:vAlign w:val="bottom"/>
            <w:gridSpan w:val="3"/>
          </w:tcPr>
          <w:p>
            <w:pPr>
              <w:ind w:left="220"/>
              <w:spacing w:after="0" w:line="182" w:lineRule="exact"/>
              <w:rPr>
                <w:sz w:val="20"/>
                <w:szCs w:val="20"/>
                <w:color w:val="auto"/>
              </w:rPr>
            </w:pPr>
            <w:r>
              <w:rPr>
                <w:rFonts w:ascii="Arial" w:cs="Arial" w:eastAsia="Arial" w:hAnsi="Arial"/>
                <w:sz w:val="18"/>
                <w:szCs w:val="18"/>
                <w:color w:val="auto"/>
              </w:rPr>
              <w:t>Accounting Officer</w:t>
            </w:r>
          </w:p>
        </w:tc>
      </w:tr>
      <w:tr>
        <w:trPr>
          <w:trHeight w:val="230"/>
        </w:trPr>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46"/>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20" w:type="dxa"/>
            <w:vAlign w:val="bottom"/>
            <w:gridSpan w:val="3"/>
          </w:tcPr>
          <w:p>
            <w:pPr>
              <w:ind w:left="134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420"/>
          </w:cols>
          <w:pgMar w:left="240" w:top="459" w:right="23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AA GROUP (U.S.)—A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Signature</w:t>
            </w:r>
          </w:p>
        </w:tc>
        <w:tc>
          <w:tcPr>
            <w:tcW w:w="18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880" w:type="dxa"/>
            <w:vAlign w:val="bottom"/>
          </w:tcPr>
          <w:p>
            <w:pPr>
              <w:spacing w:after="0"/>
              <w:rPr>
                <w:sz w:val="15"/>
                <w:szCs w:val="15"/>
                <w:color w:val="auto"/>
              </w:rPr>
            </w:pPr>
          </w:p>
        </w:tc>
      </w:tr>
      <w:tr>
        <w:trPr>
          <w:trHeight w:val="412"/>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Guy Andrysick</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President</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Guy Andrysick</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L. Martin</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Vice President</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Manager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Manager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20" w:type="dxa"/>
            <w:vAlign w:val="bottom"/>
            <w:gridSpan w:val="3"/>
          </w:tcPr>
          <w:p>
            <w:pPr>
              <w:ind w:left="134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420"/>
          </w:cols>
          <w:pgMar w:left="240" w:top="459" w:right="23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AA GROUP (U.S.)—B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Signature</w:t>
            </w:r>
          </w:p>
        </w:tc>
        <w:tc>
          <w:tcPr>
            <w:tcW w:w="18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880" w:type="dxa"/>
            <w:vAlign w:val="bottom"/>
          </w:tcPr>
          <w:p>
            <w:pPr>
              <w:spacing w:after="0"/>
              <w:rPr>
                <w:sz w:val="15"/>
                <w:szCs w:val="15"/>
                <w:color w:val="auto"/>
              </w:rPr>
            </w:pPr>
          </w:p>
        </w:tc>
      </w:tr>
      <w:tr>
        <w:trPr>
          <w:trHeight w:val="412"/>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Guy Andrysick</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President</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Guy Andrysick</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L. Martin</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Vice President</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Manager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Manager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20" w:type="dxa"/>
            <w:vAlign w:val="bottom"/>
            <w:gridSpan w:val="3"/>
          </w:tcPr>
          <w:p>
            <w:pPr>
              <w:ind w:left="134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420"/>
          </w:cols>
          <w:pgMar w:left="240" w:top="459" w:right="23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APPLICA MEXICO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General Counsel,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Signature</w:t>
            </w:r>
          </w:p>
        </w:tc>
        <w:tc>
          <w:tcPr>
            <w:tcW w:w="18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880" w:type="dxa"/>
            <w:vAlign w:val="bottom"/>
          </w:tcPr>
          <w:p>
            <w:pPr>
              <w:spacing w:after="0"/>
              <w:rPr>
                <w:sz w:val="15"/>
                <w:szCs w:val="15"/>
                <w:color w:val="auto"/>
              </w:rPr>
            </w:pPr>
          </w:p>
        </w:tc>
      </w:tr>
      <w:tr>
        <w:trPr>
          <w:trHeight w:val="412"/>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M. Fraundorfer</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President</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Steven M. Fraundorfer</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Vice President and 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20" w:type="dxa"/>
            <w:vAlign w:val="bottom"/>
            <w:gridSpan w:val="3"/>
          </w:tcPr>
          <w:p>
            <w:pPr>
              <w:ind w:left="134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1420"/>
          </w:cols>
          <w:pgMar w:left="240" w:top="459" w:right="2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ARMORED AUTOGROUP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Signature</w:t>
            </w:r>
          </w:p>
        </w:tc>
        <w:tc>
          <w:tcPr>
            <w:tcW w:w="18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880" w:type="dxa"/>
            <w:vAlign w:val="bottom"/>
          </w:tcPr>
          <w:p>
            <w:pPr>
              <w:spacing w:after="0"/>
              <w:rPr>
                <w:sz w:val="15"/>
                <w:szCs w:val="15"/>
                <w:color w:val="auto"/>
              </w:rPr>
            </w:pPr>
          </w:p>
        </w:tc>
      </w:tr>
      <w:tr>
        <w:trPr>
          <w:trHeight w:val="412"/>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Guy Andrysick</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President</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Guy Andrysick</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L. Martin</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Vice President</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20" w:type="dxa"/>
            <w:vAlign w:val="bottom"/>
            <w:gridSpan w:val="3"/>
          </w:tcPr>
          <w:p>
            <w:pPr>
              <w:ind w:left="1340"/>
              <w:spacing w:after="0"/>
              <w:rPr>
                <w:sz w:val="20"/>
                <w:szCs w:val="20"/>
                <w:color w:val="auto"/>
              </w:rPr>
            </w:pPr>
            <w:r>
              <w:rPr>
                <w:rFonts w:ascii="Arial" w:cs="Arial" w:eastAsia="Arial" w:hAnsi="Arial"/>
                <w:sz w:val="18"/>
                <w:szCs w:val="18"/>
                <w:color w:val="auto"/>
              </w:rPr>
              <w:t>II-9</w:t>
            </w:r>
          </w:p>
        </w:tc>
      </w:tr>
    </w:tbl>
    <w:p>
      <w:pPr>
        <w:sectPr>
          <w:pgSz w:w="11900" w:h="16838" w:orient="portrait"/>
          <w:cols w:equalWidth="0" w:num="1">
            <w:col w:w="11420"/>
          </w:cols>
          <w:pgMar w:left="240" w:top="460" w:right="23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ARMORED AUTOGROUP SALES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Signature</w:t>
            </w:r>
          </w:p>
        </w:tc>
        <w:tc>
          <w:tcPr>
            <w:tcW w:w="18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880" w:type="dxa"/>
            <w:vAlign w:val="bottom"/>
          </w:tcPr>
          <w:p>
            <w:pPr>
              <w:spacing w:after="0"/>
              <w:rPr>
                <w:sz w:val="15"/>
                <w:szCs w:val="15"/>
                <w:color w:val="auto"/>
              </w:rPr>
            </w:pPr>
          </w:p>
        </w:tc>
      </w:tr>
      <w:tr>
        <w:trPr>
          <w:trHeight w:val="412"/>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Guy Andrysick</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President</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Guy Andrysick</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L. Martin</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Vice President</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184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1840" w:type="dxa"/>
            <w:vAlign w:val="bottom"/>
            <w:tcBorders>
              <w:bottom w:val="single" w:sz="8" w:color="auto"/>
            </w:tcBorders>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1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20" w:type="dxa"/>
            <w:vAlign w:val="bottom"/>
            <w:gridSpan w:val="3"/>
          </w:tcPr>
          <w:p>
            <w:pPr>
              <w:ind w:left="1300"/>
              <w:spacing w:after="0"/>
              <w:rPr>
                <w:sz w:val="20"/>
                <w:szCs w:val="20"/>
                <w:color w:val="auto"/>
              </w:rPr>
            </w:pPr>
            <w:r>
              <w:rPr>
                <w:rFonts w:ascii="Arial" w:cs="Arial" w:eastAsia="Arial" w:hAnsi="Arial"/>
                <w:sz w:val="18"/>
                <w:szCs w:val="18"/>
                <w:color w:val="auto"/>
              </w:rPr>
              <w:t>II-10</w:t>
            </w:r>
          </w:p>
        </w:tc>
      </w:tr>
    </w:tbl>
    <w:p>
      <w:pPr>
        <w:sectPr>
          <w:pgSz w:w="11900" w:h="16838" w:orient="portrait"/>
          <w:cols w:equalWidth="0" w:num="1">
            <w:col w:w="11420"/>
          </w:cols>
          <w:pgMar w:left="240" w:top="459" w:right="23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MANUFACTURING MEXICO 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Secretary and General Counsel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8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Title</w:t>
            </w:r>
          </w:p>
        </w:tc>
      </w:tr>
      <w:tr>
        <w:trPr>
          <w:trHeight w:val="20"/>
        </w:trPr>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9"/>
        </w:trPr>
        <w:tc>
          <w:tcPr>
            <w:tcW w:w="4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Philip S. Szuba</w:t>
            </w:r>
          </w:p>
        </w:tc>
        <w:tc>
          <w:tcPr>
            <w:tcW w:w="800" w:type="dxa"/>
            <w:vAlign w:val="bottom"/>
            <w:tcBorders>
              <w:bottom w:val="single" w:sz="8" w:color="auto"/>
            </w:tcBorders>
          </w:tcPr>
          <w:p>
            <w:pPr>
              <w:spacing w:after="0"/>
              <w:rPr>
                <w:sz w:val="24"/>
                <w:szCs w:val="24"/>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President</w:t>
            </w:r>
          </w:p>
        </w:tc>
      </w:tr>
      <w:tr>
        <w:trPr>
          <w:trHeight w:val="224"/>
        </w:trPr>
        <w:tc>
          <w:tcPr>
            <w:tcW w:w="4920" w:type="dxa"/>
            <w:vAlign w:val="bottom"/>
            <w:gridSpan w:val="4"/>
          </w:tcPr>
          <w:p>
            <w:pPr>
              <w:spacing w:after="0"/>
              <w:rPr>
                <w:sz w:val="20"/>
                <w:szCs w:val="20"/>
                <w:color w:val="auto"/>
              </w:rPr>
            </w:pPr>
            <w:r>
              <w:rPr>
                <w:rFonts w:ascii="Arial" w:cs="Arial" w:eastAsia="Arial" w:hAnsi="Arial"/>
                <w:sz w:val="18"/>
                <w:szCs w:val="18"/>
                <w:color w:val="auto"/>
              </w:rPr>
              <w:t>Philip S. Szuba</w:t>
            </w:r>
          </w:p>
        </w:tc>
        <w:tc>
          <w:tcPr>
            <w:tcW w:w="800" w:type="dxa"/>
            <w:vAlign w:val="bottom"/>
          </w:tcPr>
          <w:p>
            <w:pPr>
              <w:spacing w:after="0"/>
              <w:rPr>
                <w:sz w:val="19"/>
                <w:szCs w:val="19"/>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Brent A. Esplin</w:t>
            </w:r>
          </w:p>
        </w:tc>
        <w:tc>
          <w:tcPr>
            <w:tcW w:w="800" w:type="dxa"/>
            <w:vAlign w:val="bottom"/>
            <w:tcBorders>
              <w:bottom w:val="single" w:sz="8" w:color="auto"/>
            </w:tcBorders>
          </w:tcPr>
          <w:p>
            <w:pPr>
              <w:spacing w:after="0"/>
              <w:rPr>
                <w:sz w:val="24"/>
                <w:szCs w:val="24"/>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r>
      <w:tr>
        <w:trPr>
          <w:trHeight w:val="182"/>
        </w:trPr>
        <w:tc>
          <w:tcPr>
            <w:tcW w:w="4920" w:type="dxa"/>
            <w:vAlign w:val="bottom"/>
            <w:gridSpan w:val="4"/>
          </w:tcPr>
          <w:p>
            <w:pPr>
              <w:spacing w:after="0" w:line="182" w:lineRule="exact"/>
              <w:rPr>
                <w:sz w:val="20"/>
                <w:szCs w:val="20"/>
                <w:color w:val="auto"/>
              </w:rPr>
            </w:pPr>
            <w:r>
              <w:rPr>
                <w:rFonts w:ascii="Arial" w:cs="Arial" w:eastAsia="Arial" w:hAnsi="Arial"/>
                <w:sz w:val="18"/>
                <w:szCs w:val="18"/>
                <w:color w:val="auto"/>
              </w:rPr>
              <w:t>Brent A. Esplin</w:t>
            </w:r>
          </w:p>
        </w:tc>
        <w:tc>
          <w:tcPr>
            <w:tcW w:w="800" w:type="dxa"/>
            <w:vAlign w:val="bottom"/>
          </w:tcPr>
          <w:p>
            <w:pPr>
              <w:spacing w:after="0"/>
              <w:rPr>
                <w:sz w:val="15"/>
                <w:szCs w:val="15"/>
                <w:color w:val="auto"/>
              </w:rPr>
            </w:pPr>
          </w:p>
        </w:tc>
        <w:tc>
          <w:tcPr>
            <w:tcW w:w="3980" w:type="dxa"/>
            <w:vAlign w:val="bottom"/>
            <w:gridSpan w:val="3"/>
          </w:tcPr>
          <w:p>
            <w:pPr>
              <w:ind w:left="10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r>
      <w:tr>
        <w:trPr>
          <w:trHeight w:val="230"/>
        </w:trPr>
        <w:tc>
          <w:tcPr>
            <w:tcW w:w="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Officer)</w:t>
            </w:r>
          </w:p>
        </w:tc>
      </w:tr>
      <w:tr>
        <w:trPr>
          <w:trHeight w:val="446"/>
        </w:trPr>
        <w:tc>
          <w:tcPr>
            <w:tcW w:w="4920" w:type="dxa"/>
            <w:vAlign w:val="bottom"/>
            <w:gridSpan w:val="4"/>
          </w:tcPr>
          <w:p>
            <w:pPr>
              <w:spacing w:after="0"/>
              <w:rPr>
                <w:sz w:val="20"/>
                <w:szCs w:val="20"/>
                <w:color w:val="auto"/>
              </w:rPr>
            </w:pPr>
            <w:r>
              <w:rPr>
                <w:rFonts w:ascii="Arial" w:cs="Arial" w:eastAsia="Arial" w:hAnsi="Arial"/>
                <w:sz w:val="18"/>
                <w:szCs w:val="18"/>
                <w:color w:val="auto"/>
              </w:rPr>
              <w:t>SPECTRUM BRANDS, INC.</w:t>
            </w:r>
          </w:p>
        </w:tc>
        <w:tc>
          <w:tcPr>
            <w:tcW w:w="800" w:type="dxa"/>
            <w:vAlign w:val="bottom"/>
          </w:tcPr>
          <w:p>
            <w:pPr>
              <w:spacing w:after="0"/>
              <w:rPr>
                <w:sz w:val="24"/>
                <w:szCs w:val="24"/>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Sole Member</w:t>
            </w:r>
          </w:p>
        </w:tc>
      </w:tr>
      <w:tr>
        <w:trPr>
          <w:trHeight w:val="432"/>
        </w:trPr>
        <w:tc>
          <w:tcPr>
            <w:tcW w:w="4920" w:type="dxa"/>
            <w:vAlign w:val="bottom"/>
            <w:gridSpan w:val="4"/>
          </w:tcPr>
          <w:p>
            <w:pPr>
              <w:spacing w:after="0"/>
              <w:rPr>
                <w:sz w:val="20"/>
                <w:szCs w:val="20"/>
                <w:color w:val="auto"/>
              </w:rPr>
            </w:pPr>
            <w:r>
              <w:rPr>
                <w:rFonts w:ascii="Arial" w:cs="Arial" w:eastAsia="Arial" w:hAnsi="Arial"/>
                <w:sz w:val="18"/>
                <w:szCs w:val="18"/>
                <w:color w:val="auto"/>
              </w:rPr>
              <w:t>By:   /s/ Nathan E. Fagre</w:t>
            </w:r>
          </w:p>
        </w:tc>
        <w:tc>
          <w:tcPr>
            <w:tcW w:w="8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4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Nathan E. Fagre</w:t>
            </w:r>
          </w:p>
        </w:tc>
        <w:tc>
          <w:tcPr>
            <w:tcW w:w="800" w:type="dxa"/>
            <w:vAlign w:val="bottom"/>
            <w:tcBorders>
              <w:top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920" w:type="dxa"/>
            <w:vAlign w:val="bottom"/>
            <w:gridSpan w:val="4"/>
          </w:tcPr>
          <w:p>
            <w:pPr>
              <w:spacing w:after="0"/>
              <w:rPr>
                <w:sz w:val="20"/>
                <w:szCs w:val="20"/>
                <w:color w:val="auto"/>
              </w:rPr>
            </w:pPr>
            <w:r>
              <w:rPr>
                <w:rFonts w:ascii="Arial" w:cs="Arial" w:eastAsia="Arial" w:hAnsi="Arial"/>
                <w:sz w:val="18"/>
                <w:szCs w:val="18"/>
                <w:color w:val="auto"/>
              </w:rPr>
              <w:t>Title: Senior Vice President, Secretary and General Counsel</w:t>
            </w:r>
          </w:p>
        </w:tc>
        <w:tc>
          <w:tcPr>
            <w:tcW w:w="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5"/>
        </w:trPr>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4"/>
          </w:tcPr>
          <w:p>
            <w:pPr>
              <w:ind w:left="620"/>
              <w:spacing w:after="0"/>
              <w:rPr>
                <w:sz w:val="20"/>
                <w:szCs w:val="20"/>
                <w:color w:val="auto"/>
              </w:rPr>
            </w:pPr>
            <w:r>
              <w:rPr>
                <w:rFonts w:ascii="Arial" w:cs="Arial" w:eastAsia="Arial" w:hAnsi="Arial"/>
                <w:sz w:val="18"/>
                <w:szCs w:val="18"/>
                <w:color w:val="auto"/>
              </w:rPr>
              <w:t>II-11</w:t>
            </w:r>
          </w:p>
        </w:tc>
      </w:tr>
    </w:tbl>
    <w:p>
      <w:pPr>
        <w:sectPr>
          <w:pgSz w:w="11900" w:h="16838" w:orient="portrait"/>
          <w:cols w:equalWidth="0" w:num="1">
            <w:col w:w="11420"/>
          </w:cols>
          <w:pgMar w:left="240" w:top="459" w:right="23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MANUFACTURING MEXICO B LLC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 Secretary and General Counsel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8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Title</w:t>
            </w:r>
          </w:p>
        </w:tc>
      </w:tr>
      <w:tr>
        <w:trPr>
          <w:trHeight w:val="20"/>
        </w:trPr>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9"/>
        </w:trPr>
        <w:tc>
          <w:tcPr>
            <w:tcW w:w="4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Philip S. Szuba</w:t>
            </w:r>
          </w:p>
        </w:tc>
        <w:tc>
          <w:tcPr>
            <w:tcW w:w="800" w:type="dxa"/>
            <w:vAlign w:val="bottom"/>
            <w:tcBorders>
              <w:bottom w:val="single" w:sz="8" w:color="auto"/>
            </w:tcBorders>
          </w:tcPr>
          <w:p>
            <w:pPr>
              <w:spacing w:after="0"/>
              <w:rPr>
                <w:sz w:val="24"/>
                <w:szCs w:val="24"/>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President</w:t>
            </w:r>
          </w:p>
        </w:tc>
      </w:tr>
      <w:tr>
        <w:trPr>
          <w:trHeight w:val="224"/>
        </w:trPr>
        <w:tc>
          <w:tcPr>
            <w:tcW w:w="4920" w:type="dxa"/>
            <w:vAlign w:val="bottom"/>
            <w:gridSpan w:val="4"/>
          </w:tcPr>
          <w:p>
            <w:pPr>
              <w:spacing w:after="0"/>
              <w:rPr>
                <w:sz w:val="20"/>
                <w:szCs w:val="20"/>
                <w:color w:val="auto"/>
              </w:rPr>
            </w:pPr>
            <w:r>
              <w:rPr>
                <w:rFonts w:ascii="Arial" w:cs="Arial" w:eastAsia="Arial" w:hAnsi="Arial"/>
                <w:sz w:val="18"/>
                <w:szCs w:val="18"/>
                <w:color w:val="auto"/>
              </w:rPr>
              <w:t>Philip S. Szuba</w:t>
            </w:r>
          </w:p>
        </w:tc>
        <w:tc>
          <w:tcPr>
            <w:tcW w:w="800" w:type="dxa"/>
            <w:vAlign w:val="bottom"/>
          </w:tcPr>
          <w:p>
            <w:pPr>
              <w:spacing w:after="0"/>
              <w:rPr>
                <w:sz w:val="19"/>
                <w:szCs w:val="19"/>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Brent A. Esplin</w:t>
            </w:r>
          </w:p>
        </w:tc>
        <w:tc>
          <w:tcPr>
            <w:tcW w:w="800" w:type="dxa"/>
            <w:vAlign w:val="bottom"/>
            <w:tcBorders>
              <w:bottom w:val="single" w:sz="8" w:color="auto"/>
            </w:tcBorders>
          </w:tcPr>
          <w:p>
            <w:pPr>
              <w:spacing w:after="0"/>
              <w:rPr>
                <w:sz w:val="24"/>
                <w:szCs w:val="24"/>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r>
      <w:tr>
        <w:trPr>
          <w:trHeight w:val="182"/>
        </w:trPr>
        <w:tc>
          <w:tcPr>
            <w:tcW w:w="4920" w:type="dxa"/>
            <w:vAlign w:val="bottom"/>
            <w:gridSpan w:val="4"/>
          </w:tcPr>
          <w:p>
            <w:pPr>
              <w:spacing w:after="0" w:line="182" w:lineRule="exact"/>
              <w:rPr>
                <w:sz w:val="20"/>
                <w:szCs w:val="20"/>
                <w:color w:val="auto"/>
              </w:rPr>
            </w:pPr>
            <w:r>
              <w:rPr>
                <w:rFonts w:ascii="Arial" w:cs="Arial" w:eastAsia="Arial" w:hAnsi="Arial"/>
                <w:sz w:val="18"/>
                <w:szCs w:val="18"/>
                <w:color w:val="auto"/>
              </w:rPr>
              <w:t>Brent A. Esplin</w:t>
            </w:r>
          </w:p>
        </w:tc>
        <w:tc>
          <w:tcPr>
            <w:tcW w:w="800" w:type="dxa"/>
            <w:vAlign w:val="bottom"/>
          </w:tcPr>
          <w:p>
            <w:pPr>
              <w:spacing w:after="0"/>
              <w:rPr>
                <w:sz w:val="15"/>
                <w:szCs w:val="15"/>
                <w:color w:val="auto"/>
              </w:rPr>
            </w:pPr>
          </w:p>
        </w:tc>
        <w:tc>
          <w:tcPr>
            <w:tcW w:w="3980" w:type="dxa"/>
            <w:vAlign w:val="bottom"/>
            <w:gridSpan w:val="3"/>
          </w:tcPr>
          <w:p>
            <w:pPr>
              <w:ind w:left="10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r>
      <w:tr>
        <w:trPr>
          <w:trHeight w:val="230"/>
        </w:trPr>
        <w:tc>
          <w:tcPr>
            <w:tcW w:w="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Officer)</w:t>
            </w:r>
          </w:p>
        </w:tc>
      </w:tr>
      <w:tr>
        <w:trPr>
          <w:trHeight w:val="446"/>
        </w:trPr>
        <w:tc>
          <w:tcPr>
            <w:tcW w:w="4920" w:type="dxa"/>
            <w:vAlign w:val="bottom"/>
            <w:gridSpan w:val="4"/>
          </w:tcPr>
          <w:p>
            <w:pPr>
              <w:spacing w:after="0"/>
              <w:rPr>
                <w:sz w:val="20"/>
                <w:szCs w:val="20"/>
                <w:color w:val="auto"/>
              </w:rPr>
            </w:pPr>
            <w:r>
              <w:rPr>
                <w:rFonts w:ascii="Arial" w:cs="Arial" w:eastAsia="Arial" w:hAnsi="Arial"/>
                <w:sz w:val="18"/>
                <w:szCs w:val="18"/>
                <w:color w:val="auto"/>
              </w:rPr>
              <w:t>SPECTRUM BRANDS, INC.</w:t>
            </w:r>
          </w:p>
        </w:tc>
        <w:tc>
          <w:tcPr>
            <w:tcW w:w="800" w:type="dxa"/>
            <w:vAlign w:val="bottom"/>
          </w:tcPr>
          <w:p>
            <w:pPr>
              <w:spacing w:after="0"/>
              <w:rPr>
                <w:sz w:val="24"/>
                <w:szCs w:val="24"/>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Sole Member</w:t>
            </w:r>
          </w:p>
        </w:tc>
      </w:tr>
      <w:tr>
        <w:trPr>
          <w:trHeight w:val="432"/>
        </w:trPr>
        <w:tc>
          <w:tcPr>
            <w:tcW w:w="4920" w:type="dxa"/>
            <w:vAlign w:val="bottom"/>
            <w:gridSpan w:val="4"/>
          </w:tcPr>
          <w:p>
            <w:pPr>
              <w:spacing w:after="0"/>
              <w:rPr>
                <w:sz w:val="20"/>
                <w:szCs w:val="20"/>
                <w:color w:val="auto"/>
              </w:rPr>
            </w:pPr>
            <w:r>
              <w:rPr>
                <w:rFonts w:ascii="Arial" w:cs="Arial" w:eastAsia="Arial" w:hAnsi="Arial"/>
                <w:sz w:val="18"/>
                <w:szCs w:val="18"/>
                <w:color w:val="auto"/>
              </w:rPr>
              <w:t>By:   /s/ Nathan E. Fagre</w:t>
            </w:r>
          </w:p>
        </w:tc>
        <w:tc>
          <w:tcPr>
            <w:tcW w:w="8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4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Nathan E. Fagre</w:t>
            </w:r>
          </w:p>
        </w:tc>
        <w:tc>
          <w:tcPr>
            <w:tcW w:w="800" w:type="dxa"/>
            <w:vAlign w:val="bottom"/>
            <w:tcBorders>
              <w:top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920" w:type="dxa"/>
            <w:vAlign w:val="bottom"/>
            <w:gridSpan w:val="4"/>
          </w:tcPr>
          <w:p>
            <w:pPr>
              <w:spacing w:after="0"/>
              <w:rPr>
                <w:sz w:val="20"/>
                <w:szCs w:val="20"/>
                <w:color w:val="auto"/>
              </w:rPr>
            </w:pPr>
            <w:r>
              <w:rPr>
                <w:rFonts w:ascii="Arial" w:cs="Arial" w:eastAsia="Arial" w:hAnsi="Arial"/>
                <w:sz w:val="18"/>
                <w:szCs w:val="18"/>
                <w:color w:val="auto"/>
              </w:rPr>
              <w:t>Title: Senior Vice President, Secretary and General Counsel</w:t>
            </w:r>
          </w:p>
        </w:tc>
        <w:tc>
          <w:tcPr>
            <w:tcW w:w="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5"/>
        </w:trPr>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80" w:type="dxa"/>
            <w:vAlign w:val="bottom"/>
            <w:gridSpan w:val="4"/>
          </w:tcPr>
          <w:p>
            <w:pPr>
              <w:ind w:left="620"/>
              <w:spacing w:after="0"/>
              <w:rPr>
                <w:sz w:val="20"/>
                <w:szCs w:val="20"/>
                <w:color w:val="auto"/>
              </w:rPr>
            </w:pPr>
            <w:r>
              <w:rPr>
                <w:rFonts w:ascii="Arial" w:cs="Arial" w:eastAsia="Arial" w:hAnsi="Arial"/>
                <w:sz w:val="18"/>
                <w:szCs w:val="18"/>
                <w:color w:val="auto"/>
              </w:rPr>
              <w:t>II-12</w:t>
            </w:r>
          </w:p>
        </w:tc>
      </w:tr>
    </w:tbl>
    <w:p>
      <w:pPr>
        <w:sectPr>
          <w:pgSz w:w="11900" w:h="16838" w:orient="portrait"/>
          <w:cols w:equalWidth="0" w:num="1">
            <w:col w:w="11420"/>
          </w:cols>
          <w:pgMar w:left="240" w:top="459" w:right="23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OPENINGS,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8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40" w:type="dxa"/>
            <w:vAlign w:val="bottom"/>
            <w:gridSpan w:val="2"/>
          </w:tcPr>
          <w:p>
            <w:pPr>
              <w:ind w:left="20"/>
              <w:spacing w:after="0"/>
              <w:rPr>
                <w:sz w:val="20"/>
                <w:szCs w:val="20"/>
                <w:color w:val="auto"/>
              </w:rPr>
            </w:pPr>
            <w:r>
              <w:rPr>
                <w:rFonts w:ascii="Arial" w:cs="Arial" w:eastAsia="Arial" w:hAnsi="Arial"/>
                <w:sz w:val="14"/>
                <w:szCs w:val="14"/>
                <w:color w:val="auto"/>
              </w:rPr>
              <w:t>Title</w:t>
            </w:r>
          </w:p>
        </w:tc>
      </w:tr>
      <w:tr>
        <w:trPr>
          <w:trHeight w:val="20"/>
        </w:trPr>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S. Szuba</w:t>
            </w:r>
          </w:p>
        </w:tc>
        <w:tc>
          <w:tcPr>
            <w:tcW w:w="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24"/>
        </w:trPr>
        <w:tc>
          <w:tcPr>
            <w:tcW w:w="4920" w:type="dxa"/>
            <w:vAlign w:val="bottom"/>
            <w:gridSpan w:val="4"/>
          </w:tcPr>
          <w:p>
            <w:pPr>
              <w:spacing w:after="0"/>
              <w:rPr>
                <w:sz w:val="20"/>
                <w:szCs w:val="20"/>
                <w:color w:val="auto"/>
              </w:rPr>
            </w:pPr>
            <w:r>
              <w:rPr>
                <w:rFonts w:ascii="Arial" w:cs="Arial" w:eastAsia="Arial" w:hAnsi="Arial"/>
                <w:sz w:val="18"/>
                <w:szCs w:val="18"/>
                <w:color w:val="auto"/>
              </w:rPr>
              <w:t>Philip S. Szuba</w:t>
            </w:r>
          </w:p>
        </w:tc>
        <w:tc>
          <w:tcPr>
            <w:tcW w:w="800" w:type="dxa"/>
            <w:vAlign w:val="bottom"/>
          </w:tcPr>
          <w:p>
            <w:pPr>
              <w:spacing w:after="0"/>
              <w:rPr>
                <w:sz w:val="19"/>
                <w:szCs w:val="19"/>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Brent A. Esplin</w:t>
            </w:r>
          </w:p>
        </w:tc>
        <w:tc>
          <w:tcPr>
            <w:tcW w:w="800" w:type="dxa"/>
            <w:vAlign w:val="bottom"/>
            <w:tcBorders>
              <w:bottom w:val="single" w:sz="8" w:color="auto"/>
            </w:tcBorders>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Treasurer and Secretary</w:t>
            </w:r>
          </w:p>
        </w:tc>
      </w:tr>
      <w:tr>
        <w:trPr>
          <w:trHeight w:val="224"/>
        </w:trPr>
        <w:tc>
          <w:tcPr>
            <w:tcW w:w="4920" w:type="dxa"/>
            <w:vAlign w:val="bottom"/>
            <w:gridSpan w:val="4"/>
          </w:tcPr>
          <w:p>
            <w:pPr>
              <w:spacing w:after="0"/>
              <w:rPr>
                <w:sz w:val="20"/>
                <w:szCs w:val="20"/>
                <w:color w:val="auto"/>
              </w:rPr>
            </w:pPr>
            <w:r>
              <w:rPr>
                <w:rFonts w:ascii="Arial" w:cs="Arial" w:eastAsia="Arial" w:hAnsi="Arial"/>
                <w:sz w:val="18"/>
                <w:szCs w:val="18"/>
                <w:color w:val="auto"/>
              </w:rPr>
              <w:t>Brent A. Esplin</w:t>
            </w:r>
          </w:p>
        </w:tc>
        <w:tc>
          <w:tcPr>
            <w:tcW w:w="800" w:type="dxa"/>
            <w:vAlign w:val="bottom"/>
          </w:tcPr>
          <w:p>
            <w:pPr>
              <w:spacing w:after="0"/>
              <w:rPr>
                <w:sz w:val="19"/>
                <w:szCs w:val="19"/>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4920" w:type="dxa"/>
            <w:vAlign w:val="bottom"/>
            <w:gridSpan w:val="4"/>
          </w:tcPr>
          <w:p>
            <w:pPr>
              <w:spacing w:after="0"/>
              <w:rPr>
                <w:sz w:val="20"/>
                <w:szCs w:val="20"/>
                <w:color w:val="auto"/>
              </w:rPr>
            </w:pPr>
            <w:r>
              <w:rPr>
                <w:rFonts w:ascii="Arial" w:cs="Arial" w:eastAsia="Arial" w:hAnsi="Arial"/>
                <w:sz w:val="18"/>
                <w:szCs w:val="18"/>
                <w:color w:val="auto"/>
              </w:rPr>
              <w:t>SPECTRUM BRANDS, INC.</w:t>
            </w:r>
          </w:p>
        </w:tc>
        <w:tc>
          <w:tcPr>
            <w:tcW w:w="800" w:type="dxa"/>
            <w:vAlign w:val="bottom"/>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Sole Member</w:t>
            </w:r>
          </w:p>
        </w:tc>
      </w:tr>
      <w:tr>
        <w:trPr>
          <w:trHeight w:val="432"/>
        </w:trPr>
        <w:tc>
          <w:tcPr>
            <w:tcW w:w="4920" w:type="dxa"/>
            <w:vAlign w:val="bottom"/>
            <w:gridSpan w:val="4"/>
          </w:tcPr>
          <w:p>
            <w:pPr>
              <w:spacing w:after="0"/>
              <w:rPr>
                <w:sz w:val="20"/>
                <w:szCs w:val="20"/>
                <w:color w:val="auto"/>
              </w:rPr>
            </w:pPr>
            <w:r>
              <w:rPr>
                <w:rFonts w:ascii="Arial" w:cs="Arial" w:eastAsia="Arial" w:hAnsi="Arial"/>
                <w:sz w:val="18"/>
                <w:szCs w:val="18"/>
                <w:color w:val="auto"/>
              </w:rPr>
              <w:t>By:   /s/ Nathan E. Fagre</w:t>
            </w:r>
          </w:p>
        </w:tc>
        <w:tc>
          <w:tcPr>
            <w:tcW w:w="8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4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Nathan E. Fagre</w:t>
            </w:r>
          </w:p>
        </w:tc>
        <w:tc>
          <w:tcPr>
            <w:tcW w:w="800" w:type="dxa"/>
            <w:vAlign w:val="bottom"/>
            <w:tcBorders>
              <w:top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920" w:type="dxa"/>
            <w:vAlign w:val="bottom"/>
            <w:gridSpan w:val="4"/>
          </w:tcPr>
          <w:p>
            <w:pPr>
              <w:spacing w:after="0"/>
              <w:rPr>
                <w:sz w:val="20"/>
                <w:szCs w:val="20"/>
                <w:color w:val="auto"/>
              </w:rPr>
            </w:pPr>
            <w:r>
              <w:rPr>
                <w:rFonts w:ascii="Arial" w:cs="Arial" w:eastAsia="Arial" w:hAnsi="Arial"/>
                <w:sz w:val="18"/>
                <w:szCs w:val="18"/>
                <w:color w:val="auto"/>
              </w:rPr>
              <w:t>Title: Senior Vice President, Secretary and General Counsel</w:t>
            </w:r>
          </w:p>
        </w:tc>
        <w:tc>
          <w:tcPr>
            <w:tcW w:w="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5"/>
        </w:trPr>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0" w:type="dxa"/>
            <w:vAlign w:val="bottom"/>
            <w:gridSpan w:val="4"/>
          </w:tcPr>
          <w:p>
            <w:pPr>
              <w:ind w:left="620"/>
              <w:spacing w:after="0"/>
              <w:rPr>
                <w:sz w:val="20"/>
                <w:szCs w:val="20"/>
                <w:color w:val="auto"/>
              </w:rPr>
            </w:pPr>
            <w:r>
              <w:rPr>
                <w:rFonts w:ascii="Arial" w:cs="Arial" w:eastAsia="Arial" w:hAnsi="Arial"/>
                <w:sz w:val="18"/>
                <w:szCs w:val="18"/>
                <w:color w:val="auto"/>
              </w:rPr>
              <w:t>II-13</w:t>
            </w:r>
          </w:p>
        </w:tc>
      </w:tr>
    </w:tbl>
    <w:p>
      <w:pPr>
        <w:sectPr>
          <w:pgSz w:w="11900" w:h="16838" w:orient="portrait"/>
          <w:cols w:equalWidth="0" w:num="1">
            <w:col w:w="11420"/>
          </w:cols>
          <w:pgMar w:left="240" w:top="459" w:right="23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ROV HOLDING,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2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color w:val="auto"/>
              </w:rPr>
              <w:t>Title</w:t>
            </w:r>
          </w:p>
        </w:tc>
      </w:tr>
      <w:tr>
        <w:trPr>
          <w:trHeight w:val="412"/>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Andreas Rouvé</w:t>
            </w:r>
          </w:p>
        </w:tc>
        <w:tc>
          <w:tcPr>
            <w:tcW w:w="560" w:type="dxa"/>
            <w:vAlign w:val="bottom"/>
            <w:tcBorders>
              <w:top w:val="single" w:sz="8" w:color="auto"/>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1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2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Andreas Rouvé</w:t>
            </w:r>
          </w:p>
        </w:tc>
        <w:tc>
          <w:tcPr>
            <w:tcW w:w="2300" w:type="dxa"/>
            <w:vAlign w:val="bottom"/>
          </w:tcPr>
          <w:p>
            <w:pPr>
              <w:spacing w:after="0"/>
              <w:rPr>
                <w:sz w:val="19"/>
                <w:szCs w:val="19"/>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L. Martin</w:t>
            </w:r>
          </w:p>
        </w:tc>
        <w:tc>
          <w:tcPr>
            <w:tcW w:w="2300" w:type="dxa"/>
            <w:vAlign w:val="bottom"/>
            <w:tcBorders>
              <w:bottom w:val="single" w:sz="8" w:color="auto"/>
            </w:tcBorders>
          </w:tcPr>
          <w:p>
            <w:pPr>
              <w:spacing w:after="0"/>
              <w:rPr>
                <w:sz w:val="24"/>
                <w:szCs w:val="24"/>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w:t>
            </w:r>
          </w:p>
        </w:tc>
      </w:tr>
      <w:tr>
        <w:trPr>
          <w:trHeight w:val="182"/>
        </w:trPr>
        <w:tc>
          <w:tcPr>
            <w:tcW w:w="2880" w:type="dxa"/>
            <w:vAlign w:val="bottom"/>
            <w:gridSpan w:val="2"/>
          </w:tcPr>
          <w:p>
            <w:pPr>
              <w:spacing w:after="0" w:line="182" w:lineRule="exact"/>
              <w:rPr>
                <w:sz w:val="20"/>
                <w:szCs w:val="20"/>
                <w:color w:val="auto"/>
              </w:rPr>
            </w:pPr>
            <w:r>
              <w:rPr>
                <w:rFonts w:ascii="Arial" w:cs="Arial" w:eastAsia="Arial" w:hAnsi="Arial"/>
                <w:sz w:val="18"/>
                <w:szCs w:val="18"/>
                <w:color w:val="auto"/>
              </w:rPr>
              <w:t>Douglas L. Martin</w:t>
            </w:r>
          </w:p>
        </w:tc>
        <w:tc>
          <w:tcPr>
            <w:tcW w:w="2300" w:type="dxa"/>
            <w:vAlign w:val="bottom"/>
          </w:tcPr>
          <w:p>
            <w:pPr>
              <w:spacing w:after="0"/>
              <w:rPr>
                <w:sz w:val="15"/>
                <w:szCs w:val="15"/>
                <w:color w:val="auto"/>
              </w:rPr>
            </w:pPr>
          </w:p>
        </w:tc>
        <w:tc>
          <w:tcPr>
            <w:tcW w:w="4080" w:type="dxa"/>
            <w:vAlign w:val="bottom"/>
            <w:gridSpan w:val="3"/>
          </w:tcPr>
          <w:p>
            <w:pPr>
              <w:ind w:left="220"/>
              <w:spacing w:after="0" w:line="182" w:lineRule="exact"/>
              <w:rPr>
                <w:sz w:val="20"/>
                <w:szCs w:val="20"/>
                <w:color w:val="auto"/>
              </w:rPr>
            </w:pPr>
            <w:r>
              <w:rPr>
                <w:rFonts w:ascii="Arial" w:cs="Arial" w:eastAsia="Arial" w:hAnsi="Arial"/>
                <w:sz w:val="18"/>
                <w:szCs w:val="18"/>
                <w:color w:val="auto"/>
                <w:w w:val="92"/>
              </w:rPr>
              <w:t>(Principal Financial Officer and Principal Accounting</w:t>
            </w:r>
          </w:p>
        </w:tc>
      </w:tr>
      <w:tr>
        <w:trPr>
          <w:trHeight w:val="230"/>
        </w:trPr>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Officer)</w:t>
            </w:r>
          </w:p>
        </w:tc>
      </w:tr>
      <w:tr>
        <w:trPr>
          <w:trHeight w:val="446"/>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2300" w:type="dxa"/>
            <w:vAlign w:val="bottom"/>
            <w:tcBorders>
              <w:bottom w:val="single" w:sz="8" w:color="auto"/>
            </w:tcBorders>
          </w:tcPr>
          <w:p>
            <w:pPr>
              <w:spacing w:after="0"/>
              <w:rPr>
                <w:sz w:val="24"/>
                <w:szCs w:val="24"/>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2300" w:type="dxa"/>
            <w:vAlign w:val="bottom"/>
            <w:tcBorders>
              <w:bottom w:val="single" w:sz="8" w:color="auto"/>
            </w:tcBorders>
          </w:tcPr>
          <w:p>
            <w:pPr>
              <w:spacing w:after="0"/>
              <w:rPr>
                <w:sz w:val="24"/>
                <w:szCs w:val="24"/>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64"/>
        </w:trPr>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80" w:type="dxa"/>
            <w:vAlign w:val="bottom"/>
            <w:gridSpan w:val="3"/>
          </w:tcPr>
          <w:p>
            <w:pPr>
              <w:ind w:left="360"/>
              <w:spacing w:after="0"/>
              <w:rPr>
                <w:sz w:val="20"/>
                <w:szCs w:val="20"/>
                <w:color w:val="auto"/>
              </w:rPr>
            </w:pPr>
            <w:r>
              <w:rPr>
                <w:rFonts w:ascii="Arial" w:cs="Arial" w:eastAsia="Arial" w:hAnsi="Arial"/>
                <w:sz w:val="18"/>
                <w:szCs w:val="18"/>
                <w:color w:val="auto"/>
              </w:rPr>
              <w:t>II-14</w:t>
            </w:r>
          </w:p>
        </w:tc>
      </w:tr>
    </w:tbl>
    <w:p>
      <w:pPr>
        <w:sectPr>
          <w:pgSz w:w="11900" w:h="16838" w:orient="portrait"/>
          <w:cols w:equalWidth="0" w:num="1">
            <w:col w:w="11420"/>
          </w:cols>
          <w:pgMar w:left="240" w:top="460" w:right="23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ROV INTERNATIONAL HOLDINGS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3900" w:type="dxa"/>
            <w:vAlign w:val="bottom"/>
            <w:gridSpan w:val="3"/>
          </w:tcPr>
          <w:p>
            <w:pPr>
              <w:ind w:left="2280"/>
              <w:spacing w:after="0"/>
              <w:rPr>
                <w:sz w:val="20"/>
                <w:szCs w:val="20"/>
                <w:color w:val="auto"/>
              </w:rPr>
            </w:pPr>
            <w:r>
              <w:rPr>
                <w:rFonts w:ascii="Arial" w:cs="Arial" w:eastAsia="Arial" w:hAnsi="Arial"/>
                <w:sz w:val="14"/>
                <w:szCs w:val="14"/>
                <w:color w:val="auto"/>
              </w:rPr>
              <w:t>Signature</w:t>
            </w:r>
          </w:p>
        </w:tc>
        <w:tc>
          <w:tcPr>
            <w:tcW w:w="17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Title</w:t>
            </w:r>
          </w:p>
        </w:tc>
      </w:tr>
      <w:tr>
        <w:trPr>
          <w:trHeight w:val="412"/>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Andreas Rouvé</w:t>
            </w:r>
          </w:p>
        </w:tc>
        <w:tc>
          <w:tcPr>
            <w:tcW w:w="540" w:type="dxa"/>
            <w:vAlign w:val="bottom"/>
            <w:tcBorders>
              <w:top w:val="single" w:sz="8" w:color="auto"/>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2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224"/>
        </w:trPr>
        <w:tc>
          <w:tcPr>
            <w:tcW w:w="4460" w:type="dxa"/>
            <w:vAlign w:val="bottom"/>
            <w:gridSpan w:val="4"/>
          </w:tcPr>
          <w:p>
            <w:pPr>
              <w:spacing w:after="0"/>
              <w:rPr>
                <w:sz w:val="20"/>
                <w:szCs w:val="20"/>
                <w:color w:val="auto"/>
              </w:rPr>
            </w:pPr>
            <w:r>
              <w:rPr>
                <w:rFonts w:ascii="Arial" w:cs="Arial" w:eastAsia="Arial" w:hAnsi="Arial"/>
                <w:sz w:val="18"/>
                <w:szCs w:val="18"/>
                <w:color w:val="auto"/>
              </w:rPr>
              <w:t>Andreas Rouvé</w:t>
            </w:r>
          </w:p>
        </w:tc>
        <w:tc>
          <w:tcPr>
            <w:tcW w:w="1760" w:type="dxa"/>
            <w:vAlign w:val="bottom"/>
          </w:tcPr>
          <w:p>
            <w:pPr>
              <w:spacing w:after="0"/>
              <w:rPr>
                <w:sz w:val="19"/>
                <w:szCs w:val="19"/>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4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Douglas L. Martin</w:t>
            </w:r>
          </w:p>
        </w:tc>
        <w:tc>
          <w:tcPr>
            <w:tcW w:w="1760" w:type="dxa"/>
            <w:vAlign w:val="bottom"/>
            <w:tcBorders>
              <w:bottom w:val="single" w:sz="8" w:color="auto"/>
            </w:tcBorders>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w:t>
            </w:r>
          </w:p>
        </w:tc>
      </w:tr>
      <w:tr>
        <w:trPr>
          <w:trHeight w:val="224"/>
        </w:trPr>
        <w:tc>
          <w:tcPr>
            <w:tcW w:w="4460" w:type="dxa"/>
            <w:vAlign w:val="bottom"/>
            <w:gridSpan w:val="4"/>
          </w:tcPr>
          <w:p>
            <w:pPr>
              <w:spacing w:after="0"/>
              <w:rPr>
                <w:sz w:val="20"/>
                <w:szCs w:val="20"/>
                <w:color w:val="auto"/>
              </w:rPr>
            </w:pPr>
            <w:r>
              <w:rPr>
                <w:rFonts w:ascii="Arial" w:cs="Arial" w:eastAsia="Arial" w:hAnsi="Arial"/>
                <w:sz w:val="18"/>
                <w:szCs w:val="18"/>
                <w:color w:val="auto"/>
              </w:rPr>
              <w:t>Douglas L. Martin</w:t>
            </w:r>
          </w:p>
        </w:tc>
        <w:tc>
          <w:tcPr>
            <w:tcW w:w="1760" w:type="dxa"/>
            <w:vAlign w:val="bottom"/>
          </w:tcPr>
          <w:p>
            <w:pPr>
              <w:spacing w:after="0"/>
              <w:rPr>
                <w:sz w:val="19"/>
                <w:szCs w:val="19"/>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4460" w:type="dxa"/>
            <w:vAlign w:val="bottom"/>
            <w:gridSpan w:val="4"/>
          </w:tcPr>
          <w:p>
            <w:pPr>
              <w:spacing w:after="0"/>
              <w:rPr>
                <w:sz w:val="20"/>
                <w:szCs w:val="20"/>
                <w:color w:val="auto"/>
              </w:rPr>
            </w:pPr>
            <w:r>
              <w:rPr>
                <w:rFonts w:ascii="Arial" w:cs="Arial" w:eastAsia="Arial" w:hAnsi="Arial"/>
                <w:sz w:val="18"/>
                <w:szCs w:val="18"/>
                <w:color w:val="auto"/>
              </w:rPr>
              <w:t>ROV HOLDING, INC.</w:t>
            </w:r>
          </w:p>
        </w:tc>
        <w:tc>
          <w:tcPr>
            <w:tcW w:w="1760" w:type="dxa"/>
            <w:vAlign w:val="bottom"/>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Sole Member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Nathan E. Fagre</w:t>
            </w:r>
          </w:p>
        </w:tc>
        <w:tc>
          <w:tcPr>
            <w:tcW w:w="17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gridSpan w:val="3"/>
          </w:tcPr>
          <w:p>
            <w:pPr>
              <w:spacing w:after="0"/>
              <w:rPr>
                <w:sz w:val="20"/>
                <w:szCs w:val="20"/>
                <w:color w:val="auto"/>
              </w:rPr>
            </w:pPr>
            <w:r>
              <w:rPr>
                <w:rFonts w:ascii="Arial" w:cs="Arial" w:eastAsia="Arial" w:hAnsi="Arial"/>
                <w:sz w:val="18"/>
                <w:szCs w:val="18"/>
                <w:color w:val="auto"/>
              </w:rPr>
              <w:t>Nathan E. Fagre</w:t>
            </w:r>
          </w:p>
        </w:tc>
        <w:tc>
          <w:tcPr>
            <w:tcW w:w="1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4460" w:type="dxa"/>
            <w:vAlign w:val="bottom"/>
            <w:gridSpan w:val="4"/>
          </w:tcPr>
          <w:p>
            <w:pPr>
              <w:spacing w:after="0"/>
              <w:rPr>
                <w:sz w:val="20"/>
                <w:szCs w:val="20"/>
                <w:color w:val="auto"/>
              </w:rPr>
            </w:pPr>
            <w:r>
              <w:rPr>
                <w:rFonts w:ascii="Arial" w:cs="Arial" w:eastAsia="Arial" w:hAnsi="Arial"/>
                <w:sz w:val="18"/>
                <w:szCs w:val="18"/>
                <w:color w:val="auto"/>
              </w:rPr>
              <w:t>Title: Senior Vice President and Secretary</w:t>
            </w:r>
          </w:p>
        </w:tc>
        <w:tc>
          <w:tcPr>
            <w:tcW w:w="1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5"/>
        </w:trPr>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60" w:type="dxa"/>
            <w:vAlign w:val="bottom"/>
            <w:gridSpan w:val="4"/>
          </w:tcPr>
          <w:p>
            <w:pPr>
              <w:ind w:left="1080"/>
              <w:spacing w:after="0"/>
              <w:rPr>
                <w:sz w:val="20"/>
                <w:szCs w:val="20"/>
                <w:color w:val="auto"/>
              </w:rPr>
            </w:pPr>
            <w:r>
              <w:rPr>
                <w:rFonts w:ascii="Arial" w:cs="Arial" w:eastAsia="Arial" w:hAnsi="Arial"/>
                <w:sz w:val="18"/>
                <w:szCs w:val="18"/>
                <w:color w:val="auto"/>
              </w:rPr>
              <w:t>II-15</w:t>
            </w:r>
          </w:p>
        </w:tc>
      </w:tr>
    </w:tbl>
    <w:p>
      <w:pPr>
        <w:sectPr>
          <w:pgSz w:w="11900" w:h="16838" w:orient="portrait"/>
          <w:cols w:equalWidth="0" w:num="1">
            <w:col w:w="11420"/>
          </w:cols>
          <w:pgMar w:left="240" w:top="459" w:right="23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SALIX ANIMAL HEALTH,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Senior Vice President, Secretary and General Counsel</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4360" w:type="dxa"/>
            <w:vAlign w:val="bottom"/>
            <w:gridSpan w:val="3"/>
          </w:tcPr>
          <w:p>
            <w:pPr>
              <w:ind w:left="2280"/>
              <w:spacing w:after="0"/>
              <w:rPr>
                <w:sz w:val="20"/>
                <w:szCs w:val="20"/>
                <w:color w:val="auto"/>
              </w:rPr>
            </w:pPr>
            <w:r>
              <w:rPr>
                <w:rFonts w:ascii="Arial" w:cs="Arial" w:eastAsia="Arial" w:hAnsi="Arial"/>
                <w:sz w:val="14"/>
                <w:szCs w:val="14"/>
                <w:color w:val="auto"/>
              </w:rPr>
              <w:t>Signature</w:t>
            </w:r>
          </w:p>
        </w:tc>
        <w:tc>
          <w:tcPr>
            <w:tcW w:w="13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Title</w:t>
            </w:r>
          </w:p>
        </w:tc>
      </w:tr>
      <w:tr>
        <w:trPr>
          <w:trHeight w:val="412"/>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Randy Lewis</w:t>
            </w:r>
          </w:p>
        </w:tc>
        <w:tc>
          <w:tcPr>
            <w:tcW w:w="540" w:type="dxa"/>
            <w:vAlign w:val="bottom"/>
            <w:tcBorders>
              <w:top w:val="single" w:sz="8" w:color="auto"/>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2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224"/>
        </w:trPr>
        <w:tc>
          <w:tcPr>
            <w:tcW w:w="4920" w:type="dxa"/>
            <w:vAlign w:val="bottom"/>
            <w:gridSpan w:val="4"/>
          </w:tcPr>
          <w:p>
            <w:pPr>
              <w:spacing w:after="0"/>
              <w:rPr>
                <w:sz w:val="20"/>
                <w:szCs w:val="20"/>
                <w:color w:val="auto"/>
              </w:rPr>
            </w:pPr>
            <w:r>
              <w:rPr>
                <w:rFonts w:ascii="Arial" w:cs="Arial" w:eastAsia="Arial" w:hAnsi="Arial"/>
                <w:sz w:val="18"/>
                <w:szCs w:val="18"/>
                <w:color w:val="auto"/>
              </w:rPr>
              <w:t>Randy Lewis</w:t>
            </w:r>
          </w:p>
        </w:tc>
        <w:tc>
          <w:tcPr>
            <w:tcW w:w="1300" w:type="dxa"/>
            <w:vAlign w:val="bottom"/>
          </w:tcPr>
          <w:p>
            <w:pPr>
              <w:spacing w:after="0"/>
              <w:rPr>
                <w:sz w:val="19"/>
                <w:szCs w:val="19"/>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John Beattie</w:t>
            </w:r>
          </w:p>
        </w:tc>
        <w:tc>
          <w:tcPr>
            <w:tcW w:w="1300" w:type="dxa"/>
            <w:vAlign w:val="bottom"/>
            <w:tcBorders>
              <w:bottom w:val="single" w:sz="8" w:color="auto"/>
            </w:tcBorders>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w:t>
            </w:r>
          </w:p>
        </w:tc>
      </w:tr>
      <w:tr>
        <w:trPr>
          <w:trHeight w:val="224"/>
        </w:trPr>
        <w:tc>
          <w:tcPr>
            <w:tcW w:w="4920" w:type="dxa"/>
            <w:vAlign w:val="bottom"/>
            <w:gridSpan w:val="4"/>
          </w:tcPr>
          <w:p>
            <w:pPr>
              <w:spacing w:after="0"/>
              <w:rPr>
                <w:sz w:val="20"/>
                <w:szCs w:val="20"/>
                <w:color w:val="auto"/>
              </w:rPr>
            </w:pPr>
            <w:r>
              <w:rPr>
                <w:rFonts w:ascii="Arial" w:cs="Arial" w:eastAsia="Arial" w:hAnsi="Arial"/>
                <w:sz w:val="18"/>
                <w:szCs w:val="18"/>
                <w:color w:val="auto"/>
              </w:rPr>
              <w:t>John Beattie</w:t>
            </w:r>
          </w:p>
        </w:tc>
        <w:tc>
          <w:tcPr>
            <w:tcW w:w="1300" w:type="dxa"/>
            <w:vAlign w:val="bottom"/>
          </w:tcPr>
          <w:p>
            <w:pPr>
              <w:spacing w:after="0"/>
              <w:rPr>
                <w:sz w:val="19"/>
                <w:szCs w:val="19"/>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4920" w:type="dxa"/>
            <w:vAlign w:val="bottom"/>
            <w:gridSpan w:val="4"/>
          </w:tcPr>
          <w:p>
            <w:pPr>
              <w:spacing w:after="0"/>
              <w:rPr>
                <w:sz w:val="20"/>
                <w:szCs w:val="20"/>
                <w:color w:val="auto"/>
              </w:rPr>
            </w:pPr>
            <w:r>
              <w:rPr>
                <w:rFonts w:ascii="Arial" w:cs="Arial" w:eastAsia="Arial" w:hAnsi="Arial"/>
                <w:sz w:val="18"/>
                <w:szCs w:val="18"/>
                <w:color w:val="auto"/>
              </w:rPr>
              <w:t>SPECTRUM BRANDS, INC.</w:t>
            </w:r>
          </w:p>
        </w:tc>
        <w:tc>
          <w:tcPr>
            <w:tcW w:w="1300" w:type="dxa"/>
            <w:vAlign w:val="bottom"/>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Sole Member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Nathan E. Fagre</w:t>
            </w:r>
          </w:p>
        </w:tc>
        <w:tc>
          <w:tcPr>
            <w:tcW w:w="130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gridSpan w:val="3"/>
          </w:tcPr>
          <w:p>
            <w:pPr>
              <w:spacing w:after="0"/>
              <w:rPr>
                <w:sz w:val="20"/>
                <w:szCs w:val="20"/>
                <w:color w:val="auto"/>
              </w:rPr>
            </w:pPr>
            <w:r>
              <w:rPr>
                <w:rFonts w:ascii="Arial" w:cs="Arial" w:eastAsia="Arial" w:hAnsi="Arial"/>
                <w:sz w:val="18"/>
                <w:szCs w:val="18"/>
                <w:color w:val="auto"/>
              </w:rPr>
              <w:t>Nathan E. Fagre</w:t>
            </w:r>
          </w:p>
        </w:tc>
        <w:tc>
          <w:tcPr>
            <w:tcW w:w="1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4920" w:type="dxa"/>
            <w:vAlign w:val="bottom"/>
            <w:gridSpan w:val="4"/>
          </w:tcPr>
          <w:p>
            <w:pPr>
              <w:spacing w:after="0"/>
              <w:rPr>
                <w:sz w:val="20"/>
                <w:szCs w:val="20"/>
                <w:color w:val="auto"/>
              </w:rPr>
            </w:pPr>
            <w:r>
              <w:rPr>
                <w:rFonts w:ascii="Arial" w:cs="Arial" w:eastAsia="Arial" w:hAnsi="Arial"/>
                <w:sz w:val="18"/>
                <w:szCs w:val="18"/>
                <w:color w:val="auto"/>
              </w:rPr>
              <w:t>Title: Senior Vice President, Secretary and General Counsel</w:t>
            </w:r>
          </w:p>
        </w:tc>
        <w:tc>
          <w:tcPr>
            <w:tcW w:w="1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5"/>
        </w:trPr>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900" w:type="dxa"/>
            <w:vAlign w:val="bottom"/>
            <w:gridSpan w:val="4"/>
          </w:tcPr>
          <w:p>
            <w:pPr>
              <w:ind w:left="620"/>
              <w:spacing w:after="0"/>
              <w:rPr>
                <w:sz w:val="20"/>
                <w:szCs w:val="20"/>
                <w:color w:val="auto"/>
              </w:rPr>
            </w:pPr>
            <w:r>
              <w:rPr>
                <w:rFonts w:ascii="Arial" w:cs="Arial" w:eastAsia="Arial" w:hAnsi="Arial"/>
                <w:sz w:val="18"/>
                <w:szCs w:val="18"/>
                <w:color w:val="auto"/>
              </w:rPr>
              <w:t>II-16</w:t>
            </w:r>
          </w:p>
        </w:tc>
      </w:tr>
    </w:tbl>
    <w:p>
      <w:pPr>
        <w:sectPr>
          <w:pgSz w:w="11900" w:h="16838" w:orient="portrait"/>
          <w:cols w:equalWidth="0" w:num="1">
            <w:col w:w="11420"/>
          </w:cols>
          <w:pgMar w:left="240" w:top="459" w:right="23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SB/RH HOLDINGS,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Senior Vice President, Secretary and General Counsel</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4360" w:type="dxa"/>
            <w:vAlign w:val="bottom"/>
            <w:gridSpan w:val="3"/>
          </w:tcPr>
          <w:p>
            <w:pPr>
              <w:ind w:left="2280"/>
              <w:spacing w:after="0"/>
              <w:rPr>
                <w:sz w:val="20"/>
                <w:szCs w:val="20"/>
                <w:color w:val="auto"/>
              </w:rPr>
            </w:pPr>
            <w:r>
              <w:rPr>
                <w:rFonts w:ascii="Arial" w:cs="Arial" w:eastAsia="Arial" w:hAnsi="Arial"/>
                <w:sz w:val="14"/>
                <w:szCs w:val="14"/>
                <w:color w:val="auto"/>
              </w:rPr>
              <w:t>Signature</w:t>
            </w:r>
          </w:p>
        </w:tc>
        <w:tc>
          <w:tcPr>
            <w:tcW w:w="13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Title</w:t>
            </w:r>
          </w:p>
        </w:tc>
      </w:tr>
      <w:tr>
        <w:trPr>
          <w:trHeight w:val="20"/>
        </w:trPr>
        <w:tc>
          <w:tcPr>
            <w:tcW w:w="284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2"/>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Andreas Rouvé</w:t>
            </w:r>
          </w:p>
        </w:tc>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24"/>
        </w:trPr>
        <w:tc>
          <w:tcPr>
            <w:tcW w:w="4920" w:type="dxa"/>
            <w:vAlign w:val="bottom"/>
            <w:gridSpan w:val="4"/>
          </w:tcPr>
          <w:p>
            <w:pPr>
              <w:spacing w:after="0"/>
              <w:rPr>
                <w:sz w:val="20"/>
                <w:szCs w:val="20"/>
                <w:color w:val="auto"/>
              </w:rPr>
            </w:pPr>
            <w:r>
              <w:rPr>
                <w:rFonts w:ascii="Arial" w:cs="Arial" w:eastAsia="Arial" w:hAnsi="Arial"/>
                <w:sz w:val="18"/>
                <w:szCs w:val="18"/>
                <w:color w:val="auto"/>
              </w:rPr>
              <w:t>Andreas Rouvé</w:t>
            </w:r>
          </w:p>
        </w:tc>
        <w:tc>
          <w:tcPr>
            <w:tcW w:w="1300" w:type="dxa"/>
            <w:vAlign w:val="bottom"/>
          </w:tcPr>
          <w:p>
            <w:pPr>
              <w:spacing w:after="0"/>
              <w:rPr>
                <w:sz w:val="19"/>
                <w:szCs w:val="19"/>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323"/>
        </w:trPr>
        <w:tc>
          <w:tcPr>
            <w:tcW w:w="4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Douglas L. Martin</w:t>
            </w:r>
          </w:p>
        </w:tc>
        <w:tc>
          <w:tcPr>
            <w:tcW w:w="1300" w:type="dxa"/>
            <w:vAlign w:val="bottom"/>
            <w:tcBorders>
              <w:bottom w:val="single" w:sz="8" w:color="auto"/>
            </w:tcBorders>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w w:val="95"/>
              </w:rPr>
              <w:t>Executive Vice President, Chief Financial Officer and Chief</w:t>
            </w:r>
          </w:p>
        </w:tc>
      </w:tr>
      <w:tr>
        <w:trPr>
          <w:trHeight w:val="182"/>
        </w:trPr>
        <w:tc>
          <w:tcPr>
            <w:tcW w:w="4920" w:type="dxa"/>
            <w:vAlign w:val="bottom"/>
            <w:gridSpan w:val="4"/>
          </w:tcPr>
          <w:p>
            <w:pPr>
              <w:spacing w:after="0" w:line="182" w:lineRule="exact"/>
              <w:rPr>
                <w:sz w:val="20"/>
                <w:szCs w:val="20"/>
                <w:color w:val="auto"/>
              </w:rPr>
            </w:pPr>
            <w:r>
              <w:rPr>
                <w:rFonts w:ascii="Arial" w:cs="Arial" w:eastAsia="Arial" w:hAnsi="Arial"/>
                <w:sz w:val="18"/>
                <w:szCs w:val="18"/>
                <w:color w:val="auto"/>
              </w:rPr>
              <w:t>Douglas L. Martin</w:t>
            </w:r>
          </w:p>
        </w:tc>
        <w:tc>
          <w:tcPr>
            <w:tcW w:w="1300" w:type="dxa"/>
            <w:vAlign w:val="bottom"/>
          </w:tcPr>
          <w:p>
            <w:pPr>
              <w:spacing w:after="0"/>
              <w:rPr>
                <w:sz w:val="15"/>
                <w:szCs w:val="15"/>
                <w:color w:val="auto"/>
              </w:rPr>
            </w:pPr>
          </w:p>
        </w:tc>
        <w:tc>
          <w:tcPr>
            <w:tcW w:w="460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Accounting Officer</w:t>
            </w:r>
          </w:p>
        </w:tc>
      </w:tr>
      <w:tr>
        <w:trPr>
          <w:trHeight w:val="230"/>
        </w:trPr>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338"/>
        </w:trPr>
        <w:tc>
          <w:tcPr>
            <w:tcW w:w="4920" w:type="dxa"/>
            <w:vAlign w:val="bottom"/>
            <w:gridSpan w:val="4"/>
          </w:tcPr>
          <w:p>
            <w:pPr>
              <w:spacing w:after="0"/>
              <w:rPr>
                <w:sz w:val="20"/>
                <w:szCs w:val="20"/>
                <w:color w:val="auto"/>
              </w:rPr>
            </w:pPr>
            <w:r>
              <w:rPr>
                <w:rFonts w:ascii="Arial" w:cs="Arial" w:eastAsia="Arial" w:hAnsi="Arial"/>
                <w:sz w:val="18"/>
                <w:szCs w:val="18"/>
                <w:color w:val="auto"/>
              </w:rPr>
              <w:t>SPECTRUM BRANDS HOLDING, INC.</w:t>
            </w:r>
          </w:p>
        </w:tc>
        <w:tc>
          <w:tcPr>
            <w:tcW w:w="1300" w:type="dxa"/>
            <w:vAlign w:val="bottom"/>
          </w:tcPr>
          <w:p>
            <w:pPr>
              <w:spacing w:after="0"/>
              <w:rPr>
                <w:sz w:val="24"/>
                <w:szCs w:val="24"/>
                <w:color w:val="auto"/>
              </w:rPr>
            </w:pP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Sole Member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Nathan E. Fagre</w:t>
            </w:r>
          </w:p>
        </w:tc>
        <w:tc>
          <w:tcPr>
            <w:tcW w:w="130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gridSpan w:val="3"/>
          </w:tcPr>
          <w:p>
            <w:pPr>
              <w:spacing w:after="0"/>
              <w:rPr>
                <w:sz w:val="20"/>
                <w:szCs w:val="20"/>
                <w:color w:val="auto"/>
              </w:rPr>
            </w:pPr>
            <w:r>
              <w:rPr>
                <w:rFonts w:ascii="Arial" w:cs="Arial" w:eastAsia="Arial" w:hAnsi="Arial"/>
                <w:sz w:val="18"/>
                <w:szCs w:val="18"/>
                <w:color w:val="auto"/>
              </w:rPr>
              <w:t>Nathan E. Fagre</w:t>
            </w:r>
          </w:p>
        </w:tc>
        <w:tc>
          <w:tcPr>
            <w:tcW w:w="1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4920" w:type="dxa"/>
            <w:vAlign w:val="bottom"/>
            <w:gridSpan w:val="4"/>
          </w:tcPr>
          <w:p>
            <w:pPr>
              <w:spacing w:after="0"/>
              <w:rPr>
                <w:sz w:val="20"/>
                <w:szCs w:val="20"/>
                <w:color w:val="auto"/>
              </w:rPr>
            </w:pPr>
            <w:r>
              <w:rPr>
                <w:rFonts w:ascii="Arial" w:cs="Arial" w:eastAsia="Arial" w:hAnsi="Arial"/>
                <w:sz w:val="18"/>
                <w:szCs w:val="18"/>
                <w:color w:val="auto"/>
              </w:rPr>
              <w:t>Title: Senior Vice President, Secretary and General Counsel</w:t>
            </w:r>
          </w:p>
        </w:tc>
        <w:tc>
          <w:tcPr>
            <w:tcW w:w="1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5"/>
        </w:trPr>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900" w:type="dxa"/>
            <w:vAlign w:val="bottom"/>
            <w:gridSpan w:val="4"/>
          </w:tcPr>
          <w:p>
            <w:pPr>
              <w:ind w:left="620"/>
              <w:spacing w:after="0"/>
              <w:rPr>
                <w:sz w:val="20"/>
                <w:szCs w:val="20"/>
                <w:color w:val="auto"/>
              </w:rPr>
            </w:pPr>
            <w:r>
              <w:rPr>
                <w:rFonts w:ascii="Arial" w:cs="Arial" w:eastAsia="Arial" w:hAnsi="Arial"/>
                <w:sz w:val="18"/>
                <w:szCs w:val="18"/>
                <w:color w:val="auto"/>
              </w:rPr>
              <w:t>II-17</w:t>
            </w:r>
          </w:p>
        </w:tc>
      </w:tr>
    </w:tbl>
    <w:p>
      <w:pPr>
        <w:sectPr>
          <w:pgSz w:w="11900" w:h="16838" w:orient="portrait"/>
          <w:cols w:equalWidth="0" w:num="1">
            <w:col w:w="11420"/>
          </w:cols>
          <w:pgMar w:left="240" w:top="459" w:right="23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SCHULTZ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2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Title</w:t>
            </w:r>
          </w:p>
        </w:tc>
      </w:tr>
      <w:tr>
        <w:trPr>
          <w:trHeight w:val="412"/>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Randy Lewis</w:t>
            </w:r>
          </w:p>
        </w:tc>
        <w:tc>
          <w:tcPr>
            <w:tcW w:w="560" w:type="dxa"/>
            <w:vAlign w:val="bottom"/>
            <w:tcBorders>
              <w:top w:val="single" w:sz="8" w:color="auto"/>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100" w:type="dxa"/>
            <w:vAlign w:val="bottom"/>
          </w:tcPr>
          <w:p>
            <w:pPr>
              <w:ind w:left="220"/>
              <w:spacing w:after="0"/>
              <w:rPr>
                <w:sz w:val="20"/>
                <w:szCs w:val="20"/>
                <w:color w:val="auto"/>
              </w:rPr>
            </w:pPr>
            <w:r>
              <w:rPr>
                <w:rFonts w:ascii="Arial" w:cs="Arial" w:eastAsia="Arial" w:hAnsi="Arial"/>
                <w:sz w:val="18"/>
                <w:szCs w:val="18"/>
                <w:color w:val="auto"/>
              </w:rPr>
              <w:t>President</w:t>
            </w:r>
          </w:p>
        </w:tc>
        <w:tc>
          <w:tcPr>
            <w:tcW w:w="2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Randy Lewis</w:t>
            </w:r>
          </w:p>
        </w:tc>
        <w:tc>
          <w:tcPr>
            <w:tcW w:w="230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D. Miller</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Vice President and Chief Financial Officer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Robert D. Miller</w:t>
            </w:r>
          </w:p>
        </w:tc>
        <w:tc>
          <w:tcPr>
            <w:tcW w:w="230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64"/>
        </w:trPr>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II-18</w:t>
            </w:r>
          </w:p>
        </w:tc>
      </w:tr>
    </w:tbl>
    <w:p>
      <w:pPr>
        <w:sectPr>
          <w:pgSz w:w="11900" w:h="16838" w:orient="portrait"/>
          <w:cols w:equalWidth="0" w:num="1">
            <w:col w:w="11420"/>
          </w:cols>
          <w:pgMar w:left="240" w:top="459" w:right="23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STP PRODUCTS MANUFACTURING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2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Title</w:t>
            </w:r>
          </w:p>
        </w:tc>
      </w:tr>
      <w:tr>
        <w:trPr>
          <w:trHeight w:val="412"/>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Andrysick</w:t>
            </w:r>
          </w:p>
        </w:tc>
        <w:tc>
          <w:tcPr>
            <w:tcW w:w="560" w:type="dxa"/>
            <w:vAlign w:val="bottom"/>
            <w:tcBorders>
              <w:top w:val="single" w:sz="8" w:color="auto"/>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100" w:type="dxa"/>
            <w:vAlign w:val="bottom"/>
          </w:tcPr>
          <w:p>
            <w:pPr>
              <w:ind w:left="220"/>
              <w:spacing w:after="0"/>
              <w:rPr>
                <w:sz w:val="20"/>
                <w:szCs w:val="20"/>
                <w:color w:val="auto"/>
              </w:rPr>
            </w:pPr>
            <w:r>
              <w:rPr>
                <w:rFonts w:ascii="Arial" w:cs="Arial" w:eastAsia="Arial" w:hAnsi="Arial"/>
                <w:sz w:val="18"/>
                <w:szCs w:val="18"/>
                <w:color w:val="auto"/>
              </w:rPr>
              <w:t>President</w:t>
            </w:r>
          </w:p>
        </w:tc>
        <w:tc>
          <w:tcPr>
            <w:tcW w:w="2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Guy Andrysick</w:t>
            </w:r>
          </w:p>
        </w:tc>
        <w:tc>
          <w:tcPr>
            <w:tcW w:w="230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L. Martin</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Vice President</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230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64"/>
        </w:trPr>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II-19</w:t>
            </w:r>
          </w:p>
        </w:tc>
      </w:tr>
    </w:tbl>
    <w:p>
      <w:pPr>
        <w:sectPr>
          <w:pgSz w:w="11900" w:h="16838" w:orient="portrait"/>
          <w:cols w:equalWidth="0" w:num="1">
            <w:col w:w="11420"/>
          </w:cols>
          <w:pgMar w:left="240" w:top="460" w:right="23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ARMOR ALL/STP PRODUCTS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2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Title</w:t>
            </w:r>
          </w:p>
        </w:tc>
      </w:tr>
      <w:tr>
        <w:trPr>
          <w:trHeight w:val="412"/>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Andrysick</w:t>
            </w:r>
          </w:p>
        </w:tc>
        <w:tc>
          <w:tcPr>
            <w:tcW w:w="560" w:type="dxa"/>
            <w:vAlign w:val="bottom"/>
            <w:tcBorders>
              <w:top w:val="single" w:sz="8" w:color="auto"/>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100" w:type="dxa"/>
            <w:vAlign w:val="bottom"/>
          </w:tcPr>
          <w:p>
            <w:pPr>
              <w:ind w:left="220"/>
              <w:spacing w:after="0"/>
              <w:rPr>
                <w:sz w:val="20"/>
                <w:szCs w:val="20"/>
                <w:color w:val="auto"/>
              </w:rPr>
            </w:pPr>
            <w:r>
              <w:rPr>
                <w:rFonts w:ascii="Arial" w:cs="Arial" w:eastAsia="Arial" w:hAnsi="Arial"/>
                <w:sz w:val="18"/>
                <w:szCs w:val="18"/>
                <w:color w:val="auto"/>
              </w:rPr>
              <w:t>President</w:t>
            </w:r>
          </w:p>
        </w:tc>
        <w:tc>
          <w:tcPr>
            <w:tcW w:w="2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Guy Andrysick</w:t>
            </w:r>
          </w:p>
        </w:tc>
        <w:tc>
          <w:tcPr>
            <w:tcW w:w="230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L. Martin</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Vice President</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Douglas L. Martin</w:t>
            </w:r>
          </w:p>
        </w:tc>
        <w:tc>
          <w:tcPr>
            <w:tcW w:w="230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64"/>
        </w:trPr>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II-20</w:t>
            </w:r>
          </w:p>
        </w:tc>
      </w:tr>
    </w:tbl>
    <w:p>
      <w:pPr>
        <w:sectPr>
          <w:pgSz w:w="11900" w:h="16838" w:orient="portrait"/>
          <w:cols w:equalWidth="0" w:num="1">
            <w:col w:w="11420"/>
          </w:cols>
          <w:pgMar w:left="240" w:top="459" w:right="23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Middleton, State of Wisconsin, on the 15</w:t>
      </w:r>
      <w:r>
        <w:rPr>
          <w:rFonts w:ascii="Arial" w:cs="Arial" w:eastAsia="Arial" w:hAnsi="Arial"/>
          <w:sz w:val="14"/>
          <w:szCs w:val="14"/>
          <w:color w:val="auto"/>
        </w:rPr>
        <w:t>th</w:t>
      </w:r>
      <w:r>
        <w:rPr>
          <w:rFonts w:ascii="Arial" w:cs="Arial" w:eastAsia="Arial" w:hAnsi="Arial"/>
          <w:sz w:val="17"/>
          <w:szCs w:val="17"/>
          <w:color w:val="auto"/>
        </w:rPr>
        <w:t xml:space="preserve"> day of January,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UNITED INDUSTRIES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Assistant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John Beattie or Nathan E. Fagre or either of them his or her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on January 15, 2016 by the following persons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2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Title</w:t>
            </w:r>
          </w:p>
        </w:tc>
      </w:tr>
      <w:tr>
        <w:trPr>
          <w:trHeight w:val="412"/>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Randy Lewis</w:t>
            </w:r>
          </w:p>
        </w:tc>
        <w:tc>
          <w:tcPr>
            <w:tcW w:w="560" w:type="dxa"/>
            <w:vAlign w:val="bottom"/>
            <w:tcBorders>
              <w:top w:val="single" w:sz="8" w:color="auto"/>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100" w:type="dxa"/>
            <w:vAlign w:val="bottom"/>
          </w:tcPr>
          <w:p>
            <w:pPr>
              <w:ind w:left="220"/>
              <w:spacing w:after="0"/>
              <w:rPr>
                <w:sz w:val="20"/>
                <w:szCs w:val="20"/>
                <w:color w:val="auto"/>
              </w:rPr>
            </w:pPr>
            <w:r>
              <w:rPr>
                <w:rFonts w:ascii="Arial" w:cs="Arial" w:eastAsia="Arial" w:hAnsi="Arial"/>
                <w:sz w:val="18"/>
                <w:szCs w:val="18"/>
                <w:color w:val="auto"/>
              </w:rPr>
              <w:t>President</w:t>
            </w:r>
          </w:p>
        </w:tc>
        <w:tc>
          <w:tcPr>
            <w:tcW w:w="2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Randy Lewis</w:t>
            </w:r>
          </w:p>
        </w:tc>
        <w:tc>
          <w:tcPr>
            <w:tcW w:w="230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D. Miller</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Vice President and Chief Financial Officer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Robert D. Miller</w:t>
            </w:r>
          </w:p>
        </w:tc>
        <w:tc>
          <w:tcPr>
            <w:tcW w:w="230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Beattie</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John Beattie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Nathan E. Fagre</w:t>
            </w:r>
          </w:p>
        </w:tc>
        <w:tc>
          <w:tcPr>
            <w:tcW w:w="230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Nathan E. Fagre</w:t>
            </w:r>
          </w:p>
        </w:tc>
        <w:tc>
          <w:tcPr>
            <w:tcW w:w="2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64"/>
        </w:trPr>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Arial" w:cs="Arial" w:eastAsia="Arial" w:hAnsi="Arial"/>
                <w:sz w:val="18"/>
                <w:szCs w:val="18"/>
                <w:color w:val="auto"/>
              </w:rPr>
              <w:t>II-21</w:t>
            </w:r>
          </w:p>
        </w:tc>
      </w:tr>
    </w:tbl>
    <w:p>
      <w:pPr>
        <w:sectPr>
          <w:pgSz w:w="11900" w:h="16838" w:orient="portrait"/>
          <w:cols w:equalWidth="0" w:num="1">
            <w:col w:w="11420"/>
          </w:cols>
          <w:pgMar w:left="240" w:top="459" w:right="239" w:bottom="1440" w:gutter="0" w:footer="0" w:header="0"/>
        </w:sectPr>
      </w:pPr>
    </w:p>
    <w:bookmarkStart w:id="437" w:name="page438"/>
    <w:bookmarkEnd w:id="4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Table of Contents</w:t>
              </w:r>
            </w:hyperlink>
          </w:p>
        </w:tc>
        <w:tc>
          <w:tcPr>
            <w:tcW w:w="99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994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1420" w:type="dxa"/>
            <w:vAlign w:val="bottom"/>
            <w:gridSpan w:val="2"/>
          </w:tcPr>
          <w:p>
            <w:pPr>
              <w:spacing w:after="0"/>
              <w:rPr>
                <w:sz w:val="20"/>
                <w:szCs w:val="20"/>
                <w:color w:val="auto"/>
              </w:rPr>
            </w:pPr>
            <w:r>
              <w:rPr>
                <w:rFonts w:ascii="Arial" w:cs="Arial" w:eastAsia="Arial" w:hAnsi="Arial"/>
                <w:sz w:val="18"/>
                <w:szCs w:val="18"/>
                <w:color w:val="auto"/>
              </w:rPr>
              <w:t>Exhibit 2.1</w:t>
            </w:r>
          </w:p>
        </w:tc>
        <w:tc>
          <w:tcPr>
            <w:tcW w:w="9940" w:type="dxa"/>
            <w:vAlign w:val="bottom"/>
          </w:tcPr>
          <w:p>
            <w:pPr>
              <w:ind w:left="80"/>
              <w:spacing w:after="0"/>
              <w:rPr>
                <w:sz w:val="20"/>
                <w:szCs w:val="20"/>
                <w:color w:val="auto"/>
              </w:rPr>
            </w:pPr>
            <w:r>
              <w:rPr>
                <w:rFonts w:ascii="Arial" w:cs="Arial" w:eastAsia="Arial" w:hAnsi="Arial"/>
                <w:sz w:val="18"/>
                <w:szCs w:val="18"/>
                <w:color w:val="auto"/>
                <w:w w:val="92"/>
              </w:rPr>
              <w:t>Acquisition Agreement, dated October 8, 2012, by and between Spectrum Brands, Inc. and Stanley Black &amp; Decker, Inc. (incorporated</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w w:val="92"/>
              </w:rPr>
              <w:t>herein by reference to Exhibit 2.1 to the Current Report on Form 8-K filed with the SEC by Spectrum Brands, Inc. on October 12, 2012</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(File No. 001-13615)).</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2.2</w:t>
            </w:r>
          </w:p>
        </w:tc>
        <w:tc>
          <w:tcPr>
            <w:tcW w:w="9940" w:type="dxa"/>
            <w:vAlign w:val="bottom"/>
          </w:tcPr>
          <w:p>
            <w:pPr>
              <w:ind w:left="80"/>
              <w:spacing w:after="0"/>
              <w:rPr>
                <w:sz w:val="20"/>
                <w:szCs w:val="20"/>
                <w:color w:val="auto"/>
              </w:rPr>
            </w:pPr>
            <w:r>
              <w:rPr>
                <w:rFonts w:ascii="Arial" w:cs="Arial" w:eastAsia="Arial" w:hAnsi="Arial"/>
                <w:sz w:val="18"/>
                <w:szCs w:val="18"/>
                <w:color w:val="auto"/>
                <w:w w:val="92"/>
              </w:rPr>
              <w:t>Agreement and Plan of Merger, dated as of April 28, 2015 between Spectrum Brands Holdings, Inc., Armored AutoGroup Parent Inc.,</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w w:val="93"/>
              </w:rPr>
              <w:t>Ignite Merger Sub, Inc. and Avista Capital Partners II GP, LLC, as representative for the shareholders and optionholders of Armored</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w w:val="97"/>
              </w:rPr>
              <w:t>AutoGroup Parent Inc. (incorporated herein by reference to Exhibit 2.1 to the Current Report on Form 8-K filed with the SEC by</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Spectrum Brands Holdings, Inc. on April 29, 2015 (File No. 001-34757)).</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9940" w:type="dxa"/>
            <w:vAlign w:val="bottom"/>
          </w:tcPr>
          <w:p>
            <w:pPr>
              <w:ind w:left="80"/>
              <w:spacing w:after="0"/>
              <w:rPr>
                <w:sz w:val="20"/>
                <w:szCs w:val="20"/>
                <w:color w:val="auto"/>
              </w:rPr>
            </w:pPr>
            <w:r>
              <w:rPr>
                <w:rFonts w:ascii="Arial" w:cs="Arial" w:eastAsia="Arial" w:hAnsi="Arial"/>
                <w:sz w:val="18"/>
                <w:szCs w:val="18"/>
                <w:color w:val="auto"/>
                <w:w w:val="93"/>
              </w:rPr>
              <w:t>Certificate of Incorporation of Spectrum Brands, Inc. (incorporated herein by reference to Exhibit 3.2 to the Registration Statement 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Form 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9940" w:type="dxa"/>
            <w:vAlign w:val="bottom"/>
          </w:tcPr>
          <w:p>
            <w:pPr>
              <w:ind w:left="80"/>
              <w:spacing w:after="0"/>
              <w:rPr>
                <w:sz w:val="20"/>
                <w:szCs w:val="20"/>
                <w:color w:val="auto"/>
              </w:rPr>
            </w:pPr>
            <w:r>
              <w:rPr>
                <w:rFonts w:ascii="Arial" w:cs="Arial" w:eastAsia="Arial" w:hAnsi="Arial"/>
                <w:sz w:val="18"/>
                <w:szCs w:val="18"/>
                <w:color w:val="auto"/>
                <w:w w:val="91"/>
              </w:rPr>
              <w:t>Amended and Restated Bylaws of Spectrum Brands, Inc. (incorporated herein by reference to Exhibit 3.2 to the Registration Statement</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3.3</w:t>
            </w:r>
          </w:p>
        </w:tc>
        <w:tc>
          <w:tcPr>
            <w:tcW w:w="9940" w:type="dxa"/>
            <w:vAlign w:val="bottom"/>
          </w:tcPr>
          <w:p>
            <w:pPr>
              <w:ind w:left="80"/>
              <w:spacing w:after="0"/>
              <w:rPr>
                <w:sz w:val="20"/>
                <w:szCs w:val="20"/>
                <w:color w:val="auto"/>
              </w:rPr>
            </w:pPr>
            <w:r>
              <w:rPr>
                <w:rFonts w:ascii="Arial" w:cs="Arial" w:eastAsia="Arial" w:hAnsi="Arial"/>
                <w:sz w:val="18"/>
                <w:szCs w:val="18"/>
                <w:color w:val="auto"/>
                <w:w w:val="93"/>
              </w:rPr>
              <w:t>Certificate of Formation of AA Group (U.S.)—A LLC (incorporated herein by reference to Exhibit 3.3 to the Registration Statement 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3.4</w:t>
            </w:r>
          </w:p>
        </w:tc>
        <w:tc>
          <w:tcPr>
            <w:tcW w:w="9940" w:type="dxa"/>
            <w:vAlign w:val="bottom"/>
          </w:tcPr>
          <w:p>
            <w:pPr>
              <w:ind w:left="80"/>
              <w:spacing w:after="0"/>
              <w:rPr>
                <w:sz w:val="20"/>
                <w:szCs w:val="20"/>
                <w:color w:val="auto"/>
              </w:rPr>
            </w:pPr>
            <w:r>
              <w:rPr>
                <w:rFonts w:ascii="Arial" w:cs="Arial" w:eastAsia="Arial" w:hAnsi="Arial"/>
                <w:sz w:val="18"/>
                <w:szCs w:val="18"/>
                <w:color w:val="auto"/>
                <w:w w:val="93"/>
              </w:rPr>
              <w:t>Limited Liability Company Agreement of AA Group (U.S.)—A LLC (incorporated herein by reference to Exhibit 3.4 to the Registration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3.5</w:t>
            </w:r>
          </w:p>
        </w:tc>
        <w:tc>
          <w:tcPr>
            <w:tcW w:w="9940" w:type="dxa"/>
            <w:vAlign w:val="bottom"/>
          </w:tcPr>
          <w:p>
            <w:pPr>
              <w:ind w:left="80"/>
              <w:spacing w:after="0"/>
              <w:rPr>
                <w:sz w:val="20"/>
                <w:szCs w:val="20"/>
                <w:color w:val="auto"/>
              </w:rPr>
            </w:pPr>
            <w:r>
              <w:rPr>
                <w:rFonts w:ascii="Arial" w:cs="Arial" w:eastAsia="Arial" w:hAnsi="Arial"/>
                <w:sz w:val="18"/>
                <w:szCs w:val="18"/>
                <w:color w:val="auto"/>
                <w:w w:val="93"/>
              </w:rPr>
              <w:t>Certificate of Formation of AA Group (U.S.)—B LLC (incorporated herein by reference to Exhibit 3.5 to the Registration Statement 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3.6</w:t>
            </w:r>
          </w:p>
        </w:tc>
        <w:tc>
          <w:tcPr>
            <w:tcW w:w="9940" w:type="dxa"/>
            <w:vAlign w:val="bottom"/>
          </w:tcPr>
          <w:p>
            <w:pPr>
              <w:ind w:left="80"/>
              <w:spacing w:after="0"/>
              <w:rPr>
                <w:sz w:val="20"/>
                <w:szCs w:val="20"/>
                <w:color w:val="auto"/>
              </w:rPr>
            </w:pPr>
            <w:r>
              <w:rPr>
                <w:rFonts w:ascii="Arial" w:cs="Arial" w:eastAsia="Arial" w:hAnsi="Arial"/>
                <w:sz w:val="18"/>
                <w:szCs w:val="18"/>
                <w:color w:val="auto"/>
                <w:w w:val="93"/>
              </w:rPr>
              <w:t>Limited Liability Company Agreement of AA Group (U.S.)—B LLC (incorporated herein by reference to Exhibit 3.6 to the Registration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3.7</w:t>
            </w:r>
          </w:p>
        </w:tc>
        <w:tc>
          <w:tcPr>
            <w:tcW w:w="9940" w:type="dxa"/>
            <w:vAlign w:val="bottom"/>
          </w:tcPr>
          <w:p>
            <w:pPr>
              <w:ind w:left="80"/>
              <w:spacing w:after="0"/>
              <w:rPr>
                <w:sz w:val="20"/>
                <w:szCs w:val="20"/>
                <w:color w:val="auto"/>
              </w:rPr>
            </w:pPr>
            <w:r>
              <w:rPr>
                <w:rFonts w:ascii="Arial" w:cs="Arial" w:eastAsia="Arial" w:hAnsi="Arial"/>
                <w:sz w:val="18"/>
                <w:szCs w:val="18"/>
                <w:color w:val="auto"/>
                <w:w w:val="98"/>
              </w:rPr>
              <w:t>Certificate of Incorporation of Applica Mexico Holdings, Inc. (incorporated herein by reference to Exhibit 3.5 to the Registration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Statement on Form 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3.8</w:t>
            </w:r>
          </w:p>
        </w:tc>
        <w:tc>
          <w:tcPr>
            <w:tcW w:w="9940" w:type="dxa"/>
            <w:vAlign w:val="bottom"/>
          </w:tcPr>
          <w:p>
            <w:pPr>
              <w:ind w:left="80"/>
              <w:spacing w:after="0"/>
              <w:rPr>
                <w:sz w:val="20"/>
                <w:szCs w:val="20"/>
                <w:color w:val="auto"/>
              </w:rPr>
            </w:pPr>
            <w:r>
              <w:rPr>
                <w:rFonts w:ascii="Arial" w:cs="Arial" w:eastAsia="Arial" w:hAnsi="Arial"/>
                <w:sz w:val="18"/>
                <w:szCs w:val="18"/>
                <w:color w:val="auto"/>
                <w:w w:val="94"/>
              </w:rPr>
              <w:t>Bylaws of Applica Mexico Holdings, Inc. (incorporated herein by reference to Exhibit 3.6 to the Registration Statement on Form S-4</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3.9</w:t>
            </w:r>
          </w:p>
        </w:tc>
        <w:tc>
          <w:tcPr>
            <w:tcW w:w="9940" w:type="dxa"/>
            <w:vAlign w:val="bottom"/>
          </w:tcPr>
          <w:p>
            <w:pPr>
              <w:ind w:left="80"/>
              <w:spacing w:after="0"/>
              <w:rPr>
                <w:sz w:val="20"/>
                <w:szCs w:val="20"/>
                <w:color w:val="auto"/>
              </w:rPr>
            </w:pPr>
            <w:r>
              <w:rPr>
                <w:rFonts w:ascii="Arial" w:cs="Arial" w:eastAsia="Arial" w:hAnsi="Arial"/>
                <w:sz w:val="18"/>
                <w:szCs w:val="18"/>
                <w:color w:val="auto"/>
                <w:w w:val="92"/>
              </w:rPr>
              <w:t>Amended and Restated Certificate of Incorporation of Armored AutoGroup Inc. (incorporated herein by reference to Exhibit 3.11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w w:val="96"/>
              </w:rPr>
              <w:t>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3.10</w:t>
            </w:r>
          </w:p>
        </w:tc>
        <w:tc>
          <w:tcPr>
            <w:tcW w:w="9940" w:type="dxa"/>
            <w:vAlign w:val="bottom"/>
          </w:tcPr>
          <w:p>
            <w:pPr>
              <w:ind w:left="80"/>
              <w:spacing w:after="0"/>
              <w:rPr>
                <w:sz w:val="20"/>
                <w:szCs w:val="20"/>
                <w:color w:val="auto"/>
              </w:rPr>
            </w:pPr>
            <w:r>
              <w:rPr>
                <w:rFonts w:ascii="Arial" w:cs="Arial" w:eastAsia="Arial" w:hAnsi="Arial"/>
                <w:sz w:val="18"/>
                <w:szCs w:val="18"/>
                <w:color w:val="auto"/>
                <w:w w:val="93"/>
              </w:rPr>
              <w:t>By-laws of Armored AutoGroup Inc. (incorporated herein by reference to Exhibit 3.12 to the Registration Statement on Form S-4 filed</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with the SEC by Spectrum Brands, Inc. on December 23, 2015 (File No. 333-207068)).</w:t>
            </w:r>
          </w:p>
        </w:tc>
      </w:tr>
      <w:tr>
        <w:trPr>
          <w:trHeight w:val="365"/>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40" w:type="dxa"/>
            <w:vAlign w:val="bottom"/>
          </w:tcPr>
          <w:p>
            <w:pPr>
              <w:ind w:left="4120"/>
              <w:spacing w:after="0"/>
              <w:rPr>
                <w:sz w:val="20"/>
                <w:szCs w:val="20"/>
                <w:color w:val="auto"/>
              </w:rPr>
            </w:pPr>
            <w:r>
              <w:rPr>
                <w:rFonts w:ascii="Arial" w:cs="Arial" w:eastAsia="Arial" w:hAnsi="Arial"/>
                <w:sz w:val="18"/>
                <w:szCs w:val="18"/>
                <w:color w:val="auto"/>
              </w:rPr>
              <w:t>II-22</w:t>
            </w:r>
          </w:p>
        </w:tc>
      </w:tr>
    </w:tbl>
    <w:p>
      <w:pPr>
        <w:sectPr>
          <w:pgSz w:w="11900" w:h="16838" w:orient="portrait"/>
          <w:cols w:equalWidth="0" w:num="1">
            <w:col w:w="11360"/>
          </w:cols>
          <w:pgMar w:left="240" w:top="446" w:right="299" w:bottom="1440" w:gutter="0" w:footer="0" w:header="0"/>
        </w:sectPr>
      </w:pPr>
    </w:p>
    <w:bookmarkStart w:id="438" w:name="page439"/>
    <w:bookmarkEnd w:id="4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0" w:type="dxa"/>
            <w:vAlign w:val="bottom"/>
          </w:tcPr>
          <w:p>
            <w:pPr>
              <w:spacing w:after="0"/>
              <w:rPr>
                <w:sz w:val="17"/>
                <w:szCs w:val="17"/>
                <w:color w:val="auto"/>
              </w:rPr>
            </w:pPr>
          </w:p>
        </w:tc>
        <w:tc>
          <w:tcPr>
            <w:tcW w:w="9960" w:type="dxa"/>
            <w:vAlign w:val="bottom"/>
          </w:tcPr>
          <w:p>
            <w:pPr>
              <w:spacing w:after="0"/>
              <w:rPr>
                <w:sz w:val="17"/>
                <w:szCs w:val="17"/>
                <w:color w:val="auto"/>
              </w:rPr>
            </w:pPr>
          </w:p>
        </w:tc>
      </w:tr>
      <w:tr>
        <w:trPr>
          <w:trHeight w:val="627"/>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9960" w:type="dxa"/>
            <w:vAlign w:val="bottom"/>
          </w:tcPr>
          <w:p>
            <w:pPr>
              <w:ind w:left="80"/>
              <w:spacing w:after="0"/>
              <w:rPr>
                <w:sz w:val="20"/>
                <w:szCs w:val="20"/>
                <w:color w:val="auto"/>
              </w:rPr>
            </w:pPr>
            <w:r>
              <w:rPr>
                <w:rFonts w:ascii="Arial" w:cs="Arial" w:eastAsia="Arial" w:hAnsi="Arial"/>
                <w:sz w:val="18"/>
                <w:szCs w:val="18"/>
                <w:color w:val="auto"/>
                <w:w w:val="92"/>
              </w:rPr>
              <w:t>Amended and Restated Certificate of Incorporation of Armored AutoGroup Sales Inc. (incorporated herein by reference to Exhibit 3.17</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w w:val="92"/>
              </w:rPr>
              <w:t>to the 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9960" w:type="dxa"/>
            <w:vAlign w:val="bottom"/>
          </w:tcPr>
          <w:p>
            <w:pPr>
              <w:ind w:left="80"/>
              <w:spacing w:after="0"/>
              <w:rPr>
                <w:sz w:val="20"/>
                <w:szCs w:val="20"/>
                <w:color w:val="auto"/>
              </w:rPr>
            </w:pPr>
            <w:r>
              <w:rPr>
                <w:rFonts w:ascii="Arial" w:cs="Arial" w:eastAsia="Arial" w:hAnsi="Arial"/>
                <w:sz w:val="18"/>
                <w:szCs w:val="18"/>
                <w:color w:val="auto"/>
                <w:w w:val="92"/>
              </w:rPr>
              <w:t>By-laws of Armored AutoGroup Sales Inc. (incorporated herein by reference to Exhibit 3.18 to the Registration Statement on Form S-4</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3.13</w:t>
            </w:r>
          </w:p>
        </w:tc>
        <w:tc>
          <w:tcPr>
            <w:tcW w:w="9960" w:type="dxa"/>
            <w:vAlign w:val="bottom"/>
          </w:tcPr>
          <w:p>
            <w:pPr>
              <w:ind w:left="80"/>
              <w:spacing w:after="0"/>
              <w:rPr>
                <w:sz w:val="20"/>
                <w:szCs w:val="20"/>
                <w:color w:val="auto"/>
              </w:rPr>
            </w:pPr>
            <w:r>
              <w:rPr>
                <w:rFonts w:ascii="Arial" w:cs="Arial" w:eastAsia="Arial" w:hAnsi="Arial"/>
                <w:sz w:val="18"/>
                <w:szCs w:val="18"/>
                <w:color w:val="auto"/>
                <w:w w:val="92"/>
              </w:rPr>
              <w:t>Certificate of Formation of National Manufacturing Mexico A, LLC (incorporated herein by reference to Exhibit 3.19 to the Registration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Statement on Form 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3.14</w:t>
            </w:r>
          </w:p>
        </w:tc>
        <w:tc>
          <w:tcPr>
            <w:tcW w:w="9960" w:type="dxa"/>
            <w:vAlign w:val="bottom"/>
          </w:tcPr>
          <w:p>
            <w:pPr>
              <w:ind w:left="80"/>
              <w:spacing w:after="0"/>
              <w:rPr>
                <w:sz w:val="20"/>
                <w:szCs w:val="20"/>
                <w:color w:val="auto"/>
              </w:rPr>
            </w:pPr>
            <w:r>
              <w:rPr>
                <w:rFonts w:ascii="Arial" w:cs="Arial" w:eastAsia="Arial" w:hAnsi="Arial"/>
                <w:sz w:val="18"/>
                <w:szCs w:val="18"/>
                <w:color w:val="auto"/>
                <w:w w:val="94"/>
              </w:rPr>
              <w:t>Limited Liability Company Agreement of National Manufacturing Mexico A, LLC (incorporated herein by reference to Exhibit 3.20 to</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w w:val="95"/>
              </w:rPr>
              <w:t>the Registration Statement on FormS-4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3.15</w:t>
            </w:r>
          </w:p>
        </w:tc>
        <w:tc>
          <w:tcPr>
            <w:tcW w:w="9960" w:type="dxa"/>
            <w:vAlign w:val="bottom"/>
          </w:tcPr>
          <w:p>
            <w:pPr>
              <w:ind w:left="80"/>
              <w:spacing w:after="0"/>
              <w:rPr>
                <w:sz w:val="20"/>
                <w:szCs w:val="20"/>
                <w:color w:val="auto"/>
              </w:rPr>
            </w:pPr>
            <w:r>
              <w:rPr>
                <w:rFonts w:ascii="Arial" w:cs="Arial" w:eastAsia="Arial" w:hAnsi="Arial"/>
                <w:sz w:val="18"/>
                <w:szCs w:val="18"/>
                <w:color w:val="auto"/>
                <w:w w:val="92"/>
              </w:rPr>
              <w:t>Certificate of Formation of National Manufacturing Mexico B, LLC (incorporated herein by reference to Exhibit 3.21 to the Registration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Statement on Form 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3.16</w:t>
            </w:r>
          </w:p>
        </w:tc>
        <w:tc>
          <w:tcPr>
            <w:tcW w:w="9960" w:type="dxa"/>
            <w:vAlign w:val="bottom"/>
          </w:tcPr>
          <w:p>
            <w:pPr>
              <w:ind w:left="80"/>
              <w:spacing w:after="0"/>
              <w:rPr>
                <w:sz w:val="20"/>
                <w:szCs w:val="20"/>
                <w:color w:val="auto"/>
              </w:rPr>
            </w:pPr>
            <w:r>
              <w:rPr>
                <w:rFonts w:ascii="Arial" w:cs="Arial" w:eastAsia="Arial" w:hAnsi="Arial"/>
                <w:sz w:val="18"/>
                <w:szCs w:val="18"/>
                <w:color w:val="auto"/>
                <w:w w:val="94"/>
              </w:rPr>
              <w:t>Limited Liability Company Agreement of National Manufacturing Mexico B, LLC (incorporated herein by reference to Exhibit 3.22 to</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w w:val="95"/>
              </w:rPr>
              <w:t>the Registration Statement on FormS-4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3.17</w:t>
            </w:r>
          </w:p>
        </w:tc>
        <w:tc>
          <w:tcPr>
            <w:tcW w:w="9960" w:type="dxa"/>
            <w:vAlign w:val="bottom"/>
          </w:tcPr>
          <w:p>
            <w:pPr>
              <w:ind w:left="80"/>
              <w:spacing w:after="0"/>
              <w:rPr>
                <w:sz w:val="20"/>
                <w:szCs w:val="20"/>
                <w:color w:val="auto"/>
              </w:rPr>
            </w:pPr>
            <w:r>
              <w:rPr>
                <w:rFonts w:ascii="Arial" w:cs="Arial" w:eastAsia="Arial" w:hAnsi="Arial"/>
                <w:sz w:val="18"/>
                <w:szCs w:val="18"/>
                <w:color w:val="auto"/>
                <w:w w:val="91"/>
              </w:rPr>
              <w:t>Certificate of Organization of National Openings, LLC (incorporated herein by reference to Exhibit 3.29 to the Registration Statement 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3.18</w:t>
            </w:r>
          </w:p>
        </w:tc>
        <w:tc>
          <w:tcPr>
            <w:tcW w:w="9960" w:type="dxa"/>
            <w:vAlign w:val="bottom"/>
          </w:tcPr>
          <w:p>
            <w:pPr>
              <w:ind w:left="80"/>
              <w:spacing w:after="0"/>
              <w:rPr>
                <w:sz w:val="20"/>
                <w:szCs w:val="20"/>
                <w:color w:val="auto"/>
              </w:rPr>
            </w:pPr>
            <w:r>
              <w:rPr>
                <w:rFonts w:ascii="Arial" w:cs="Arial" w:eastAsia="Arial" w:hAnsi="Arial"/>
                <w:sz w:val="18"/>
                <w:szCs w:val="18"/>
                <w:color w:val="auto"/>
                <w:w w:val="98"/>
              </w:rPr>
              <w:t>Amended &amp; Restated Operating Agreement of National Openings, LLC (incorporated herein by reference to Exhibit 3.30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w w:val="96"/>
              </w:rPr>
              <w:t>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3.19</w:t>
            </w:r>
          </w:p>
        </w:tc>
        <w:tc>
          <w:tcPr>
            <w:tcW w:w="9960" w:type="dxa"/>
            <w:vAlign w:val="bottom"/>
          </w:tcPr>
          <w:p>
            <w:pPr>
              <w:ind w:left="80"/>
              <w:spacing w:after="0"/>
              <w:rPr>
                <w:sz w:val="20"/>
                <w:szCs w:val="20"/>
                <w:color w:val="auto"/>
              </w:rPr>
            </w:pPr>
            <w:r>
              <w:rPr>
                <w:rFonts w:ascii="Arial" w:cs="Arial" w:eastAsia="Arial" w:hAnsi="Arial"/>
                <w:sz w:val="18"/>
                <w:szCs w:val="18"/>
                <w:color w:val="auto"/>
                <w:w w:val="97"/>
              </w:rPr>
              <w:t>Amended and Restated Certificate of Incorporation of ROV Holding, Inc. (incorporated herein by reference to Exhibit 3.25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w w:val="97"/>
              </w:rPr>
              <w:t>Registration Statement on Form 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3.20</w:t>
            </w:r>
          </w:p>
        </w:tc>
        <w:tc>
          <w:tcPr>
            <w:tcW w:w="9960" w:type="dxa"/>
            <w:vAlign w:val="bottom"/>
          </w:tcPr>
          <w:p>
            <w:pPr>
              <w:ind w:left="80"/>
              <w:spacing w:after="0"/>
              <w:rPr>
                <w:sz w:val="20"/>
                <w:szCs w:val="20"/>
                <w:color w:val="auto"/>
              </w:rPr>
            </w:pPr>
            <w:r>
              <w:rPr>
                <w:rFonts w:ascii="Arial" w:cs="Arial" w:eastAsia="Arial" w:hAnsi="Arial"/>
                <w:sz w:val="18"/>
                <w:szCs w:val="18"/>
                <w:color w:val="auto"/>
                <w:w w:val="92"/>
              </w:rPr>
              <w:t>Bylaws of ROV Holding, Inc. (incorporated herein by reference to Exhibit 3.26 to the Registration Statement on Form S-4 filed with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3.21</w:t>
            </w:r>
          </w:p>
        </w:tc>
        <w:tc>
          <w:tcPr>
            <w:tcW w:w="9960" w:type="dxa"/>
            <w:vAlign w:val="bottom"/>
          </w:tcPr>
          <w:p>
            <w:pPr>
              <w:ind w:left="80"/>
              <w:spacing w:after="0"/>
              <w:rPr>
                <w:sz w:val="20"/>
                <w:szCs w:val="20"/>
                <w:color w:val="auto"/>
              </w:rPr>
            </w:pPr>
            <w:r>
              <w:rPr>
                <w:rFonts w:ascii="Arial" w:cs="Arial" w:eastAsia="Arial" w:hAnsi="Arial"/>
                <w:sz w:val="18"/>
                <w:szCs w:val="18"/>
                <w:color w:val="auto"/>
                <w:w w:val="97"/>
              </w:rPr>
              <w:t>Certificate of Formation of ROV International Holdings LLC (incorporated herein by reference to Exhibit 3.27 to the Registration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Statement on Form S-4 filed with the SEC by Spectrum Brands, Inc. on December 3, 2013 (File No. 333-192634)).</w:t>
            </w:r>
          </w:p>
        </w:tc>
      </w:tr>
      <w:tr>
        <w:trPr>
          <w:trHeight w:val="365"/>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tcPr>
          <w:p>
            <w:pPr>
              <w:ind w:left="4120"/>
              <w:spacing w:after="0"/>
              <w:rPr>
                <w:sz w:val="20"/>
                <w:szCs w:val="20"/>
                <w:color w:val="auto"/>
              </w:rPr>
            </w:pPr>
            <w:r>
              <w:rPr>
                <w:rFonts w:ascii="Arial" w:cs="Arial" w:eastAsia="Arial" w:hAnsi="Arial"/>
                <w:sz w:val="18"/>
                <w:szCs w:val="18"/>
                <w:color w:val="auto"/>
              </w:rPr>
              <w:t>II-23</w:t>
            </w:r>
          </w:p>
        </w:tc>
      </w:tr>
    </w:tbl>
    <w:p>
      <w:pPr>
        <w:sectPr>
          <w:pgSz w:w="11900" w:h="16838" w:orient="portrait"/>
          <w:cols w:equalWidth="0" w:num="1">
            <w:col w:w="11380"/>
          </w:cols>
          <w:pgMar w:left="240" w:top="446" w:right="279" w:bottom="1440" w:gutter="0" w:footer="0" w:header="0"/>
        </w:sectPr>
      </w:pPr>
    </w:p>
    <w:bookmarkStart w:id="439" w:name="page440"/>
    <w:bookmarkEnd w:id="4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0" w:type="dxa"/>
            <w:vAlign w:val="bottom"/>
          </w:tcPr>
          <w:p>
            <w:pPr>
              <w:spacing w:after="0"/>
              <w:rPr>
                <w:sz w:val="17"/>
                <w:szCs w:val="17"/>
                <w:color w:val="auto"/>
              </w:rPr>
            </w:pPr>
          </w:p>
        </w:tc>
        <w:tc>
          <w:tcPr>
            <w:tcW w:w="9920" w:type="dxa"/>
            <w:vAlign w:val="bottom"/>
          </w:tcPr>
          <w:p>
            <w:pPr>
              <w:spacing w:after="0"/>
              <w:rPr>
                <w:sz w:val="17"/>
                <w:szCs w:val="17"/>
                <w:color w:val="auto"/>
              </w:rPr>
            </w:pPr>
          </w:p>
        </w:tc>
      </w:tr>
      <w:tr>
        <w:trPr>
          <w:trHeight w:val="519"/>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3.22</w:t>
            </w:r>
          </w:p>
        </w:tc>
        <w:tc>
          <w:tcPr>
            <w:tcW w:w="9920" w:type="dxa"/>
            <w:vAlign w:val="bottom"/>
          </w:tcPr>
          <w:p>
            <w:pPr>
              <w:ind w:left="80"/>
              <w:spacing w:after="0"/>
              <w:rPr>
                <w:sz w:val="20"/>
                <w:szCs w:val="20"/>
                <w:color w:val="auto"/>
              </w:rPr>
            </w:pPr>
            <w:r>
              <w:rPr>
                <w:rFonts w:ascii="Arial" w:cs="Arial" w:eastAsia="Arial" w:hAnsi="Arial"/>
                <w:sz w:val="18"/>
                <w:szCs w:val="18"/>
                <w:color w:val="auto"/>
                <w:w w:val="98"/>
              </w:rPr>
              <w:t>Operating Agreement of ROV International Holdings LLC (incorporated herein by reference to Exhibit 3.28 to the Registration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Statement on Form 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3.23</w:t>
            </w:r>
          </w:p>
        </w:tc>
        <w:tc>
          <w:tcPr>
            <w:tcW w:w="9920" w:type="dxa"/>
            <w:vAlign w:val="bottom"/>
          </w:tcPr>
          <w:p>
            <w:pPr>
              <w:ind w:left="80"/>
              <w:spacing w:after="0"/>
              <w:rPr>
                <w:sz w:val="20"/>
                <w:szCs w:val="20"/>
                <w:color w:val="auto"/>
              </w:rPr>
            </w:pPr>
            <w:r>
              <w:rPr>
                <w:rFonts w:ascii="Arial" w:cs="Arial" w:eastAsia="Arial" w:hAnsi="Arial"/>
                <w:sz w:val="18"/>
                <w:szCs w:val="18"/>
                <w:color w:val="auto"/>
                <w:w w:val="94"/>
              </w:rPr>
              <w:t>Amended and Restated Articles of Organization of Salix Animal Health, LLC (incorporated herein by reference to Exhibit 3.35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6"/>
              </w:rPr>
              <w:t>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3.24</w:t>
            </w:r>
          </w:p>
        </w:tc>
        <w:tc>
          <w:tcPr>
            <w:tcW w:w="9920" w:type="dxa"/>
            <w:vAlign w:val="bottom"/>
          </w:tcPr>
          <w:p>
            <w:pPr>
              <w:ind w:left="80"/>
              <w:spacing w:after="0"/>
              <w:rPr>
                <w:sz w:val="20"/>
                <w:szCs w:val="20"/>
                <w:color w:val="auto"/>
              </w:rPr>
            </w:pPr>
            <w:r>
              <w:rPr>
                <w:rFonts w:ascii="Arial" w:cs="Arial" w:eastAsia="Arial" w:hAnsi="Arial"/>
                <w:sz w:val="18"/>
                <w:szCs w:val="18"/>
                <w:color w:val="auto"/>
                <w:w w:val="95"/>
              </w:rPr>
              <w:t>Amended and Restated Operating Agreement of Salix Animal Health, LLC (incorporated herein by reference to Exhibit 3.36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6"/>
              </w:rPr>
              <w:t>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3.25</w:t>
            </w:r>
          </w:p>
        </w:tc>
        <w:tc>
          <w:tcPr>
            <w:tcW w:w="9920" w:type="dxa"/>
            <w:vAlign w:val="bottom"/>
          </w:tcPr>
          <w:p>
            <w:pPr>
              <w:ind w:left="80"/>
              <w:spacing w:after="0"/>
              <w:rPr>
                <w:sz w:val="20"/>
                <w:szCs w:val="20"/>
                <w:color w:val="auto"/>
              </w:rPr>
            </w:pPr>
            <w:r>
              <w:rPr>
                <w:rFonts w:ascii="Arial" w:cs="Arial" w:eastAsia="Arial" w:hAnsi="Arial"/>
                <w:sz w:val="18"/>
                <w:szCs w:val="18"/>
                <w:color w:val="auto"/>
                <w:w w:val="94"/>
              </w:rPr>
              <w:t>Certificate of Formation of SB/RH Holdings, LLC (incorporated herein by reference to Exhibit 3.29 to the Registration Statement 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Form 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3.26</w:t>
            </w:r>
          </w:p>
        </w:tc>
        <w:tc>
          <w:tcPr>
            <w:tcW w:w="9920" w:type="dxa"/>
            <w:vAlign w:val="bottom"/>
          </w:tcPr>
          <w:p>
            <w:pPr>
              <w:ind w:left="80"/>
              <w:spacing w:after="0"/>
              <w:rPr>
                <w:sz w:val="20"/>
                <w:szCs w:val="20"/>
                <w:color w:val="auto"/>
              </w:rPr>
            </w:pPr>
            <w:r>
              <w:rPr>
                <w:rFonts w:ascii="Arial" w:cs="Arial" w:eastAsia="Arial" w:hAnsi="Arial"/>
                <w:sz w:val="18"/>
                <w:szCs w:val="18"/>
                <w:color w:val="auto"/>
                <w:w w:val="91"/>
              </w:rPr>
              <w:t>Operating Agreement of SB/RH Holdings, LLC (incorporated herein by reference to Exhibit 3.30 to the Registration Statement on Form</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S-4 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3.27</w:t>
            </w:r>
          </w:p>
        </w:tc>
        <w:tc>
          <w:tcPr>
            <w:tcW w:w="9920" w:type="dxa"/>
            <w:vAlign w:val="bottom"/>
          </w:tcPr>
          <w:p>
            <w:pPr>
              <w:ind w:left="80"/>
              <w:spacing w:after="0"/>
              <w:rPr>
                <w:sz w:val="20"/>
                <w:szCs w:val="20"/>
                <w:color w:val="auto"/>
              </w:rPr>
            </w:pPr>
            <w:r>
              <w:rPr>
                <w:rFonts w:ascii="Arial" w:cs="Arial" w:eastAsia="Arial" w:hAnsi="Arial"/>
                <w:sz w:val="18"/>
                <w:szCs w:val="18"/>
                <w:color w:val="auto"/>
                <w:w w:val="99"/>
              </w:rPr>
              <w:t>Amended and Restated Articles of Incorporation of Schultz Company (incorporated herein by reference to Exhibit 3.39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6"/>
              </w:rPr>
              <w:t>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3.28</w:t>
            </w:r>
          </w:p>
        </w:tc>
        <w:tc>
          <w:tcPr>
            <w:tcW w:w="9920" w:type="dxa"/>
            <w:vAlign w:val="bottom"/>
          </w:tcPr>
          <w:p>
            <w:pPr>
              <w:ind w:left="80"/>
              <w:spacing w:after="0"/>
              <w:rPr>
                <w:sz w:val="20"/>
                <w:szCs w:val="20"/>
                <w:color w:val="auto"/>
              </w:rPr>
            </w:pPr>
            <w:r>
              <w:rPr>
                <w:rFonts w:ascii="Arial" w:cs="Arial" w:eastAsia="Arial" w:hAnsi="Arial"/>
                <w:sz w:val="18"/>
                <w:szCs w:val="18"/>
                <w:color w:val="auto"/>
                <w:w w:val="92"/>
              </w:rPr>
              <w:t>Bylaws of Schultz Company (incorporated herein by reference to Exhibit 3.32 to the Registration Statement on Form S-4 filed with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3.29</w:t>
            </w:r>
          </w:p>
        </w:tc>
        <w:tc>
          <w:tcPr>
            <w:tcW w:w="9920" w:type="dxa"/>
            <w:vAlign w:val="bottom"/>
          </w:tcPr>
          <w:p>
            <w:pPr>
              <w:ind w:left="80"/>
              <w:spacing w:after="0"/>
              <w:rPr>
                <w:sz w:val="20"/>
                <w:szCs w:val="20"/>
                <w:color w:val="auto"/>
              </w:rPr>
            </w:pPr>
            <w:r>
              <w:rPr>
                <w:rFonts w:ascii="Arial" w:cs="Arial" w:eastAsia="Arial" w:hAnsi="Arial"/>
                <w:sz w:val="18"/>
                <w:szCs w:val="18"/>
                <w:color w:val="auto"/>
                <w:w w:val="99"/>
              </w:rPr>
              <w:t>Certificate of Incorporation of STP Products Manufacturing Company (incorporated herein by reference to Exhibit 3.41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6"/>
              </w:rPr>
              <w:t>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3.30</w:t>
            </w:r>
          </w:p>
        </w:tc>
        <w:tc>
          <w:tcPr>
            <w:tcW w:w="9920" w:type="dxa"/>
            <w:vAlign w:val="bottom"/>
          </w:tcPr>
          <w:p>
            <w:pPr>
              <w:ind w:left="80"/>
              <w:spacing w:after="0"/>
              <w:rPr>
                <w:sz w:val="20"/>
                <w:szCs w:val="20"/>
                <w:color w:val="auto"/>
              </w:rPr>
            </w:pPr>
            <w:r>
              <w:rPr>
                <w:rFonts w:ascii="Arial" w:cs="Arial" w:eastAsia="Arial" w:hAnsi="Arial"/>
                <w:sz w:val="18"/>
                <w:szCs w:val="18"/>
                <w:color w:val="auto"/>
                <w:w w:val="94"/>
              </w:rPr>
              <w:t>Amended and Restated By-laws of STP Products Manufacturing Company (incorporated herein by reference to Exhibit 3.42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6"/>
              </w:rPr>
              <w:t>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3.31</w:t>
            </w:r>
          </w:p>
        </w:tc>
        <w:tc>
          <w:tcPr>
            <w:tcW w:w="9920" w:type="dxa"/>
            <w:vAlign w:val="bottom"/>
          </w:tcPr>
          <w:p>
            <w:pPr>
              <w:ind w:left="80"/>
              <w:spacing w:after="0"/>
              <w:rPr>
                <w:sz w:val="20"/>
                <w:szCs w:val="20"/>
                <w:color w:val="auto"/>
              </w:rPr>
            </w:pPr>
            <w:r>
              <w:rPr>
                <w:rFonts w:ascii="Arial" w:cs="Arial" w:eastAsia="Arial" w:hAnsi="Arial"/>
                <w:sz w:val="18"/>
                <w:szCs w:val="18"/>
                <w:color w:val="auto"/>
                <w:w w:val="99"/>
              </w:rPr>
              <w:t>Certificate of Incorporation of The Armor All/STP Products Company (incorporated herein by reference to Exhibit 3.43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6"/>
              </w:rPr>
              <w:t>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3.32</w:t>
            </w:r>
          </w:p>
        </w:tc>
        <w:tc>
          <w:tcPr>
            <w:tcW w:w="9920" w:type="dxa"/>
            <w:vAlign w:val="bottom"/>
          </w:tcPr>
          <w:p>
            <w:pPr>
              <w:ind w:left="80"/>
              <w:spacing w:after="0"/>
              <w:rPr>
                <w:sz w:val="20"/>
                <w:szCs w:val="20"/>
                <w:color w:val="auto"/>
              </w:rPr>
            </w:pPr>
            <w:r>
              <w:rPr>
                <w:rFonts w:ascii="Arial" w:cs="Arial" w:eastAsia="Arial" w:hAnsi="Arial"/>
                <w:sz w:val="18"/>
                <w:szCs w:val="18"/>
                <w:color w:val="auto"/>
                <w:w w:val="95"/>
              </w:rPr>
              <w:t>Amended and Restated By-laws of The Armor All/STP Products Company (incorporated herein by reference to Exhibit 3.44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6"/>
              </w:rPr>
              <w:t>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3.33</w:t>
            </w:r>
          </w:p>
        </w:tc>
        <w:tc>
          <w:tcPr>
            <w:tcW w:w="9920" w:type="dxa"/>
            <w:vAlign w:val="bottom"/>
          </w:tcPr>
          <w:p>
            <w:pPr>
              <w:ind w:left="80"/>
              <w:spacing w:after="0"/>
              <w:rPr>
                <w:sz w:val="20"/>
                <w:szCs w:val="20"/>
                <w:color w:val="auto"/>
              </w:rPr>
            </w:pPr>
            <w:r>
              <w:rPr>
                <w:rFonts w:ascii="Arial" w:cs="Arial" w:eastAsia="Arial" w:hAnsi="Arial"/>
                <w:sz w:val="18"/>
                <w:szCs w:val="18"/>
                <w:color w:val="auto"/>
                <w:w w:val="91"/>
              </w:rPr>
              <w:t>Amended and Restated Certificate of Incorporation of United Industries Corporation (incorporated herein by reference to Exhibit 3.45 to</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3"/>
              </w:rPr>
              <w:t>the Registration Statement on Form S-4 filed with the SEC by Spectrum Brands, Inc. on December 23, 2015 (File No. 333-207068)).</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3.34</w:t>
            </w:r>
          </w:p>
        </w:tc>
        <w:tc>
          <w:tcPr>
            <w:tcW w:w="9920" w:type="dxa"/>
            <w:vAlign w:val="bottom"/>
          </w:tcPr>
          <w:p>
            <w:pPr>
              <w:ind w:left="80"/>
              <w:spacing w:after="0"/>
              <w:rPr>
                <w:sz w:val="20"/>
                <w:szCs w:val="20"/>
                <w:color w:val="auto"/>
              </w:rPr>
            </w:pPr>
            <w:r>
              <w:rPr>
                <w:rFonts w:ascii="Arial" w:cs="Arial" w:eastAsia="Arial" w:hAnsi="Arial"/>
                <w:sz w:val="18"/>
                <w:szCs w:val="18"/>
                <w:color w:val="auto"/>
                <w:w w:val="93"/>
              </w:rPr>
              <w:t>Bylaws of United Industries Corporation (incorporated herein by reference to Exhibit 3.36 to the Registration Statement on Form S-4</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filed with the SEC by Spectrum Brands, Inc. on December 3, 2013 (File No. 333-192634)).</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9920" w:type="dxa"/>
            <w:vAlign w:val="bottom"/>
          </w:tcPr>
          <w:p>
            <w:pPr>
              <w:ind w:left="80"/>
              <w:spacing w:after="0"/>
              <w:rPr>
                <w:sz w:val="20"/>
                <w:szCs w:val="20"/>
                <w:color w:val="auto"/>
              </w:rPr>
            </w:pPr>
            <w:r>
              <w:rPr>
                <w:rFonts w:ascii="Arial" w:cs="Arial" w:eastAsia="Arial" w:hAnsi="Arial"/>
                <w:sz w:val="18"/>
                <w:szCs w:val="18"/>
                <w:color w:val="auto"/>
                <w:w w:val="90"/>
              </w:rPr>
              <w:t>Indenture governing Spectrum Brands, Inc.’s 6.375% Senior Notes due 2020 and 6.625% Senior Notes due 2022, dated as of November</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16, 2012, between Spectrum Brands Escrow Corp. and US Bank National Association, as trustee (filed by incorporation by reference to</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6"/>
              </w:rPr>
              <w:t>Exhibit 4.1 to the Current Report on Form 8-K filed with the SEC by Spectrum Brands, Inc. on November 21, 2012 (File No. 001-</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13615)).</w:t>
            </w:r>
          </w:p>
        </w:tc>
      </w:tr>
      <w:tr>
        <w:trPr>
          <w:trHeight w:val="365"/>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II-24</w:t>
            </w:r>
          </w:p>
        </w:tc>
      </w:tr>
    </w:tbl>
    <w:p>
      <w:pPr>
        <w:sectPr>
          <w:pgSz w:w="11900" w:h="16838" w:orient="portrait"/>
          <w:cols w:equalWidth="0" w:num="1">
            <w:col w:w="11340"/>
          </w:cols>
          <w:pgMar w:left="240" w:top="446" w:right="319" w:bottom="1440" w:gutter="0" w:footer="0" w:header="0"/>
        </w:sectPr>
      </w:pPr>
    </w:p>
    <w:bookmarkStart w:id="440" w:name="page441"/>
    <w:bookmarkEnd w:id="4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0" w:type="dxa"/>
            <w:vAlign w:val="bottom"/>
          </w:tcPr>
          <w:p>
            <w:pPr>
              <w:spacing w:after="0"/>
              <w:rPr>
                <w:sz w:val="17"/>
                <w:szCs w:val="17"/>
                <w:color w:val="auto"/>
              </w:rPr>
            </w:pPr>
          </w:p>
        </w:tc>
        <w:tc>
          <w:tcPr>
            <w:tcW w:w="10000" w:type="dxa"/>
            <w:vAlign w:val="bottom"/>
          </w:tcPr>
          <w:p>
            <w:pPr>
              <w:spacing w:after="0"/>
              <w:rPr>
                <w:sz w:val="17"/>
                <w:szCs w:val="17"/>
                <w:color w:val="auto"/>
              </w:rPr>
            </w:pPr>
          </w:p>
        </w:tc>
      </w:tr>
      <w:tr>
        <w:trPr>
          <w:trHeight w:val="519"/>
        </w:trPr>
        <w:tc>
          <w:tcPr>
            <w:tcW w:w="1420" w:type="dxa"/>
            <w:vAlign w:val="bottom"/>
            <w:gridSpan w:val="2"/>
          </w:tcPr>
          <w:p>
            <w:pPr>
              <w:spacing w:after="0"/>
              <w:rPr>
                <w:sz w:val="20"/>
                <w:szCs w:val="20"/>
                <w:color w:val="auto"/>
              </w:rPr>
            </w:pPr>
            <w:r>
              <w:rPr>
                <w:rFonts w:ascii="Arial" w:cs="Arial" w:eastAsia="Arial" w:hAnsi="Arial"/>
                <w:sz w:val="18"/>
                <w:szCs w:val="18"/>
                <w:color w:val="auto"/>
              </w:rPr>
              <w:t>Exhibit 4.2</w:t>
            </w:r>
          </w:p>
        </w:tc>
        <w:tc>
          <w:tcPr>
            <w:tcW w:w="10000" w:type="dxa"/>
            <w:vAlign w:val="bottom"/>
          </w:tcPr>
          <w:p>
            <w:pPr>
              <w:ind w:left="80"/>
              <w:spacing w:after="0"/>
              <w:rPr>
                <w:sz w:val="20"/>
                <w:szCs w:val="20"/>
                <w:color w:val="auto"/>
              </w:rPr>
            </w:pPr>
            <w:r>
              <w:rPr>
                <w:rFonts w:ascii="Arial" w:cs="Arial" w:eastAsia="Arial" w:hAnsi="Arial"/>
                <w:sz w:val="18"/>
                <w:szCs w:val="18"/>
                <w:color w:val="auto"/>
                <w:w w:val="91"/>
              </w:rPr>
              <w:t>Indenture governing Spectrum Brands, Inc.’s 6.125% Senior Notes due 2024, dated as of December 4, 2014, among Spectrum Brands,</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1"/>
              </w:rPr>
              <w:t>Inc., the guarantors named therein and US Bank National Association, as trustee (filed by incorporation by reference to Exhibit 4.1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7"/>
              </w:rPr>
              <w:t>Current Report on Form 8-K filed with the SEC by Spectrum Brands Holdings, Inc. on December 8, 2014 (File No. 001-34757)).</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4.3</w:t>
            </w:r>
          </w:p>
        </w:tc>
        <w:tc>
          <w:tcPr>
            <w:tcW w:w="10000" w:type="dxa"/>
            <w:vAlign w:val="bottom"/>
          </w:tcPr>
          <w:p>
            <w:pPr>
              <w:ind w:left="80"/>
              <w:spacing w:after="0"/>
              <w:rPr>
                <w:sz w:val="20"/>
                <w:szCs w:val="20"/>
                <w:color w:val="auto"/>
              </w:rPr>
            </w:pPr>
            <w:r>
              <w:rPr>
                <w:rFonts w:ascii="Arial" w:cs="Arial" w:eastAsia="Arial" w:hAnsi="Arial"/>
                <w:sz w:val="18"/>
                <w:szCs w:val="18"/>
                <w:color w:val="auto"/>
                <w:w w:val="91"/>
              </w:rPr>
              <w:t>Indenture governing Spectrum Brands, Inc.’s 5.750% Senior Notes due 2025, dated as of May 20, 2015, among Spectrum Brands, Inc.,</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4"/>
              </w:rPr>
              <w:t>the guarantors named therein and US Bank National Association, as trustee (filed by incorporation by reference to Exhibit 4.1 to the</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rPr>
              <w:t>Current Report on Form 8-K filed with the SEC by Spectrum Brands Holdings, Inc. on May 20, 2015 (File No. 001-34757)).</w:t>
            </w:r>
          </w:p>
        </w:tc>
      </w:tr>
      <w:tr>
        <w:trPr>
          <w:trHeight w:val="324"/>
        </w:trPr>
        <w:tc>
          <w:tcPr>
            <w:tcW w:w="1420" w:type="dxa"/>
            <w:vAlign w:val="bottom"/>
            <w:gridSpan w:val="2"/>
          </w:tcPr>
          <w:p>
            <w:pPr>
              <w:spacing w:after="0"/>
              <w:rPr>
                <w:sz w:val="20"/>
                <w:szCs w:val="20"/>
                <w:color w:val="auto"/>
              </w:rPr>
            </w:pPr>
            <w:r>
              <w:rPr>
                <w:rFonts w:ascii="Arial" w:cs="Arial" w:eastAsia="Arial" w:hAnsi="Arial"/>
                <w:sz w:val="18"/>
                <w:szCs w:val="18"/>
                <w:color w:val="auto"/>
              </w:rPr>
              <w:t>Exhibit 5.1*</w:t>
            </w:r>
          </w:p>
        </w:tc>
        <w:tc>
          <w:tcPr>
            <w:tcW w:w="10000" w:type="dxa"/>
            <w:vAlign w:val="bottom"/>
          </w:tcPr>
          <w:p>
            <w:pPr>
              <w:ind w:left="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1420" w:type="dxa"/>
            <w:vAlign w:val="bottom"/>
            <w:gridSpan w:val="2"/>
          </w:tcPr>
          <w:p>
            <w:pPr>
              <w:spacing w:after="0"/>
              <w:rPr>
                <w:sz w:val="20"/>
                <w:szCs w:val="20"/>
                <w:color w:val="auto"/>
              </w:rPr>
            </w:pPr>
            <w:r>
              <w:rPr>
                <w:rFonts w:ascii="Arial" w:cs="Arial" w:eastAsia="Arial" w:hAnsi="Arial"/>
                <w:sz w:val="18"/>
                <w:szCs w:val="18"/>
                <w:color w:val="auto"/>
              </w:rPr>
              <w:t>Exhibit 5.2*</w:t>
            </w:r>
          </w:p>
        </w:tc>
        <w:tc>
          <w:tcPr>
            <w:tcW w:w="10000" w:type="dxa"/>
            <w:vAlign w:val="bottom"/>
          </w:tcPr>
          <w:p>
            <w:pPr>
              <w:ind w:left="80"/>
              <w:spacing w:after="0"/>
              <w:rPr>
                <w:sz w:val="20"/>
                <w:szCs w:val="20"/>
                <w:color w:val="auto"/>
              </w:rPr>
            </w:pPr>
            <w:r>
              <w:rPr>
                <w:rFonts w:ascii="Arial" w:cs="Arial" w:eastAsia="Arial" w:hAnsi="Arial"/>
                <w:sz w:val="18"/>
                <w:szCs w:val="18"/>
                <w:color w:val="auto"/>
              </w:rPr>
              <w:t>Opinion of Barnes &amp; Thornburg LLP, special Pennsylvania counsel.</w:t>
            </w:r>
          </w:p>
        </w:tc>
      </w:tr>
      <w:tr>
        <w:trPr>
          <w:trHeight w:val="324"/>
        </w:trPr>
        <w:tc>
          <w:tcPr>
            <w:tcW w:w="1420" w:type="dxa"/>
            <w:vAlign w:val="bottom"/>
            <w:gridSpan w:val="2"/>
          </w:tcPr>
          <w:p>
            <w:pPr>
              <w:spacing w:after="0"/>
              <w:rPr>
                <w:sz w:val="20"/>
                <w:szCs w:val="20"/>
                <w:color w:val="auto"/>
              </w:rPr>
            </w:pPr>
            <w:r>
              <w:rPr>
                <w:rFonts w:ascii="Arial" w:cs="Arial" w:eastAsia="Arial" w:hAnsi="Arial"/>
                <w:sz w:val="18"/>
                <w:szCs w:val="18"/>
                <w:color w:val="auto"/>
              </w:rPr>
              <w:t>Exhibit 5.3*</w:t>
            </w:r>
          </w:p>
        </w:tc>
        <w:tc>
          <w:tcPr>
            <w:tcW w:w="10000" w:type="dxa"/>
            <w:vAlign w:val="bottom"/>
          </w:tcPr>
          <w:p>
            <w:pPr>
              <w:ind w:left="80"/>
              <w:spacing w:after="0"/>
              <w:rPr>
                <w:sz w:val="20"/>
                <w:szCs w:val="20"/>
                <w:color w:val="auto"/>
              </w:rPr>
            </w:pPr>
            <w:r>
              <w:rPr>
                <w:rFonts w:ascii="Arial" w:cs="Arial" w:eastAsia="Arial" w:hAnsi="Arial"/>
                <w:sz w:val="18"/>
                <w:szCs w:val="18"/>
                <w:color w:val="auto"/>
              </w:rPr>
              <w:t>Opinion of Thompson Coburn LLP, special Missouri counsel.</w:t>
            </w:r>
          </w:p>
        </w:tc>
      </w:tr>
      <w:tr>
        <w:trPr>
          <w:trHeight w:val="324"/>
        </w:trPr>
        <w:tc>
          <w:tcPr>
            <w:tcW w:w="1420" w:type="dxa"/>
            <w:vAlign w:val="bottom"/>
            <w:gridSpan w:val="2"/>
          </w:tcPr>
          <w:p>
            <w:pPr>
              <w:spacing w:after="0"/>
              <w:rPr>
                <w:sz w:val="20"/>
                <w:szCs w:val="20"/>
                <w:color w:val="auto"/>
              </w:rPr>
            </w:pPr>
            <w:r>
              <w:rPr>
                <w:rFonts w:ascii="Arial" w:cs="Arial" w:eastAsia="Arial" w:hAnsi="Arial"/>
                <w:sz w:val="18"/>
                <w:szCs w:val="18"/>
                <w:color w:val="auto"/>
              </w:rPr>
              <w:t>Exhibit 5.4*</w:t>
            </w:r>
          </w:p>
        </w:tc>
        <w:tc>
          <w:tcPr>
            <w:tcW w:w="10000" w:type="dxa"/>
            <w:vAlign w:val="bottom"/>
          </w:tcPr>
          <w:p>
            <w:pPr>
              <w:ind w:left="80"/>
              <w:spacing w:after="0"/>
              <w:rPr>
                <w:sz w:val="20"/>
                <w:szCs w:val="20"/>
                <w:color w:val="auto"/>
              </w:rPr>
            </w:pPr>
            <w:r>
              <w:rPr>
                <w:rFonts w:ascii="Arial" w:cs="Arial" w:eastAsia="Arial" w:hAnsi="Arial"/>
                <w:sz w:val="18"/>
                <w:szCs w:val="18"/>
                <w:color w:val="auto"/>
              </w:rPr>
              <w:t>Opinion of Quarles &amp; Brady LLP, special Florida counsel.</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10000" w:type="dxa"/>
            <w:vAlign w:val="bottom"/>
          </w:tcPr>
          <w:p>
            <w:pPr>
              <w:ind w:left="80"/>
              <w:spacing w:after="0"/>
              <w:rPr>
                <w:sz w:val="20"/>
                <w:szCs w:val="20"/>
                <w:color w:val="auto"/>
              </w:rPr>
            </w:pPr>
            <w:r>
              <w:rPr>
                <w:rFonts w:ascii="Arial" w:cs="Arial" w:eastAsia="Arial" w:hAnsi="Arial"/>
                <w:sz w:val="18"/>
                <w:szCs w:val="18"/>
                <w:color w:val="auto"/>
                <w:w w:val="93"/>
              </w:rPr>
              <w:t>2009 Spectrum Brands, Inc. Incentive Plan (filed by incorporation by reference to Exhibit 10.1 to the Current Report on Form 8-K filed</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rPr>
              <w:t>with the SEC by Spectrum Brands, Inc. on August 31, 2009 (File No. 001-13615)).</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10.2</w:t>
            </w:r>
          </w:p>
        </w:tc>
        <w:tc>
          <w:tcPr>
            <w:tcW w:w="10000" w:type="dxa"/>
            <w:vAlign w:val="bottom"/>
          </w:tcPr>
          <w:p>
            <w:pPr>
              <w:ind w:left="80"/>
              <w:spacing w:after="0"/>
              <w:rPr>
                <w:sz w:val="20"/>
                <w:szCs w:val="20"/>
                <w:color w:val="auto"/>
              </w:rPr>
            </w:pPr>
            <w:r>
              <w:rPr>
                <w:rFonts w:ascii="Arial" w:cs="Arial" w:eastAsia="Arial" w:hAnsi="Arial"/>
                <w:sz w:val="18"/>
                <w:szCs w:val="18"/>
                <w:color w:val="auto"/>
                <w:w w:val="91"/>
              </w:rPr>
              <w:t>Form of Spectrum Brands, Inc. Restricted Stock Award Agreement under the 2009 Incentive Plan (filed by incorporation by reference to</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1"/>
              </w:rPr>
              <w:t>Exhibit 10.2 to the Current Report on Form 8-K filed with the SEC by Spectrum Brands, Inc. on October 28, 2009 (File No. 001-13615)).</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10.3</w:t>
            </w:r>
          </w:p>
        </w:tc>
        <w:tc>
          <w:tcPr>
            <w:tcW w:w="10000" w:type="dxa"/>
            <w:vAlign w:val="bottom"/>
          </w:tcPr>
          <w:p>
            <w:pPr>
              <w:ind w:left="80"/>
              <w:spacing w:after="0"/>
              <w:rPr>
                <w:sz w:val="20"/>
                <w:szCs w:val="20"/>
                <w:color w:val="auto"/>
              </w:rPr>
            </w:pPr>
            <w:r>
              <w:rPr>
                <w:rFonts w:ascii="Arial" w:cs="Arial" w:eastAsia="Arial" w:hAnsi="Arial"/>
                <w:sz w:val="18"/>
                <w:szCs w:val="18"/>
                <w:color w:val="auto"/>
                <w:w w:val="91"/>
              </w:rPr>
              <w:t>Stockholder Agreement, dated as of February 9, 2010, by and among Harbinger Capital Partners Master Fund I, Ltd., Harbinger Capital</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5"/>
              </w:rPr>
              <w:t>Partners Special Situations Funds, L.P., Global Opportunities Breakaway Ltd., and SB/RH Holdings, Inc. (filed by incorporation by</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2"/>
              </w:rPr>
              <w:t>reference to Exhibit 10.5 to the Current Report on form 8-K filed with the SEC by Spectrum Brands, Inc. on February 12, 2010 (File No.</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rPr>
              <w:t>001-13615)).</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10000" w:type="dxa"/>
            <w:vAlign w:val="bottom"/>
          </w:tcPr>
          <w:p>
            <w:pPr>
              <w:ind w:left="80"/>
              <w:spacing w:after="0"/>
              <w:rPr>
                <w:sz w:val="20"/>
                <w:szCs w:val="20"/>
                <w:color w:val="auto"/>
              </w:rPr>
            </w:pPr>
            <w:r>
              <w:rPr>
                <w:rFonts w:ascii="Arial" w:cs="Arial" w:eastAsia="Arial" w:hAnsi="Arial"/>
                <w:sz w:val="18"/>
                <w:szCs w:val="18"/>
                <w:color w:val="auto"/>
                <w:w w:val="90"/>
              </w:rPr>
              <w:t>Registration Rights Agreement, dated as of February 9, 2010, by and among Spectrum Brands Holdings, Inc., Harbinger Capital Partners</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rPr>
              <w:t>Master Fund I, Ltd., Harbinger Capital Partners Special Situations Fund, L.P., Global Opportunities Breakaway Ltd., Avenue</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2"/>
              </w:rPr>
              <w:t>International Master, L.P., Avenue Investments, L.P., Avenue Special Situations Fund IV, L.P., Avenue Special Situations Fund V, L.P.</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4"/>
              </w:rPr>
              <w:t>and Avenue-CDP Global Opportunities Fund, L.P. (filed by incorporation by reference to Exhibit 4.1 to the Registration Statement on</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rPr>
              <w:t>Form S-4 filed with the SEC by Spectrum Brands Holdings, Inc. on March 29, 2010 (File No. 333-165769)).</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10.5</w:t>
            </w:r>
          </w:p>
        </w:tc>
        <w:tc>
          <w:tcPr>
            <w:tcW w:w="10000" w:type="dxa"/>
            <w:vAlign w:val="bottom"/>
          </w:tcPr>
          <w:p>
            <w:pPr>
              <w:ind w:left="80"/>
              <w:spacing w:after="0"/>
              <w:rPr>
                <w:sz w:val="20"/>
                <w:szCs w:val="20"/>
                <w:color w:val="auto"/>
              </w:rPr>
            </w:pPr>
            <w:r>
              <w:rPr>
                <w:rFonts w:ascii="Arial" w:cs="Arial" w:eastAsia="Arial" w:hAnsi="Arial"/>
                <w:sz w:val="18"/>
                <w:szCs w:val="18"/>
                <w:color w:val="auto"/>
                <w:w w:val="90"/>
              </w:rPr>
              <w:t>Registration Rights Agreement, dated as of December 4, 2014 by and among Spectrum Brands, Inc., the guarantors party thereto and the</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3"/>
              </w:rPr>
              <w:t>investors listed on the signature pages thereto, with respect to the 6.125% Notes (filed by incorporation by reference to Exhibit 10.1 to</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4"/>
              </w:rPr>
              <w:t>the Current Report on Form 8-K filed with the SEC by Spectrum Brands Holdings, Inc. on December 8, 2014 (File No. 001-34757)).</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10.6</w:t>
            </w:r>
          </w:p>
        </w:tc>
        <w:tc>
          <w:tcPr>
            <w:tcW w:w="10000" w:type="dxa"/>
            <w:vAlign w:val="bottom"/>
          </w:tcPr>
          <w:p>
            <w:pPr>
              <w:ind w:left="80"/>
              <w:spacing w:after="0"/>
              <w:rPr>
                <w:sz w:val="20"/>
                <w:szCs w:val="20"/>
                <w:color w:val="auto"/>
              </w:rPr>
            </w:pPr>
            <w:r>
              <w:rPr>
                <w:rFonts w:ascii="Arial" w:cs="Arial" w:eastAsia="Arial" w:hAnsi="Arial"/>
                <w:sz w:val="18"/>
                <w:szCs w:val="18"/>
                <w:color w:val="auto"/>
                <w:w w:val="93"/>
              </w:rPr>
              <w:t>Registration Rights Agreement, dated as of May 20, 2015, by and among Spectrum Brands, Inc., the guarantors party thereto and the</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3"/>
              </w:rPr>
              <w:t>investors listed on the signature pages thereto, with respect to the 5.750% Notes (filed by incorporation by reference to Exhibit 10.1 to</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8"/>
              </w:rPr>
              <w:t>the Current Report on Form 8-K filed with the SEC by Spectrum Brands Holdings, Inc. on May 20, 2015 (File No. 001-34757)).</w:t>
            </w:r>
          </w:p>
        </w:tc>
      </w:tr>
      <w:tr>
        <w:trPr>
          <w:trHeight w:val="310"/>
        </w:trPr>
        <w:tc>
          <w:tcPr>
            <w:tcW w:w="1420" w:type="dxa"/>
            <w:vAlign w:val="bottom"/>
            <w:gridSpan w:val="2"/>
          </w:tcPr>
          <w:p>
            <w:pPr>
              <w:spacing w:after="0"/>
              <w:rPr>
                <w:sz w:val="20"/>
                <w:szCs w:val="20"/>
                <w:color w:val="auto"/>
              </w:rPr>
            </w:pPr>
            <w:r>
              <w:rPr>
                <w:rFonts w:ascii="Arial" w:cs="Arial" w:eastAsia="Arial" w:hAnsi="Arial"/>
                <w:sz w:val="18"/>
                <w:szCs w:val="18"/>
                <w:color w:val="auto"/>
              </w:rPr>
              <w:t>Exhibit 10.7</w:t>
            </w:r>
          </w:p>
        </w:tc>
        <w:tc>
          <w:tcPr>
            <w:tcW w:w="10000" w:type="dxa"/>
            <w:vAlign w:val="bottom"/>
          </w:tcPr>
          <w:p>
            <w:pPr>
              <w:ind w:left="80"/>
              <w:spacing w:after="0"/>
              <w:rPr>
                <w:sz w:val="20"/>
                <w:szCs w:val="20"/>
                <w:color w:val="auto"/>
              </w:rPr>
            </w:pPr>
            <w:r>
              <w:rPr>
                <w:rFonts w:ascii="Arial" w:cs="Arial" w:eastAsia="Arial" w:hAnsi="Arial"/>
                <w:sz w:val="18"/>
                <w:szCs w:val="18"/>
                <w:color w:val="auto"/>
                <w:w w:val="93"/>
              </w:rPr>
              <w:t>Credit Agreement, dated as of June 23, 2015, by and among Spectrum Brands, Inc., SB/RH Holdings, LLC, Deutsche Bank AG New</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2"/>
              </w:rPr>
              <w:t>York Branch, as administrative agent, and the lenders party thereto from time to time (filed by incorporation by reference to Exhibit 10.1</w:t>
            </w:r>
          </w:p>
        </w:tc>
      </w:tr>
      <w:tr>
        <w:trPr>
          <w:trHeight w:val="230"/>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ind w:left="80"/>
              <w:spacing w:after="0"/>
              <w:rPr>
                <w:sz w:val="20"/>
                <w:szCs w:val="20"/>
                <w:color w:val="auto"/>
              </w:rPr>
            </w:pPr>
            <w:r>
              <w:rPr>
                <w:rFonts w:ascii="Arial" w:cs="Arial" w:eastAsia="Arial" w:hAnsi="Arial"/>
                <w:sz w:val="18"/>
                <w:szCs w:val="18"/>
                <w:color w:val="auto"/>
                <w:w w:val="96"/>
              </w:rPr>
              <w:t>to the Current Report on Form 8-K filed with the SEC by Spectrum Brands Holdings, Inc. on June 23, 2015 (File No. 001-34757)).</w:t>
            </w:r>
          </w:p>
        </w:tc>
      </w:tr>
      <w:tr>
        <w:trPr>
          <w:trHeight w:val="365"/>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ind w:left="4120"/>
              <w:spacing w:after="0"/>
              <w:rPr>
                <w:sz w:val="20"/>
                <w:szCs w:val="20"/>
                <w:color w:val="auto"/>
              </w:rPr>
            </w:pPr>
            <w:r>
              <w:rPr>
                <w:rFonts w:ascii="Arial" w:cs="Arial" w:eastAsia="Arial" w:hAnsi="Arial"/>
                <w:sz w:val="18"/>
                <w:szCs w:val="18"/>
                <w:color w:val="auto"/>
              </w:rPr>
              <w:t>II-25</w:t>
            </w:r>
          </w:p>
        </w:tc>
      </w:tr>
    </w:tbl>
    <w:p>
      <w:pPr>
        <w:sectPr>
          <w:pgSz w:w="11900" w:h="16838" w:orient="portrait"/>
          <w:cols w:equalWidth="0" w:num="1">
            <w:col w:w="11420"/>
          </w:cols>
          <w:pgMar w:left="240" w:top="445" w:right="239" w:bottom="1440" w:gutter="0" w:footer="0" w:header="0"/>
        </w:sectPr>
      </w:pPr>
    </w:p>
    <w:bookmarkStart w:id="441" w:name="page442"/>
    <w:bookmarkEnd w:id="4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20" w:type="dxa"/>
            <w:vAlign w:val="bottom"/>
          </w:tcPr>
          <w:p>
            <w:pPr>
              <w:spacing w:after="0"/>
              <w:rPr>
                <w:sz w:val="17"/>
                <w:szCs w:val="17"/>
                <w:color w:val="auto"/>
              </w:rPr>
            </w:pPr>
          </w:p>
        </w:tc>
        <w:tc>
          <w:tcPr>
            <w:tcW w:w="9940" w:type="dxa"/>
            <w:vAlign w:val="bottom"/>
          </w:tcPr>
          <w:p>
            <w:pPr>
              <w:spacing w:after="0"/>
              <w:rPr>
                <w:sz w:val="17"/>
                <w:szCs w:val="17"/>
                <w:color w:val="auto"/>
              </w:rPr>
            </w:pPr>
          </w:p>
        </w:tc>
      </w:tr>
      <w:tr>
        <w:trPr>
          <w:trHeight w:val="519"/>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10.8</w:t>
            </w: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Security Agreement, dated as of June 23, 2015, by and among Spectrum Brands, Inc., SB/RH Holdings, LLC, the subsidiary guarantors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party thereto from time to time and Deutsche Bank AG New York Branch, as collateral agent (filed by incorporation by reference to</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Exhibit 10.2 to the Current Report on Form 8-K filed with the SEC by Spectrum Brands Holdings, Inc. on June 23, 2015 (File No. 001-</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10.9</w:t>
            </w: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Loan Guaranty, dated as of June 23, 2015, by and among SB/RH Holdings, LLC, the subsidiary guarantors party thereto from time to</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time and Deutsche Bank AG New York Branch, as administrative agent and collateral agent (filed by incorporation by reference to</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Exhibit 10.3 to the Current Report on Form 8-K filed with the SEC by Spectrum Brands Holdings, Inc. on June 23, 2015 (File No. 001-</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10.10</w:t>
            </w: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Amended and Restated Employment Agreement, entered into as of August 11, 2010, by and among Spectrum Brands, Inc., Spectrum</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5"/>
              </w:rPr>
              <w:t>Brands Holdings, Inc. and David R. Lumley (filed by incorporation by reference to Exhibit 10.1 to the Current Report on Form 8-K</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filed with the SEC by Spectrum Brands Holdings, Inc. on August 17, 2010(File No. 001-34757)).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10.11</w:t>
            </w:r>
          </w:p>
        </w:tc>
        <w:tc>
          <w:tcPr>
            <w:tcW w:w="9940" w:type="dxa"/>
            <w:vAlign w:val="bottom"/>
          </w:tcPr>
          <w:p>
            <w:pPr>
              <w:ind w:left="140"/>
              <w:spacing w:after="0"/>
              <w:rPr>
                <w:sz w:val="20"/>
                <w:szCs w:val="20"/>
                <w:color w:val="auto"/>
              </w:rPr>
            </w:pPr>
            <w:r>
              <w:rPr>
                <w:rFonts w:ascii="Arial" w:cs="Arial" w:eastAsia="Arial" w:hAnsi="Arial"/>
                <w:sz w:val="18"/>
                <w:szCs w:val="18"/>
                <w:color w:val="auto"/>
                <w:w w:val="96"/>
              </w:rPr>
              <w:t>First Amendment, dated as of November 16, 2010, to the Employment Agreement, dated as of August 11, 2010, by and among</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Spectrum Brands, Inc., Spectrum Brands Holdings, Inc. and David R. Lumley (filed by incorporation by reference to Exhibit 10.1 to the</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5"/>
              </w:rPr>
              <w:t>Current Report on Form 8-K filed with the SEC by Spectrum Brands Holdings, Inc. on November 22, 2010 (File No. 001-34757)).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10.12</w:t>
            </w:r>
          </w:p>
        </w:tc>
        <w:tc>
          <w:tcPr>
            <w:tcW w:w="9940" w:type="dxa"/>
            <w:vAlign w:val="bottom"/>
          </w:tcPr>
          <w:p>
            <w:pPr>
              <w:ind w:left="140"/>
              <w:spacing w:after="0"/>
              <w:rPr>
                <w:sz w:val="20"/>
                <w:szCs w:val="20"/>
                <w:color w:val="auto"/>
              </w:rPr>
            </w:pPr>
            <w:r>
              <w:rPr>
                <w:rFonts w:ascii="Arial" w:cs="Arial" w:eastAsia="Arial" w:hAnsi="Arial"/>
                <w:sz w:val="18"/>
                <w:szCs w:val="18"/>
                <w:color w:val="auto"/>
                <w:w w:val="99"/>
              </w:rPr>
              <w:t>Retention Agreement, entered into as of April 29, 2014, by and between Spectrum Brands, Inc. and Anthony Genito (filed by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incorporation by reference to Exhibit 10.1 to the Current Report on Form 8-K filed with the SEC by Spectrum Brands Holdings, Inc. on</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May 5, 2014 (File No. 001-34757)).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10.13</w:t>
            </w: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Employment Agreement, effective June 9, 2008, by and between Spectrum Brands, Inc. and Anthony L. Genito (filed by incorporation</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by reference to Exhibit 10.15 to the Quarterly Report on Form 10-Q for the quarterly period ended June 29, 2008, filed with the SEC by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Spectrum Brands, Inc. on August 8, 2008 (File No. 001-13615)).</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10.14</w:t>
            </w: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Amendment to the Employment Agreement, effective as of February 24, 2009, by and between Spectrum Brands, Inc. and Anthony L.</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Genito (filed by incorporation by reference to Exhibit 10.22 to the Annual Report on Form 10-K for the fiscal year ended September</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30, 2010, filed with the SEC by Spectrum Brands, Inc. on December 29, 2009 (File No. 001-13615)).</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10.15</w:t>
            </w: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Description of Second Amendment to the Employment Agreement, effective as of August 28, 2009, by and between Spectrum Brands,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6"/>
              </w:rPr>
              <w:t>Inc. and Anthony L. Genito (filed by incorporation by reference to Exhibit 10.23 to the Annual Report on Form 10-K filed with the</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SEC by Spectrum Brands, Inc. on December 29, 2009 (File No. 001-13615)).</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10.16</w:t>
            </w: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Third Amendment, dated as of November 16, 2010, to the Employment Agreement, dated as of June 9, 2008, by and among Spectrum</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Brands, Inc. and Anthony L. Genito (filed by incorporation by reference to Exhibit 10.3 to the Current Report on Form 8-K filed with</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the SEC by Spectrum Brands Holdings, Inc. on November 22, 2010 (File No. 001-34757)).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10.17</w:t>
            </w: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Employment Agreement dated September 1, 2014 between Spectrum Brands, Inc. and Douglas L. Martin (filed by incorporation by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reference to Exhibit 99.1 to the Current Report on Form 8-K/A filed with the SEC by Spectrum Brands Holdings, Inc. on September 2,</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2014 (File No. 001-34757)).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10.18</w:t>
            </w: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Spectrum Brands Holdings, Inc. 2007 Omnibus Equity Award Plan (formerly known as the Russell Hobbs, Inc. 2007 Omnibus Equity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6"/>
              </w:rPr>
              <w:t>Award Plan) (filed by incorporation by reference to Exhibit 10.1 to the Registration Statement on Form S-8 filed with the SEC by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Spectrum Brands Holdings, Inc. on June 16, 2010 (File No. 333-167574)).</w:t>
            </w:r>
          </w:p>
        </w:tc>
      </w:tr>
      <w:tr>
        <w:trPr>
          <w:trHeight w:val="365"/>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Pr>
          <w:p>
            <w:pPr>
              <w:ind w:left="4060"/>
              <w:spacing w:after="0"/>
              <w:rPr>
                <w:sz w:val="20"/>
                <w:szCs w:val="20"/>
                <w:color w:val="auto"/>
              </w:rPr>
            </w:pPr>
            <w:r>
              <w:rPr>
                <w:rFonts w:ascii="Arial" w:cs="Arial" w:eastAsia="Arial" w:hAnsi="Arial"/>
                <w:sz w:val="18"/>
                <w:szCs w:val="18"/>
                <w:color w:val="auto"/>
              </w:rPr>
              <w:t>II-26</w:t>
            </w:r>
          </w:p>
        </w:tc>
      </w:tr>
    </w:tbl>
    <w:p>
      <w:pPr>
        <w:sectPr>
          <w:pgSz w:w="11900" w:h="16838" w:orient="portrait"/>
          <w:cols w:equalWidth="0" w:num="1">
            <w:col w:w="11420"/>
          </w:cols>
          <w:pgMar w:left="240" w:top="445" w:right="239" w:bottom="1440" w:gutter="0" w:footer="0" w:header="0"/>
        </w:sectPr>
      </w:pPr>
    </w:p>
    <w:bookmarkStart w:id="442" w:name="page443"/>
    <w:bookmarkEnd w:id="4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20" w:type="dxa"/>
            <w:vAlign w:val="bottom"/>
          </w:tcPr>
          <w:p>
            <w:pPr>
              <w:spacing w:after="0"/>
              <w:rPr>
                <w:sz w:val="17"/>
                <w:szCs w:val="17"/>
                <w:color w:val="auto"/>
              </w:rPr>
            </w:pPr>
          </w:p>
        </w:tc>
        <w:tc>
          <w:tcPr>
            <w:tcW w:w="9900" w:type="dxa"/>
            <w:vAlign w:val="bottom"/>
          </w:tcPr>
          <w:p>
            <w:pPr>
              <w:spacing w:after="0"/>
              <w:rPr>
                <w:sz w:val="17"/>
                <w:szCs w:val="17"/>
                <w:color w:val="auto"/>
              </w:rPr>
            </w:pPr>
          </w:p>
        </w:tc>
      </w:tr>
      <w:tr>
        <w:trPr>
          <w:trHeight w:val="519"/>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10.19</w:t>
            </w:r>
          </w:p>
        </w:tc>
        <w:tc>
          <w:tcPr>
            <w:tcW w:w="9900" w:type="dxa"/>
            <w:vAlign w:val="bottom"/>
          </w:tcPr>
          <w:p>
            <w:pPr>
              <w:ind w:left="140"/>
              <w:spacing w:after="0"/>
              <w:rPr>
                <w:sz w:val="20"/>
                <w:szCs w:val="20"/>
                <w:color w:val="auto"/>
              </w:rPr>
            </w:pPr>
            <w:r>
              <w:rPr>
                <w:rFonts w:ascii="Arial" w:cs="Arial" w:eastAsia="Arial" w:hAnsi="Arial"/>
                <w:sz w:val="18"/>
                <w:szCs w:val="18"/>
                <w:color w:val="auto"/>
                <w:w w:val="96"/>
              </w:rPr>
              <w:t>Spectrum Brands Holdings, Inc. 2011 Omnibus Equity Award Plan, as amended on January 28, 2014 (filed by incorporation by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4"/>
              </w:rPr>
              <w:t>reference to Exhibit 99.1 to the Current Report on Form 8-K filed with the SEC by Spectrum Brands Holdings, Inc. on February 3,</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2014 (File No. 001-34757)).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10.20</w:t>
            </w:r>
          </w:p>
        </w:tc>
        <w:tc>
          <w:tcPr>
            <w:tcW w:w="9900" w:type="dxa"/>
            <w:vAlign w:val="bottom"/>
          </w:tcPr>
          <w:p>
            <w:pPr>
              <w:ind w:left="140"/>
              <w:spacing w:after="0"/>
              <w:rPr>
                <w:sz w:val="20"/>
                <w:szCs w:val="20"/>
                <w:color w:val="auto"/>
              </w:rPr>
            </w:pPr>
            <w:r>
              <w:rPr>
                <w:rFonts w:ascii="Arial" w:cs="Arial" w:eastAsia="Arial" w:hAnsi="Arial"/>
                <w:sz w:val="18"/>
                <w:szCs w:val="18"/>
                <w:color w:val="auto"/>
                <w:w w:val="97"/>
              </w:rPr>
              <w:t>Severance Agreement, dated as of November 19, 2012, by and between Spectrum Brands, Inc. and Nathan E. Fagre (filed by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7"/>
              </w:rPr>
              <w:t>incorporation by reference to Exhibit 10.47 to the Annual Report on Form 10-K filed with the SEC by Spectrum Brands, Inc. on</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November 21, 2012 (File No. 001-13615)).</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10.21</w:t>
            </w:r>
          </w:p>
        </w:tc>
        <w:tc>
          <w:tcPr>
            <w:tcW w:w="9900" w:type="dxa"/>
            <w:vAlign w:val="bottom"/>
          </w:tcPr>
          <w:p>
            <w:pPr>
              <w:ind w:left="140"/>
              <w:spacing w:after="0"/>
              <w:rPr>
                <w:sz w:val="20"/>
                <w:szCs w:val="20"/>
                <w:color w:val="auto"/>
              </w:rPr>
            </w:pPr>
            <w:r>
              <w:rPr>
                <w:rFonts w:ascii="Arial" w:cs="Arial" w:eastAsia="Arial" w:hAnsi="Arial"/>
                <w:sz w:val="18"/>
                <w:szCs w:val="18"/>
                <w:color w:val="auto"/>
                <w:w w:val="91"/>
              </w:rPr>
              <w:t>Separation Agreement dated December 28, 2012 between Spectrum Brands, Inc. and John Heil (filed by incorporation by reference to</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Exhibit 10.1 to the Current Report on Form 8-K filed with the SEC by Spectrum Brands Holdings, Inc. on January 3,</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2012 (File No. 001-34757)).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10.22</w:t>
            </w:r>
          </w:p>
        </w:tc>
        <w:tc>
          <w:tcPr>
            <w:tcW w:w="9900" w:type="dxa"/>
            <w:vAlign w:val="bottom"/>
          </w:tcPr>
          <w:p>
            <w:pPr>
              <w:ind w:left="140"/>
              <w:spacing w:after="0"/>
              <w:rPr>
                <w:sz w:val="20"/>
                <w:szCs w:val="20"/>
                <w:color w:val="auto"/>
              </w:rPr>
            </w:pPr>
            <w:r>
              <w:rPr>
                <w:rFonts w:ascii="Arial" w:cs="Arial" w:eastAsia="Arial" w:hAnsi="Arial"/>
                <w:sz w:val="18"/>
                <w:szCs w:val="18"/>
                <w:color w:val="auto"/>
                <w:w w:val="95"/>
              </w:rPr>
              <w:t>Registered Director’s Agreement, dated as of August 27, 2007, by and between Andreas Rouve and Rayovac Europe GmbH, as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1"/>
              </w:rPr>
              <w:t>amended on October 1, 2007 (filed by incorporation by reference to Exhibit 99.2 to the Current Report on Form 8-K filed with the SEC</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by Spectrum Brands Holdings, Inc. on February 11, 2014 (File No. 001-34757)).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10.23</w:t>
            </w:r>
          </w:p>
        </w:tc>
        <w:tc>
          <w:tcPr>
            <w:tcW w:w="9900" w:type="dxa"/>
            <w:vAlign w:val="bottom"/>
          </w:tcPr>
          <w:p>
            <w:pPr>
              <w:ind w:left="140"/>
              <w:spacing w:after="0"/>
              <w:rPr>
                <w:sz w:val="20"/>
                <w:szCs w:val="20"/>
                <w:color w:val="auto"/>
              </w:rPr>
            </w:pPr>
            <w:r>
              <w:rPr>
                <w:rFonts w:ascii="Arial" w:cs="Arial" w:eastAsia="Arial" w:hAnsi="Arial"/>
                <w:sz w:val="18"/>
                <w:szCs w:val="18"/>
                <w:color w:val="auto"/>
                <w:w w:val="96"/>
              </w:rPr>
              <w:t>Separation Agreement dated September 16, 2013 between Spectrum Brands, Inc. and Terry Polistina (filed by incorporation by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5"/>
              </w:rPr>
              <w:t>reference to Exhibit 10.1 to the Current Report on Form 8-K filed with the SEC by Spectrum Brands, Inc. on September 20, 2013</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(File No. 001-13615)).</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10.24</w:t>
            </w:r>
          </w:p>
        </w:tc>
        <w:tc>
          <w:tcPr>
            <w:tcW w:w="9900" w:type="dxa"/>
            <w:vAlign w:val="bottom"/>
          </w:tcPr>
          <w:p>
            <w:pPr>
              <w:ind w:left="140"/>
              <w:spacing w:after="0"/>
              <w:rPr>
                <w:sz w:val="20"/>
                <w:szCs w:val="20"/>
                <w:color w:val="auto"/>
              </w:rPr>
            </w:pPr>
            <w:r>
              <w:rPr>
                <w:rFonts w:ascii="Arial" w:cs="Arial" w:eastAsia="Arial" w:hAnsi="Arial"/>
                <w:sz w:val="18"/>
                <w:szCs w:val="18"/>
                <w:color w:val="auto"/>
                <w:w w:val="90"/>
              </w:rPr>
              <w:t>Transition Employment Agreement dated January 8, 2015, by and between Spectrum Brands, Inc., Spectrum Brands Holdings, Inc. and</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6"/>
              </w:rPr>
              <w:t>David R. Lumley (filed by incorporation by reference to Exhibit 10.3 to the Quarterly Report on Form 10-Q filed with the SEC by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Spectrum Brands Holdings, Inc. on February 5, 2015 (File No. 001-34757)).</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10.25</w:t>
            </w:r>
          </w:p>
        </w:tc>
        <w:tc>
          <w:tcPr>
            <w:tcW w:w="9900" w:type="dxa"/>
            <w:vAlign w:val="bottom"/>
          </w:tcPr>
          <w:p>
            <w:pPr>
              <w:ind w:left="140"/>
              <w:spacing w:after="0"/>
              <w:rPr>
                <w:sz w:val="20"/>
                <w:szCs w:val="20"/>
                <w:color w:val="auto"/>
              </w:rPr>
            </w:pPr>
            <w:r>
              <w:rPr>
                <w:rFonts w:ascii="Arial" w:cs="Arial" w:eastAsia="Arial" w:hAnsi="Arial"/>
                <w:sz w:val="18"/>
                <w:szCs w:val="18"/>
                <w:color w:val="auto"/>
                <w:w w:val="92"/>
              </w:rPr>
              <w:t>Employment Agreement, dated March 16, 2015, among Spectrum Brands Holdings, Inc., Spectrum Brands, Inc. and Andreas Rouve</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5"/>
              </w:rPr>
              <w:t>(filed by incorporation by reference to Exhibit 10.2 to the Quarterly Report on Form 10-Q filed with the SEC by Spectrum Brands</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Holdings, Inc. on May 1, 2015 (File No. 001-34757)).</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Exhibit 21.1*</w:t>
            </w:r>
          </w:p>
        </w:tc>
        <w:tc>
          <w:tcPr>
            <w:tcW w:w="9900" w:type="dxa"/>
            <w:vAlign w:val="bottom"/>
          </w:tcPr>
          <w:p>
            <w:pPr>
              <w:ind w:left="140"/>
              <w:spacing w:after="0"/>
              <w:rPr>
                <w:sz w:val="20"/>
                <w:szCs w:val="20"/>
                <w:color w:val="auto"/>
              </w:rPr>
            </w:pPr>
            <w:r>
              <w:rPr>
                <w:rFonts w:ascii="Arial" w:cs="Arial" w:eastAsia="Arial" w:hAnsi="Arial"/>
                <w:sz w:val="18"/>
                <w:szCs w:val="18"/>
                <w:color w:val="auto"/>
              </w:rPr>
              <w:t>Subsidiaries of Registrant.</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Exhibit 23.1*</w:t>
            </w:r>
          </w:p>
        </w:tc>
        <w:tc>
          <w:tcPr>
            <w:tcW w:w="9900" w:type="dxa"/>
            <w:vAlign w:val="bottom"/>
          </w:tcPr>
          <w:p>
            <w:pPr>
              <w:ind w:left="1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Exhibit 23.2*</w:t>
            </w:r>
          </w:p>
        </w:tc>
        <w:tc>
          <w:tcPr>
            <w:tcW w:w="9900" w:type="dxa"/>
            <w:vAlign w:val="bottom"/>
          </w:tcPr>
          <w:p>
            <w:pPr>
              <w:ind w:left="140"/>
              <w:spacing w:after="0"/>
              <w:rPr>
                <w:sz w:val="20"/>
                <w:szCs w:val="20"/>
                <w:color w:val="auto"/>
              </w:rPr>
            </w:pPr>
            <w:r>
              <w:rPr>
                <w:rFonts w:ascii="Arial" w:cs="Arial" w:eastAsia="Arial" w:hAnsi="Arial"/>
                <w:sz w:val="18"/>
                <w:szCs w:val="18"/>
                <w:color w:val="auto"/>
              </w:rPr>
              <w:t>Consent of Ernst &amp; Young LLP, Independent Auditor.</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Exhibit 23.3*</w:t>
            </w:r>
          </w:p>
        </w:tc>
        <w:tc>
          <w:tcPr>
            <w:tcW w:w="9900" w:type="dxa"/>
            <w:vAlign w:val="bottom"/>
          </w:tcPr>
          <w:p>
            <w:pPr>
              <w:ind w:left="140"/>
              <w:spacing w:after="0"/>
              <w:rPr>
                <w:sz w:val="20"/>
                <w:szCs w:val="20"/>
                <w:color w:val="auto"/>
              </w:rPr>
            </w:pPr>
            <w:r>
              <w:rPr>
                <w:rFonts w:ascii="Arial" w:cs="Arial" w:eastAsia="Arial" w:hAnsi="Arial"/>
                <w:sz w:val="18"/>
                <w:szCs w:val="18"/>
                <w:color w:val="auto"/>
              </w:rPr>
              <w:t>Consent of Paul, Weiss, Rifkind, Wharton &amp; Garrison LLP (included as part of Exhibit 5.1).</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Exhibit 23.4*</w:t>
            </w:r>
          </w:p>
        </w:tc>
        <w:tc>
          <w:tcPr>
            <w:tcW w:w="9900" w:type="dxa"/>
            <w:vAlign w:val="bottom"/>
          </w:tcPr>
          <w:p>
            <w:pPr>
              <w:ind w:left="140"/>
              <w:spacing w:after="0"/>
              <w:rPr>
                <w:sz w:val="20"/>
                <w:szCs w:val="20"/>
                <w:color w:val="auto"/>
              </w:rPr>
            </w:pPr>
            <w:r>
              <w:rPr>
                <w:rFonts w:ascii="Arial" w:cs="Arial" w:eastAsia="Arial" w:hAnsi="Arial"/>
                <w:sz w:val="18"/>
                <w:szCs w:val="18"/>
                <w:color w:val="auto"/>
              </w:rPr>
              <w:t>Consent of Barnes &amp; Thornburg LLP (included as part of Exhibit 5.2).</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Exhibit 23.5*</w:t>
            </w:r>
          </w:p>
        </w:tc>
        <w:tc>
          <w:tcPr>
            <w:tcW w:w="9900" w:type="dxa"/>
            <w:vAlign w:val="bottom"/>
          </w:tcPr>
          <w:p>
            <w:pPr>
              <w:ind w:left="140"/>
              <w:spacing w:after="0"/>
              <w:rPr>
                <w:sz w:val="20"/>
                <w:szCs w:val="20"/>
                <w:color w:val="auto"/>
              </w:rPr>
            </w:pPr>
            <w:r>
              <w:rPr>
                <w:rFonts w:ascii="Arial" w:cs="Arial" w:eastAsia="Arial" w:hAnsi="Arial"/>
                <w:sz w:val="18"/>
                <w:szCs w:val="18"/>
                <w:color w:val="auto"/>
              </w:rPr>
              <w:t>Consent of Thompson Coburn LLP (included as part of Exhibit 5.3).</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Exhibit 23.6*</w:t>
            </w:r>
          </w:p>
        </w:tc>
        <w:tc>
          <w:tcPr>
            <w:tcW w:w="9900" w:type="dxa"/>
            <w:vAlign w:val="bottom"/>
          </w:tcPr>
          <w:p>
            <w:pPr>
              <w:ind w:left="140"/>
              <w:spacing w:after="0"/>
              <w:rPr>
                <w:sz w:val="20"/>
                <w:szCs w:val="20"/>
                <w:color w:val="auto"/>
              </w:rPr>
            </w:pPr>
            <w:r>
              <w:rPr>
                <w:rFonts w:ascii="Arial" w:cs="Arial" w:eastAsia="Arial" w:hAnsi="Arial"/>
                <w:sz w:val="18"/>
                <w:szCs w:val="18"/>
                <w:color w:val="auto"/>
              </w:rPr>
              <w:t>Consent of Quarles &amp; Brady LLP (included as part of Exhibit 5.4).</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Exhibit 24.1*</w:t>
            </w:r>
          </w:p>
        </w:tc>
        <w:tc>
          <w:tcPr>
            <w:tcW w:w="9900" w:type="dxa"/>
            <w:vAlign w:val="bottom"/>
          </w:tcPr>
          <w:p>
            <w:pPr>
              <w:ind w:left="140"/>
              <w:spacing w:after="0"/>
              <w:rPr>
                <w:sz w:val="20"/>
                <w:szCs w:val="20"/>
                <w:color w:val="auto"/>
              </w:rPr>
            </w:pPr>
            <w:r>
              <w:rPr>
                <w:rFonts w:ascii="Arial" w:cs="Arial" w:eastAsia="Arial" w:hAnsi="Arial"/>
                <w:sz w:val="18"/>
                <w:szCs w:val="18"/>
                <w:color w:val="auto"/>
              </w:rPr>
              <w:t>Powers of Attorney (included in signature pages of this Registration Statement).</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25.1*</w:t>
            </w: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Statement of eligibility and qualification on Form T-1 of U.S. Bank National Association, with respect to the indenture governing the</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6.125% Senior Notes due 2024.</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25.2*</w:t>
            </w: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Statement of eligibility and qualification on Form T-1 of U.S. Bank National Association, with respect to the indenture governing the</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5.750% Senior Notes due 2025.</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25.3*</w:t>
            </w: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Statement of eligibility and qualification on Form T-1 of U.S. Bank National Association, with respect to the indenture governing the</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6.375% Senior Notes due 2020 and 6.625% Senior Notes due 2022.</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00" w:type="dxa"/>
            <w:vAlign w:val="bottom"/>
          </w:tcPr>
          <w:p>
            <w:pPr>
              <w:ind w:left="140"/>
              <w:spacing w:after="0"/>
              <w:rPr>
                <w:sz w:val="20"/>
                <w:szCs w:val="20"/>
                <w:color w:val="auto"/>
              </w:rPr>
            </w:pPr>
            <w:r>
              <w:rPr>
                <w:rFonts w:ascii="Arial" w:cs="Arial" w:eastAsia="Arial" w:hAnsi="Arial"/>
                <w:sz w:val="18"/>
                <w:szCs w:val="18"/>
                <w:color w:val="auto"/>
                <w:w w:val="92"/>
              </w:rPr>
              <w:t>XBRL Instance Document (incorporated by reference to Exhibit 101.INS to the Annual Report on Form 10-K for the fiscal year ended</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7"/>
              </w:rPr>
              <w:t>September 30, 2015, filed with the SEC by Spectrum Brands Holdings, Inc. and SB/RH Holdings, LLC on November 20, 2015</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(File Nos. 001-34757; 333-192634-03)).</w:t>
            </w:r>
          </w:p>
        </w:tc>
      </w:tr>
      <w:tr>
        <w:trPr>
          <w:trHeight w:val="365"/>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ind w:left="4060"/>
              <w:spacing w:after="0"/>
              <w:rPr>
                <w:sz w:val="20"/>
                <w:szCs w:val="20"/>
                <w:color w:val="auto"/>
              </w:rPr>
            </w:pPr>
            <w:r>
              <w:rPr>
                <w:rFonts w:ascii="Arial" w:cs="Arial" w:eastAsia="Arial" w:hAnsi="Arial"/>
                <w:sz w:val="18"/>
                <w:szCs w:val="18"/>
                <w:color w:val="auto"/>
              </w:rPr>
              <w:t>II-27</w:t>
            </w:r>
          </w:p>
        </w:tc>
      </w:tr>
    </w:tbl>
    <w:p>
      <w:pPr>
        <w:sectPr>
          <w:pgSz w:w="11900" w:h="16838" w:orient="portrait"/>
          <w:cols w:equalWidth="0" w:num="1">
            <w:col w:w="11380"/>
          </w:cols>
          <w:pgMar w:left="240" w:top="446" w:right="27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XBRL Taxonomy Extension Schema Document (incorporated by reference to Exhibit 101.SCH to the Annual Report on Form 10-K for the</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fiscal year ended September 30, 2015, filed with the SEC by Spectrum Brands Holdings, Inc. and SB/RH Holdings, LLC on November 20,</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2015 (File Nos. 001-34757; 333-192634-03)).</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 (incorporated by reference to Exhibit 101.CAL to the Annual Report on Form</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10-K for the fiscal year ended September 30, 2015, filed with the SEC by Spectrum Brands Holdings, Inc. and SB/RH Holdings, LLC on</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November 20, 2015 (File Nos. 001-34757; 333-192634-03)).</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XBRL Taxonomy Extension Definition Document (incorporated by reference to Exhibit 101.DEF to the Annual Report on Form 10-K for the</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fiscal year ended September 30, 2015, filed with the SEC by Spectrum Brands Holdings, Inc. and SB/RH Holdings, LLC on November 20,</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2015 (File Nos. 001-34757; 333-192634-03)).</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XBRL Taxonomy Extension Label Linkbase Document (incorporated by reference to Exhibit 101.LAB to the Annual Report on Form 10-K</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8"/>
              </w:rPr>
              <w:t>for the fiscal year ended September 30, 2015, filed with the SEC by Spectrum Brands Holdings, Inc. and SB/RH Holdings, LLC on</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November 20, 2015 (File Nos. 001-34757; 333-192634-03)).</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XBRL Taxonomy Extension Presentation Linkbase Document (incorporated by reference to Exhibit 101.PRE to the Annual Report on Form</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10-K for the fiscal year ended September 30, 2015, filed with the SEC by Spectrum Brands Holdings, Inc. and SB/RH Holdings, LLC on</w:t>
            </w:r>
          </w:p>
        </w:tc>
      </w:tr>
      <w:tr>
        <w:trPr>
          <w:trHeight w:val="230"/>
        </w:trPr>
        <w:tc>
          <w:tcPr>
            <w:tcW w:w="92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November 20, 2015 (File Nos. 001-34757; 333-192634-03)).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II-28</w:t>
      </w:r>
    </w:p>
    <w:p>
      <w:pPr>
        <w:sectPr>
          <w:pgSz w:w="11900" w:h="16838" w:orient="portrait"/>
          <w:cols w:equalWidth="0" w:num="1">
            <w:col w:w="11360"/>
          </w:cols>
          <w:pgMar w:left="240" w:top="459" w:right="29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212-373-3000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Spectrum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3001 Deming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Middleton, Wisconsin 53562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connection with the Registration Statement on Form S-1 (the “Registration Statement”) of Spectrum Brands, Inc., a Delaware corporation (the “Company”), each of the entities listed on Schedule I hereto (each a “Delaware Corporate Guarantor”), each of the entities listed on Schedule II hereto (each a “Delaware LLC Guarantor,” and together with the Delaware Corporate Guarantors, the “Delaware Guarantors”) and each of the entities listed on Schedule III hereto (each a “Non-Delaware Guarantor,” and together with the Delaware Guarantors, the “Guarantors”), filed with the Securities and Exchange Commission pursuant to the Securities Act of 1933, as amended (the “Act”), and the rules and regulations thereunder (the “Rules”), you have asked us to</w:t>
      </w:r>
    </w:p>
    <w:p>
      <w:pPr>
        <w:sectPr>
          <w:pgSz w:w="11900" w:h="16838" w:orient="portrait"/>
          <w:cols w:equalWidth="0" w:num="1">
            <w:col w:w="11420"/>
          </w:cols>
          <w:pgMar w:left="240" w:top="121" w:right="239" w:bottom="1440" w:gutter="0" w:footer="0" w:header="0"/>
        </w:sectPr>
      </w:pPr>
    </w:p>
    <w:bookmarkStart w:id="445" w:name="page446"/>
    <w:bookmarkEnd w:id="445"/>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Spectrum Brands, Inc.</w:t>
            </w:r>
          </w:p>
        </w:tc>
        <w:tc>
          <w:tcPr>
            <w:tcW w:w="49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80"/>
        <w:spacing w:after="0" w:line="257" w:lineRule="auto"/>
        <w:rPr>
          <w:sz w:val="20"/>
          <w:szCs w:val="20"/>
          <w:color w:val="auto"/>
        </w:rPr>
      </w:pPr>
      <w:r>
        <w:rPr>
          <w:rFonts w:ascii="Arial" w:cs="Arial" w:eastAsia="Arial" w:hAnsi="Arial"/>
          <w:sz w:val="18"/>
          <w:szCs w:val="18"/>
          <w:color w:val="auto"/>
        </w:rPr>
        <w:t>furnish our opinion as to the legality of the securities being registered under the Registration Statement. The Registration Statement relates to the offer and sale of the Company’s outstanding 6.375% Senior Notes due 2020 (the “2020 Notes”), its 6.625% Senior Notes due 2022 (the “2022 Notes”), its 6.125% Senior Notes due 2024 (the “2024 Notes”) and its 5.750% Senior Notes due 2025 (the “2025 Notes” and, collectively with the 2020 Notes, the 2022 Notes and the 2024 Notes, the “Notes”) and guarantees of the Notes by the Guarantors (the “Guarantees”) in connection with ongoing market-making transactions in the Notes by and through affiliates of the Company.</w:t>
      </w:r>
    </w:p>
    <w:p>
      <w:pPr>
        <w:spacing w:after="0" w:line="18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2020 Notes and the 2022 Notes have been issued by the Company in accordance with the terms of the indenture (the “2020/2022 Notes Base Indenture”), dated as of November 16, 2012, by and between Spectrum Brands Escrow Corp. and U.S. Bank National Association, as trustee (the “Trustee”), as supplemented by the supplemental indenture, dated as of December 17, 2012, among the Company, the guarantors party thereto and the Trustee, as further supplemented by the supplemental indenture, dated as of March 5, 2014, among the Company, the guarantors party thereto and the Trustee, as further supplemented by the supplemental indenture, dated as of October 16, 2014, among the Company, the guarantors party thereto and the Trustee, as further supplemented by the supplemental indenture, dated as of February 24, 2015, among the Company, the guarantors party thereto and the Trustee, and as further supplemented by the supplemental indenture, dated as of June 23, 2015, among the Company, the guarantors party thereto and the Trustee (together, the “2020/2022 Notes Supplemental Indentures” and, together with the 2020/2022 Notes Base Indenture, the “2020/2022 Notes Indenture”).</w:t>
      </w:r>
    </w:p>
    <w:p>
      <w:pPr>
        <w:sectPr>
          <w:pgSz w:w="11900" w:h="16838" w:orient="portrait"/>
          <w:cols w:equalWidth="0" w:num="1">
            <w:col w:w="11420"/>
          </w:cols>
          <w:pgMar w:left="240" w:top="273" w:right="239" w:bottom="1440" w:gutter="0" w:footer="0" w:header="0"/>
        </w:sectPr>
      </w:pPr>
    </w:p>
    <w:bookmarkStart w:id="446" w:name="page447"/>
    <w:bookmarkEnd w:id="446"/>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Spectrum Brands, Inc.</w:t>
            </w:r>
          </w:p>
        </w:tc>
        <w:tc>
          <w:tcPr>
            <w:tcW w:w="49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firstLine="456"/>
        <w:spacing w:after="0" w:line="257" w:lineRule="auto"/>
        <w:rPr>
          <w:sz w:val="20"/>
          <w:szCs w:val="20"/>
          <w:color w:val="auto"/>
        </w:rPr>
      </w:pPr>
      <w:r>
        <w:rPr>
          <w:rFonts w:ascii="Arial" w:cs="Arial" w:eastAsia="Arial" w:hAnsi="Arial"/>
          <w:sz w:val="18"/>
          <w:szCs w:val="18"/>
          <w:color w:val="auto"/>
        </w:rPr>
        <w:t>The 2024 Notes have been issued by the Company in accordance with the terms of the indenture (the “2024 Notes Base Indenture”), dated as of December 4, 2014, among the Company, the guarantors party thereto and the Trustee, as trustee, as supplemented by the supplemental indenture, dated as of February 24, 2015, among the Company, the guarantors party thereto and the Trustee, and as further supplemented by the supplemental indenture, dated as of June 23, 2015, among the Company, the guarantors party thereto and the Trustee (together, the “2024 Notes Supplemental Indentures” and, together with the 2024 Notes Base Indenture, the “2024 Notes Indenture”).</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2025 Notes have been issued by the Company in accordance with the terms of the indenture (the “2025 Notes Base Indenture”), dated as of May 20, 2015, among the Company, the guarantors party thereto and the Trustee, as trustee, as supplemented by the supplemental indenture, dated as of June 23, 2015, among the Company, the guarantors party thereto and the Trustee (the “2025 Notes Supplemental Indenture” and, together with the 2025 Notes Base Indenture, the “2025 Notes Indenture”). The 2020/2022 Notes Indenture, the 2024 Notes Indenture and the 2025 Notes Indenture are collectively referred to herein as the “Indentures.”</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connection with the furnishing of this opinion, we have examined originals, or copies certified or otherwise identified to our satisfaction, of the following documents (collectively, the “Documents”):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Registration Statement (including the preliminary prospectus included therein);</w:t>
      </w:r>
    </w:p>
    <w:p>
      <w:pPr>
        <w:sectPr>
          <w:pgSz w:w="11900" w:h="16838" w:orient="portrait"/>
          <w:cols w:equalWidth="0" w:num="1">
            <w:col w:w="11420"/>
          </w:cols>
          <w:pgMar w:left="240" w:top="274" w:right="239" w:bottom="1440" w:gutter="0" w:footer="0" w:header="0"/>
        </w:sectPr>
      </w:pPr>
    </w:p>
    <w:bookmarkStart w:id="447" w:name="page448"/>
    <w:bookmarkEnd w:id="447"/>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Spectrum Brands, Inc.</w:t>
            </w:r>
          </w:p>
        </w:tc>
        <w:tc>
          <w:tcPr>
            <w:tcW w:w="494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80" w:firstLine="464"/>
        <w:spacing w:after="0" w:line="277" w:lineRule="auto"/>
        <w:tabs>
          <w:tab w:leader="none" w:pos="63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2020/2022 Notes Base Indenture (including as exhibits thereto the form of 2020 Note and the form of 2022 Note) and the 2022/2022 Notes Supplemental Indentures;</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2020 Notes;</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2022 Notes;</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2024 Notes Base Indenture (including as an exhibit thereto the form of 2024 Note) and the 2024 Notes Supplemental Indentures;</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2024 Notes;</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2025 Notes Base Indenture (including as an exhibit thereto the form of 2025 Note) and the 2025 Notes Supplemental Indenture; and</w:t>
      </w:r>
    </w:p>
    <w:p>
      <w:pPr>
        <w:spacing w:after="0" w:line="236" w:lineRule="exact"/>
        <w:rPr>
          <w:rFonts w:ascii="Arial" w:cs="Arial" w:eastAsia="Arial" w:hAnsi="Arial"/>
          <w:sz w:val="17"/>
          <w:szCs w:val="17"/>
          <w:color w:val="auto"/>
        </w:rPr>
      </w:pPr>
    </w:p>
    <w:p>
      <w:pPr>
        <w:ind w:left="640" w:hanging="176"/>
        <w:spacing w:after="0"/>
        <w:tabs>
          <w:tab w:leader="none" w:pos="6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2025 Notes.</w:t>
      </w:r>
    </w:p>
    <w:p>
      <w:pPr>
        <w:spacing w:after="0" w:line="225" w:lineRule="exact"/>
        <w:rPr>
          <w:sz w:val="20"/>
          <w:szCs w:val="20"/>
          <w:color w:val="auto"/>
        </w:rPr>
      </w:pPr>
    </w:p>
    <w:p>
      <w:pPr>
        <w:ind w:right="480" w:firstLine="456"/>
        <w:spacing w:after="0" w:line="255" w:lineRule="auto"/>
        <w:rPr>
          <w:sz w:val="20"/>
          <w:szCs w:val="20"/>
          <w:color w:val="auto"/>
        </w:rPr>
      </w:pPr>
      <w:r>
        <w:rPr>
          <w:rFonts w:ascii="Arial" w:cs="Arial" w:eastAsia="Arial" w:hAnsi="Arial"/>
          <w:sz w:val="18"/>
          <w:szCs w:val="18"/>
          <w:color w:val="auto"/>
        </w:rPr>
        <w:t>In addition, we have examined: (i) such corporate records of the Company and each Delaware Corporate Guarantor that we have considered appropriate, including a copy of the certificate of incorporation, as amended, and by-laws, as amended, of the Company and each Delaware Corporate Guarantor, certified by the Company and each such Delaware Corporate Guarantor, respectively, as in effect on the date of this letter, and copies of resolutions of the board of directors of the Company and the Delaware Corporate Guarantors, relating to the issuance of the Notes and the Guarantees, respectively, certified by the Company and each such Delaware Corporate Guarantor, respectively, as in effect on the date of this letter; (ii) such limited liability company</w:t>
      </w:r>
    </w:p>
    <w:p>
      <w:pPr>
        <w:sectPr>
          <w:pgSz w:w="11900" w:h="16838" w:orient="portrait"/>
          <w:cols w:equalWidth="0" w:num="1">
            <w:col w:w="11420"/>
          </w:cols>
          <w:pgMar w:left="240" w:top="274" w:right="239" w:bottom="1440" w:gutter="0" w:footer="0" w:header="0"/>
        </w:sectPr>
      </w:pPr>
    </w:p>
    <w:bookmarkStart w:id="448" w:name="page449"/>
    <w:bookmarkEnd w:id="448"/>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Spectrum Brands, Inc.</w:t>
            </w:r>
          </w:p>
        </w:tc>
        <w:tc>
          <w:tcPr>
            <w:tcW w:w="494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spacing w:after="0" w:line="272" w:lineRule="auto"/>
        <w:rPr>
          <w:sz w:val="20"/>
          <w:szCs w:val="20"/>
          <w:color w:val="auto"/>
        </w:rPr>
      </w:pPr>
      <w:r>
        <w:rPr>
          <w:rFonts w:ascii="Arial" w:cs="Arial" w:eastAsia="Arial" w:hAnsi="Arial"/>
          <w:sz w:val="17"/>
          <w:szCs w:val="17"/>
          <w:color w:val="auto"/>
        </w:rPr>
        <w:t>records of each Delaware LLC Guarantor that we have considered appropriate, including the certificate of formation and operating agreement of each Delaware LLC Guarantor certified by each such Delaware LLC Guarantor, respectively, as in effect on the date of this letter and copies of the resolutions of the direct or indirect manager or sole or managing member of each Delaware LLC Guarantor, relating to the issuance of the Guarantees, certified by each such Delaware LLC Guarantor, respectively, as in effect on the date of this letter; and (iii) such other certificates, agreements and documents as we deemed relevant and necessary as a basis for the opinions expressed below. We have also relied upon oral and written statements of officers and representatives of the Company, the representations and warranties of the Company and the Guarantors made in the Documents as to factual matters and upon certificates of public officials and the officers of the Company and the Guarantors.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such latter documents and that the statements regarding matters of fact in the certificates, records, agreements, instruments and documents that we have examined are accurate and complete. We have also assumed, without independent investigation, that: (i) each Non-Delaware Guarantor is validly existing and in good standing under the laws of its jurisdiction of organization,</w:t>
      </w:r>
    </w:p>
    <w:p>
      <w:pPr>
        <w:sectPr>
          <w:pgSz w:w="11900" w:h="16838" w:orient="portrait"/>
          <w:cols w:equalWidth="0" w:num="1">
            <w:col w:w="11420"/>
          </w:cols>
          <w:pgMar w:left="240" w:top="274" w:right="239" w:bottom="1440" w:gutter="0" w:footer="0" w:header="0"/>
        </w:sectPr>
      </w:pPr>
    </w:p>
    <w:bookmarkStart w:id="449" w:name="page450"/>
    <w:bookmarkEnd w:id="449"/>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Spectrum Brands, Inc.</w:t>
            </w:r>
          </w:p>
        </w:tc>
        <w:tc>
          <w:tcPr>
            <w:tcW w:w="494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firstLine="8"/>
        <w:spacing w:after="0" w:line="297" w:lineRule="auto"/>
        <w:tabs>
          <w:tab w:leader="none" w:pos="26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each Non-Delaware Guarantor has all necessary power and authority to execute, deliver and perform its obligations under the Indentures and the Guarantees, (iii) the execution, delivery and performance by each Non-Delaware Guarantor of the Indentures and the Guarantees has been duly authorized by all necessary corporate action or limited liability company action, as applicable, and do not violate such party’s certificate or articles of incorporation, articles of association, by-laws, operating agreements or other organizational documents or the laws of its jurisdiction of organization and (iv) the due execution and delivery of the Indentures and the Guarantees by each Non-Delaware Guarantor under the laws of its jurisdiction of organization.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225" w:lineRule="exact"/>
        <w:rPr>
          <w:sz w:val="20"/>
          <w:szCs w:val="20"/>
          <w:color w:val="auto"/>
        </w:rPr>
      </w:pPr>
    </w:p>
    <w:p>
      <w:pPr>
        <w:jc w:val="both"/>
        <w:ind w:right="80" w:firstLine="464"/>
        <w:spacing w:after="0" w:line="259" w:lineRule="auto"/>
        <w:tabs>
          <w:tab w:leader="none" w:pos="63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Notes constitute legal, valid and binding obligations of the Company, enforceable against the Company in accordance with their terms, except that the enforceability of the Notes may be subject to bankruptcy, insolvency, reorganization, fraudulent conveyance or transfer, moratorium or similar laws affecting creditors’ rights generally and subject to general principles of equity (regardless of whether enforceability is considered in a proceeding in equity or at law).</w:t>
      </w:r>
    </w:p>
    <w:p>
      <w:pPr>
        <w:spacing w:after="0" w:line="186" w:lineRule="exact"/>
        <w:rPr>
          <w:rFonts w:ascii="Arial" w:cs="Arial" w:eastAsia="Arial" w:hAnsi="Arial"/>
          <w:sz w:val="18"/>
          <w:szCs w:val="18"/>
          <w:color w:val="auto"/>
        </w:rPr>
      </w:pPr>
    </w:p>
    <w:p>
      <w:pPr>
        <w:ind w:right="80" w:firstLine="464"/>
        <w:spacing w:after="0" w:line="259" w:lineRule="auto"/>
        <w:tabs>
          <w:tab w:leader="none" w:pos="63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Guarantees with respect to the Notes constitute legal, valid and binding obligations of each of the Guarantors, enforceable against each of the Guarantors in accordance with their terms, except that enforceability of such Guarantees may be subject to bankruptcy, insolvency, reorganization, fraudulent conveyance or transfer, moratorium or similar laws affecting creditors’ rights generally and subject to general principles of equity (regardless of whether enforcement is considered in a proceeding in equity or at law).</w:t>
      </w:r>
    </w:p>
    <w:p>
      <w:pPr>
        <w:sectPr>
          <w:pgSz w:w="11900" w:h="16838" w:orient="portrait"/>
          <w:cols w:equalWidth="0" w:num="1">
            <w:col w:w="11420"/>
          </w:cols>
          <w:pgMar w:left="240" w:top="274" w:right="239" w:bottom="1440" w:gutter="0" w:footer="0" w:header="0"/>
        </w:sectPr>
      </w:pPr>
    </w:p>
    <w:bookmarkStart w:id="450" w:name="page451"/>
    <w:bookmarkEnd w:id="450"/>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Spectrum Brands, Inc.</w:t>
            </w:r>
          </w:p>
        </w:tc>
        <w:tc>
          <w:tcPr>
            <w:tcW w:w="494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0" w:firstLine="456"/>
        <w:spacing w:after="0" w:line="264" w:lineRule="auto"/>
        <w:rPr>
          <w:sz w:val="20"/>
          <w:szCs w:val="20"/>
          <w:color w:val="auto"/>
        </w:rPr>
      </w:pPr>
      <w:r>
        <w:rPr>
          <w:rFonts w:ascii="Arial" w:cs="Arial" w:eastAsia="Arial" w:hAnsi="Arial"/>
          <w:sz w:val="18"/>
          <w:szCs w:val="18"/>
          <w:color w:val="auto"/>
        </w:rPr>
        <w:t>The opinions expressed above are limited to the laws of the State of New York, the Delaware General Corporation Law and the Delaware Limited Liability Company Act. Our opinions are rendered only with respect to the laws, and the rules, regulations and orders under those laws, that are currently in effect.</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hereby consent to use of this opinion as an exhibit to the Registration Statement and to the use of our name under the heading “Legal Matters” in the prospectus included in the Registration Statement. In giving this consent, we do not hereby admit that we come within the category of persons whose consent is required by the Act or the Rules.</w:t>
      </w:r>
    </w:p>
    <w:p>
      <w:pPr>
        <w:spacing w:after="0" w:line="208"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WEISS, RIFKIND, WHARTON &amp; GARRISON LLP</w:t>
      </w:r>
    </w:p>
    <w:p>
      <w:pPr>
        <w:sectPr>
          <w:pgSz w:w="11900" w:h="16838" w:orient="portrait"/>
          <w:cols w:equalWidth="0" w:num="1">
            <w:col w:w="11420"/>
          </w:cols>
          <w:pgMar w:left="240" w:top="273" w:right="239" w:bottom="1440" w:gutter="0" w:footer="0" w:header="0"/>
        </w:sectPr>
      </w:pPr>
    </w:p>
    <w:bookmarkStart w:id="451" w:name="page452"/>
    <w:bookmarkEnd w:id="451"/>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820" w:type="dxa"/>
            <w:vAlign w:val="bottom"/>
            <w:gridSpan w:val="3"/>
          </w:tcPr>
          <w:p>
            <w:pPr>
              <w:jc w:val="center"/>
              <w:ind w:right="2412"/>
              <w:spacing w:after="0"/>
              <w:rPr>
                <w:sz w:val="20"/>
                <w:szCs w:val="20"/>
                <w:color w:val="auto"/>
              </w:rPr>
            </w:pPr>
            <w:r>
              <w:rPr>
                <w:rFonts w:ascii="Arial" w:cs="Arial" w:eastAsia="Arial" w:hAnsi="Arial"/>
                <w:sz w:val="18"/>
                <w:szCs w:val="18"/>
                <w:b w:val="1"/>
                <w:bCs w:val="1"/>
                <w:color w:val="auto"/>
                <w:w w:val="88"/>
              </w:rPr>
              <w:t>Schedule I</w:t>
            </w:r>
          </w:p>
        </w:tc>
        <w:tc>
          <w:tcPr>
            <w:tcW w:w="0" w:type="dxa"/>
            <w:vAlign w:val="bottom"/>
          </w:tcPr>
          <w:p>
            <w:pPr>
              <w:spacing w:after="0"/>
              <w:rPr>
                <w:sz w:val="1"/>
                <w:szCs w:val="1"/>
                <w:color w:val="auto"/>
              </w:rPr>
            </w:pPr>
          </w:p>
        </w:tc>
      </w:tr>
      <w:tr>
        <w:trPr>
          <w:trHeight w:val="392"/>
        </w:trPr>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20" w:type="dxa"/>
            <w:vAlign w:val="bottom"/>
            <w:gridSpan w:val="3"/>
          </w:tcPr>
          <w:p>
            <w:pPr>
              <w:jc w:val="center"/>
              <w:ind w:right="2432"/>
              <w:spacing w:after="0"/>
              <w:rPr>
                <w:sz w:val="20"/>
                <w:szCs w:val="20"/>
                <w:color w:val="auto"/>
              </w:rPr>
            </w:pPr>
            <w:r>
              <w:rPr>
                <w:rFonts w:ascii="Arial" w:cs="Arial" w:eastAsia="Arial" w:hAnsi="Arial"/>
                <w:sz w:val="18"/>
                <w:szCs w:val="18"/>
                <w:color w:val="auto"/>
                <w:w w:val="89"/>
              </w:rPr>
              <w:t>Delaware Corporate Guarantors</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00" w:type="dxa"/>
            <w:vAlign w:val="bottom"/>
            <w:gridSpan w:val="2"/>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20" w:type="dxa"/>
            <w:vAlign w:val="bottom"/>
            <w:gridSpan w:val="3"/>
          </w:tcPr>
          <w:p>
            <w:pPr>
              <w:jc w:val="center"/>
              <w:ind w:left="1856"/>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620" w:type="dxa"/>
            <w:vAlign w:val="bottom"/>
            <w:gridSpan w:val="2"/>
          </w:tcPr>
          <w:p>
            <w:pPr>
              <w:jc w:val="center"/>
              <w:ind w:right="2260"/>
              <w:spacing w:after="0" w:line="151" w:lineRule="exact"/>
              <w:rPr>
                <w:sz w:val="20"/>
                <w:szCs w:val="20"/>
                <w:color w:val="auto"/>
              </w:rPr>
            </w:pPr>
            <w:r>
              <w:rPr>
                <w:rFonts w:ascii="Arial" w:cs="Arial" w:eastAsia="Arial" w:hAnsi="Arial"/>
                <w:sz w:val="14"/>
                <w:szCs w:val="14"/>
                <w:b w:val="1"/>
                <w:bCs w:val="1"/>
                <w:color w:val="auto"/>
                <w:w w:val="94"/>
              </w:rPr>
              <w:t>Name</w:t>
            </w:r>
          </w:p>
        </w:tc>
        <w:tc>
          <w:tcPr>
            <w:tcW w:w="1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jc w:val="center"/>
              <w:ind w:right="252"/>
              <w:spacing w:after="0" w:line="151" w:lineRule="exact"/>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8"/>
                <w:szCs w:val="18"/>
                <w:color w:val="auto"/>
                <w:w w:val="95"/>
              </w:rPr>
              <w:t>Applica Mexico Holdings,</w:t>
            </w: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vMerge w:val="restart"/>
          </w:tcPr>
          <w:p>
            <w:pPr>
              <w:spacing w:after="0" w:line="20" w:lineRule="exact"/>
              <w:rPr>
                <w:sz w:val="1"/>
                <w:szCs w:val="1"/>
                <w:color w:val="auto"/>
              </w:rPr>
            </w:pPr>
          </w:p>
        </w:tc>
        <w:tc>
          <w:tcPr>
            <w:tcW w:w="194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520" w:type="dxa"/>
            <w:vAlign w:val="bottom"/>
            <w:vMerge w:val="restart"/>
          </w:tcPr>
          <w:p>
            <w:pPr>
              <w:jc w:val="center"/>
              <w:ind w:right="272"/>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line="20" w:lineRule="exact"/>
              <w:rPr>
                <w:sz w:val="1"/>
                <w:szCs w:val="1"/>
                <w:color w:val="auto"/>
              </w:rPr>
            </w:pPr>
          </w:p>
        </w:tc>
      </w:tr>
      <w:tr>
        <w:trPr>
          <w:trHeight w:val="182"/>
        </w:trPr>
        <w:tc>
          <w:tcPr>
            <w:tcW w:w="1940" w:type="dxa"/>
            <w:vAlign w:val="bottom"/>
            <w:vMerge w:val="continue"/>
          </w:tcPr>
          <w:p>
            <w:pPr>
              <w:spacing w:after="0"/>
              <w:rPr>
                <w:sz w:val="15"/>
                <w:szCs w:val="15"/>
                <w:color w:val="auto"/>
              </w:rPr>
            </w:pPr>
          </w:p>
        </w:tc>
        <w:tc>
          <w:tcPr>
            <w:tcW w:w="360" w:type="dxa"/>
            <w:vAlign w:val="bottom"/>
          </w:tcPr>
          <w:p>
            <w:pPr>
              <w:jc w:val="center"/>
              <w:spacing w:after="0" w:line="182" w:lineRule="exact"/>
              <w:rPr>
                <w:sz w:val="20"/>
                <w:szCs w:val="20"/>
                <w:color w:val="auto"/>
              </w:rPr>
            </w:pPr>
            <w:r>
              <w:rPr>
                <w:rFonts w:ascii="Arial" w:cs="Arial" w:eastAsia="Arial" w:hAnsi="Arial"/>
                <w:sz w:val="18"/>
                <w:szCs w:val="18"/>
                <w:color w:val="auto"/>
                <w:w w:val="96"/>
              </w:rPr>
              <w:t>Inc.</w:t>
            </w:r>
          </w:p>
        </w:tc>
        <w:tc>
          <w:tcPr>
            <w:tcW w:w="226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Armored AutoGroup Inc.</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Pr>
          <w:p>
            <w:pPr>
              <w:jc w:val="center"/>
              <w:ind w:right="272"/>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Armored AutoGroup Sales Inc.</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Pr>
          <w:p>
            <w:pPr>
              <w:jc w:val="center"/>
              <w:ind w:right="272"/>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ROV Holding, Inc.</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Pr>
          <w:p>
            <w:pPr>
              <w:jc w:val="center"/>
              <w:ind w:right="272"/>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STP Products Manufacturing Company</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Pr>
          <w:p>
            <w:pPr>
              <w:jc w:val="center"/>
              <w:ind w:right="272"/>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The Armor All/STP Products Company</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Pr>
          <w:p>
            <w:pPr>
              <w:jc w:val="center"/>
              <w:ind w:right="272"/>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United Industries Corporation</w:t>
            </w:r>
          </w:p>
        </w:tc>
        <w:tc>
          <w:tcPr>
            <w:tcW w:w="1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jc w:val="center"/>
              <w:ind w:right="272"/>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52" w:name="page453"/>
    <w:bookmarkEnd w:id="452"/>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20" w:type="dxa"/>
            <w:vAlign w:val="bottom"/>
            <w:gridSpan w:val="3"/>
          </w:tcPr>
          <w:p>
            <w:pPr>
              <w:jc w:val="center"/>
              <w:ind w:right="2613"/>
              <w:spacing w:after="0"/>
              <w:rPr>
                <w:sz w:val="20"/>
                <w:szCs w:val="20"/>
                <w:color w:val="auto"/>
              </w:rPr>
            </w:pPr>
            <w:r>
              <w:rPr>
                <w:rFonts w:ascii="Arial" w:cs="Arial" w:eastAsia="Arial" w:hAnsi="Arial"/>
                <w:sz w:val="18"/>
                <w:szCs w:val="18"/>
                <w:b w:val="1"/>
                <w:bCs w:val="1"/>
                <w:color w:val="auto"/>
                <w:w w:val="92"/>
              </w:rPr>
              <w:t>Schedule II</w:t>
            </w:r>
          </w:p>
        </w:tc>
        <w:tc>
          <w:tcPr>
            <w:tcW w:w="0" w:type="dxa"/>
            <w:vAlign w:val="bottom"/>
          </w:tcPr>
          <w:p>
            <w:pPr>
              <w:spacing w:after="0"/>
              <w:rPr>
                <w:sz w:val="1"/>
                <w:szCs w:val="1"/>
                <w:color w:val="auto"/>
              </w:rPr>
            </w:pPr>
          </w:p>
        </w:tc>
      </w:tr>
      <w:tr>
        <w:trPr>
          <w:trHeight w:val="392"/>
        </w:trPr>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560" w:type="dxa"/>
            <w:vAlign w:val="bottom"/>
            <w:gridSpan w:val="4"/>
          </w:tcPr>
          <w:p>
            <w:pPr>
              <w:jc w:val="center"/>
              <w:ind w:right="1673"/>
              <w:spacing w:after="0"/>
              <w:rPr>
                <w:sz w:val="20"/>
                <w:szCs w:val="20"/>
                <w:color w:val="auto"/>
              </w:rPr>
            </w:pPr>
            <w:r>
              <w:rPr>
                <w:rFonts w:ascii="Arial" w:cs="Arial" w:eastAsia="Arial" w:hAnsi="Arial"/>
                <w:sz w:val="18"/>
                <w:szCs w:val="18"/>
                <w:color w:val="auto"/>
                <w:w w:val="91"/>
              </w:rPr>
              <w:t>Delaware LLC Guarantors</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20" w:type="dxa"/>
            <w:vAlign w:val="bottom"/>
            <w:gridSpan w:val="3"/>
          </w:tcPr>
          <w:p>
            <w:pPr>
              <w:jc w:val="center"/>
              <w:ind w:left="1659"/>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8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Name</w:t>
            </w: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jc w:val="center"/>
              <w:ind w:right="73"/>
              <w:spacing w:after="0" w:line="151" w:lineRule="exact"/>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8"/>
                <w:szCs w:val="18"/>
                <w:color w:val="auto"/>
                <w:w w:val="95"/>
              </w:rPr>
              <w:t>AA Group (U.S.) – A LLC</w:t>
            </w: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700" w:type="dxa"/>
            <w:vAlign w:val="bottom"/>
            <w:vMerge w:val="restart"/>
          </w:tcPr>
          <w:p>
            <w:pPr>
              <w:jc w:val="center"/>
              <w:ind w:right="93"/>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line="20" w:lineRule="exact"/>
              <w:rPr>
                <w:sz w:val="1"/>
                <w:szCs w:val="1"/>
                <w:color w:val="auto"/>
              </w:rPr>
            </w:pPr>
          </w:p>
        </w:tc>
      </w:tr>
      <w:tr>
        <w:trPr>
          <w:trHeight w:val="182"/>
        </w:trPr>
        <w:tc>
          <w:tcPr>
            <w:tcW w:w="1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AA Group (U.S.) – B LLC</w:t>
            </w: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jc w:val="center"/>
              <w:ind w:right="93"/>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National Manufacturing Mexico A LLC</w:t>
            </w: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jc w:val="center"/>
              <w:ind w:right="93"/>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National Manufacturing Mexico B LLC</w:t>
            </w: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jc w:val="center"/>
              <w:ind w:right="93"/>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ROV International Holdings LLC</w:t>
            </w: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jc w:val="center"/>
              <w:ind w:right="93"/>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SB/RH Holdings, LLC</w:t>
            </w: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jc w:val="center"/>
              <w:ind w:right="93"/>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69"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53" w:name="page454"/>
    <w:bookmarkEnd w:id="453"/>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64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93"/>
              </w:rPr>
              <w:t>Schedule III</w:t>
            </w:r>
          </w:p>
        </w:tc>
        <w:tc>
          <w:tcPr>
            <w:tcW w:w="0" w:type="dxa"/>
            <w:vAlign w:val="bottom"/>
          </w:tcPr>
          <w:p>
            <w:pPr>
              <w:spacing w:after="0"/>
              <w:rPr>
                <w:sz w:val="1"/>
                <w:szCs w:val="1"/>
                <w:color w:val="auto"/>
              </w:rPr>
            </w:pPr>
          </w:p>
        </w:tc>
      </w:tr>
      <w:tr>
        <w:trPr>
          <w:trHeight w:val="392"/>
        </w:trPr>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640" w:type="dxa"/>
            <w:vAlign w:val="bottom"/>
            <w:gridSpan w:val="4"/>
          </w:tcPr>
          <w:p>
            <w:pPr>
              <w:jc w:val="center"/>
              <w:ind w:right="2740"/>
              <w:spacing w:after="0"/>
              <w:rPr>
                <w:sz w:val="20"/>
                <w:szCs w:val="20"/>
                <w:color w:val="auto"/>
              </w:rPr>
            </w:pPr>
            <w:r>
              <w:rPr>
                <w:rFonts w:ascii="Arial" w:cs="Arial" w:eastAsia="Arial" w:hAnsi="Arial"/>
                <w:sz w:val="18"/>
                <w:szCs w:val="18"/>
                <w:color w:val="auto"/>
                <w:w w:val="90"/>
              </w:rPr>
              <w:t>Non-Delaware Guarantors</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00" w:type="dxa"/>
            <w:vAlign w:val="bottom"/>
            <w:gridSpan w:val="2"/>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940" w:type="dxa"/>
            <w:vAlign w:val="bottom"/>
          </w:tcPr>
          <w:p>
            <w:pPr>
              <w:spacing w:after="0"/>
              <w:rPr>
                <w:sz w:val="24"/>
                <w:szCs w:val="2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460" w:type="dxa"/>
            <w:vAlign w:val="bottom"/>
          </w:tcPr>
          <w:p>
            <w:pPr>
              <w:spacing w:after="0"/>
              <w:rPr>
                <w:sz w:val="24"/>
                <w:szCs w:val="24"/>
                <w:color w:val="auto"/>
              </w:rPr>
            </w:pPr>
          </w:p>
        </w:tc>
        <w:tc>
          <w:tcPr>
            <w:tcW w:w="4640" w:type="dxa"/>
            <w:vAlign w:val="bottom"/>
            <w:gridSpan w:val="4"/>
          </w:tcPr>
          <w:p>
            <w:pPr>
              <w:jc w:val="center"/>
              <w:ind w:left="1636"/>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0" w:type="dxa"/>
            <w:vAlign w:val="bottom"/>
          </w:tcPr>
          <w:p>
            <w:pPr>
              <w:spacing w:after="0"/>
              <w:rPr>
                <w:sz w:val="1"/>
                <w:szCs w:val="1"/>
                <w:color w:val="auto"/>
              </w:rPr>
            </w:pPr>
          </w:p>
        </w:tc>
      </w:tr>
      <w:tr>
        <w:trPr>
          <w:trHeight w:val="171"/>
        </w:trPr>
        <w:tc>
          <w:tcPr>
            <w:tcW w:w="1940" w:type="dxa"/>
            <w:vAlign w:val="bottom"/>
            <w:vMerge w:val="restart"/>
          </w:tcPr>
          <w:p>
            <w:pPr>
              <w:spacing w:after="0"/>
              <w:rPr>
                <w:sz w:val="20"/>
                <w:szCs w:val="20"/>
                <w:color w:val="auto"/>
              </w:rPr>
            </w:pPr>
            <w:r>
              <w:rPr>
                <w:rFonts w:ascii="Arial" w:cs="Arial" w:eastAsia="Arial" w:hAnsi="Arial"/>
                <w:sz w:val="18"/>
                <w:szCs w:val="18"/>
                <w:color w:val="auto"/>
              </w:rPr>
              <w:t>National Openings, LLC</w:t>
            </w:r>
          </w:p>
        </w:tc>
        <w:tc>
          <w:tcPr>
            <w:tcW w:w="36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195"/>
        </w:trPr>
        <w:tc>
          <w:tcPr>
            <w:tcW w:w="1940" w:type="dxa"/>
            <w:vAlign w:val="bottom"/>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tcPr>
          <w:p>
            <w:pPr>
              <w:jc w:val="center"/>
              <w:ind w:right="74"/>
              <w:spacing w:after="0" w:line="195" w:lineRule="exact"/>
              <w:rPr>
                <w:sz w:val="20"/>
                <w:szCs w:val="20"/>
                <w:color w:val="auto"/>
              </w:rPr>
            </w:pPr>
            <w:r>
              <w:rPr>
                <w:rFonts w:ascii="Arial" w:cs="Arial" w:eastAsia="Arial" w:hAnsi="Arial"/>
                <w:sz w:val="18"/>
                <w:szCs w:val="18"/>
                <w:color w:val="auto"/>
                <w:w w:val="89"/>
              </w:rPr>
              <w:t>Pennsylvania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Salix Animal Health, LLC</w:t>
            </w: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Schultz Company</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Missouri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5.2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15,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Spectrum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3001 Deming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Middleton, Wisconsin 53562</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National Openings,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Spectrum Brands,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3001 Deming 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Middleton, Wisconsin 53562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special Pennsylvania counsel to National Openings, LLC, a Pennsylvania limited liability company (the “</w:t>
      </w:r>
      <w:r>
        <w:rPr>
          <w:rFonts w:ascii="Arial" w:cs="Arial" w:eastAsia="Arial" w:hAnsi="Arial"/>
          <w:sz w:val="16"/>
          <w:szCs w:val="16"/>
          <w:u w:val="single" w:color="auto"/>
          <w:color w:val="auto"/>
        </w:rPr>
        <w:t>Pennsylvania Guarantor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is a subsidiary of Spectrum Brands, Inc., a Delaware corporation (“</w:t>
      </w:r>
      <w:r>
        <w:rPr>
          <w:rFonts w:ascii="Arial" w:cs="Arial" w:eastAsia="Arial" w:hAnsi="Arial"/>
          <w:sz w:val="17"/>
          <w:szCs w:val="17"/>
          <w:u w:val="single" w:color="auto"/>
          <w:color w:val="auto"/>
        </w:rPr>
        <w:t>Spectrum”</w:t>
      </w:r>
      <w:r>
        <w:rPr>
          <w:rFonts w:ascii="Arial" w:cs="Arial" w:eastAsia="Arial" w:hAnsi="Arial"/>
          <w:sz w:val="17"/>
          <w:szCs w:val="17"/>
          <w:color w:val="auto"/>
        </w:rPr>
        <w:t>), in connection with the Registration Statement on Form S-1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Spectrum, SB/RH Holdings, LLC, and the subsidiaries of Spectrum listed in the Registration Statement, including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Pennsylvania Guarantor,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Act</w:t>
      </w:r>
      <w:r>
        <w:rPr>
          <w:rFonts w:ascii="Arial" w:cs="Arial" w:eastAsia="Arial" w:hAnsi="Arial"/>
          <w:sz w:val="16"/>
          <w:szCs w:val="16"/>
          <w:color w:val="auto"/>
        </w:rPr>
        <w:t>”). The Registration Statement relates to the offer and sale of an indeterminate amount of certain Notes (as defined hereinbelow), and guarantees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by SB/RH Holdings, LLC, the Pennsylvania Guarantor, and certain other subsidiaries of Spectrum listed in the Registration Statement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in connection with market-making transactions in the Notes by and through affiliates of the Company.</w:t>
      </w:r>
    </w:p>
    <w:p>
      <w:pPr>
        <w:spacing w:after="0" w:line="21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Spectrum’s 6.375% Senior Notes due 2020 (the “</w:t>
      </w:r>
      <w:r>
        <w:rPr>
          <w:rFonts w:ascii="Arial" w:cs="Arial" w:eastAsia="Arial" w:hAnsi="Arial"/>
          <w:sz w:val="17"/>
          <w:szCs w:val="17"/>
          <w:u w:val="single" w:color="auto"/>
          <w:color w:val="auto"/>
        </w:rPr>
        <w:t>2020 Notes</w:t>
      </w:r>
      <w:r>
        <w:rPr>
          <w:rFonts w:ascii="Arial" w:cs="Arial" w:eastAsia="Arial" w:hAnsi="Arial"/>
          <w:sz w:val="17"/>
          <w:szCs w:val="17"/>
          <w:color w:val="auto"/>
        </w:rPr>
        <w:t>”) and its 6.625% Senior Notes due 2022 (the “</w:t>
      </w:r>
      <w:r>
        <w:rPr>
          <w:rFonts w:ascii="Arial" w:cs="Arial" w:eastAsia="Arial" w:hAnsi="Arial"/>
          <w:sz w:val="17"/>
          <w:szCs w:val="17"/>
          <w:u w:val="single" w:color="auto"/>
          <w:color w:val="auto"/>
        </w:rPr>
        <w:t>2022 Notes</w:t>
      </w:r>
      <w:r>
        <w:rPr>
          <w:rFonts w:ascii="Arial" w:cs="Arial" w:eastAsia="Arial" w:hAnsi="Arial"/>
          <w:sz w:val="17"/>
          <w:szCs w:val="17"/>
          <w:color w:val="auto"/>
        </w:rPr>
        <w:t>”) were issued under that certain indenture dated as of November 16, 2012, among Spectrum Brands Escrow Corp. and U.S. Bank National Association, as trustee (the “</w:t>
      </w:r>
      <w:r>
        <w:rPr>
          <w:rFonts w:ascii="Arial" w:cs="Arial" w:eastAsia="Arial" w:hAnsi="Arial"/>
          <w:sz w:val="17"/>
          <w:szCs w:val="17"/>
          <w:u w:val="single" w:color="auto"/>
          <w:color w:val="auto"/>
        </w:rPr>
        <w:t>Original 2020/2022</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 Indenture</w:t>
      </w:r>
      <w:r>
        <w:rPr>
          <w:rFonts w:ascii="Arial" w:cs="Arial" w:eastAsia="Arial" w:hAnsi="Arial"/>
          <w:sz w:val="17"/>
          <w:szCs w:val="17"/>
          <w:color w:val="auto"/>
        </w:rPr>
        <w:t>”), since supplemented by that certain supplemental indenture, dated as of December 17, 2012, and that certain supplemental indenture, dated as of March 5, 2014, and that certain supplemental indenture, dated as of October 16, 2014, and that certain supplemental indenture, dated as of February 24, 2015, and that certain supplemental indenture, dated as of June 23, 2015 (altogether, the “</w:t>
      </w:r>
      <w:r>
        <w:rPr>
          <w:rFonts w:ascii="Arial" w:cs="Arial" w:eastAsia="Arial" w:hAnsi="Arial"/>
          <w:sz w:val="17"/>
          <w:szCs w:val="17"/>
          <w:u w:val="single" w:color="auto"/>
          <w:color w:val="auto"/>
        </w:rPr>
        <w:t>2020/2022 Notes Supplemental Indentures</w:t>
      </w:r>
      <w:r>
        <w:rPr>
          <w:rFonts w:ascii="Arial" w:cs="Arial" w:eastAsia="Arial" w:hAnsi="Arial"/>
          <w:sz w:val="17"/>
          <w:szCs w:val="17"/>
          <w:color w:val="auto"/>
        </w:rPr>
        <w:t>” and, together with the Original 2020/2022 Notes Indenture, the “</w:t>
      </w:r>
      <w:r>
        <w:rPr>
          <w:rFonts w:ascii="Arial" w:cs="Arial" w:eastAsia="Arial" w:hAnsi="Arial"/>
          <w:sz w:val="17"/>
          <w:szCs w:val="17"/>
          <w:u w:val="single" w:color="auto"/>
          <w:color w:val="auto"/>
        </w:rPr>
        <w:t>2020/2022 Notes Indenture</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Spectrum Brands, Inc.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Openings,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Spectrum’s 6.125% Senior Notes due 2024 (the “</w:t>
      </w:r>
      <w:r>
        <w:rPr>
          <w:rFonts w:ascii="Arial" w:cs="Arial" w:eastAsia="Arial" w:hAnsi="Arial"/>
          <w:sz w:val="17"/>
          <w:szCs w:val="17"/>
          <w:u w:val="single" w:color="auto"/>
          <w:color w:val="auto"/>
        </w:rPr>
        <w:t>2024 Notes</w:t>
      </w:r>
      <w:r>
        <w:rPr>
          <w:rFonts w:ascii="Arial" w:cs="Arial" w:eastAsia="Arial" w:hAnsi="Arial"/>
          <w:sz w:val="17"/>
          <w:szCs w:val="17"/>
          <w:color w:val="auto"/>
        </w:rPr>
        <w:t>”) were issued under that certain indenture dated as of December 4, 2014, among Spectrum, certain of the Guarantors, and U.S. Bank National Association, as trustee (the “</w:t>
      </w:r>
      <w:r>
        <w:rPr>
          <w:rFonts w:ascii="Arial" w:cs="Arial" w:eastAsia="Arial" w:hAnsi="Arial"/>
          <w:sz w:val="17"/>
          <w:szCs w:val="17"/>
          <w:u w:val="single" w:color="auto"/>
          <w:color w:val="auto"/>
        </w:rPr>
        <w:t>Original 2024 Notes Indenture</w:t>
      </w:r>
      <w:r>
        <w:rPr>
          <w:rFonts w:ascii="Arial" w:cs="Arial" w:eastAsia="Arial" w:hAnsi="Arial"/>
          <w:sz w:val="17"/>
          <w:szCs w:val="17"/>
          <w:color w:val="auto"/>
        </w:rPr>
        <w:t>”), since supplemented by that certain supplemental indenture dated as of February 24, 2015, and that certain supplemental indenture dated as of June 23, 2015 (altogether, the “</w:t>
      </w:r>
      <w:r>
        <w:rPr>
          <w:rFonts w:ascii="Arial" w:cs="Arial" w:eastAsia="Arial" w:hAnsi="Arial"/>
          <w:sz w:val="17"/>
          <w:szCs w:val="17"/>
          <w:u w:val="single" w:color="auto"/>
          <w:color w:val="auto"/>
        </w:rPr>
        <w:t>2024 Notes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Supplemental Indentures</w:t>
      </w:r>
      <w:r>
        <w:rPr>
          <w:rFonts w:ascii="Arial" w:cs="Arial" w:eastAsia="Arial" w:hAnsi="Arial"/>
          <w:sz w:val="17"/>
          <w:szCs w:val="17"/>
          <w:color w:val="auto"/>
        </w:rPr>
        <w:t>,” and together with the Original 2024 Notes Indenture, the “</w:t>
      </w:r>
      <w:r>
        <w:rPr>
          <w:rFonts w:ascii="Arial" w:cs="Arial" w:eastAsia="Arial" w:hAnsi="Arial"/>
          <w:sz w:val="17"/>
          <w:szCs w:val="17"/>
          <w:u w:val="single" w:color="auto"/>
          <w:color w:val="auto"/>
        </w:rPr>
        <w:t>2024 Notes Indenture</w:t>
      </w:r>
      <w:r>
        <w:rPr>
          <w:rFonts w:ascii="Arial" w:cs="Arial" w:eastAsia="Arial" w:hAnsi="Arial"/>
          <w:sz w:val="17"/>
          <w:szCs w:val="17"/>
          <w:color w:val="auto"/>
        </w:rPr>
        <w:t>”).</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Spectrum’s 5.750% Senior Notes due 2025 (the “</w:t>
      </w:r>
      <w:r>
        <w:rPr>
          <w:rFonts w:ascii="Arial" w:cs="Arial" w:eastAsia="Arial" w:hAnsi="Arial"/>
          <w:sz w:val="18"/>
          <w:szCs w:val="18"/>
          <w:u w:val="single" w:color="auto"/>
          <w:color w:val="auto"/>
        </w:rPr>
        <w:t>2025 Notes</w:t>
      </w:r>
      <w:r>
        <w:rPr>
          <w:rFonts w:ascii="Arial" w:cs="Arial" w:eastAsia="Arial" w:hAnsi="Arial"/>
          <w:sz w:val="18"/>
          <w:szCs w:val="18"/>
          <w:color w:val="auto"/>
        </w:rPr>
        <w:t>” and, together with the 2020 Notes, the 2022 Notes and the 2024 Notes, the “</w:t>
      </w:r>
      <w:r>
        <w:rPr>
          <w:rFonts w:ascii="Arial" w:cs="Arial" w:eastAsia="Arial" w:hAnsi="Arial"/>
          <w:sz w:val="18"/>
          <w:szCs w:val="18"/>
          <w:u w:val="single" w:color="auto"/>
          <w:color w:val="auto"/>
        </w:rPr>
        <w:t>Notes</w:t>
      </w:r>
      <w:r>
        <w:rPr>
          <w:rFonts w:ascii="Arial" w:cs="Arial" w:eastAsia="Arial" w:hAnsi="Arial"/>
          <w:sz w:val="18"/>
          <w:szCs w:val="18"/>
          <w:color w:val="auto"/>
        </w:rPr>
        <w:t>”) were issued under that certain indenture dated as of May 20, 2015, among Spectrum, certain of the Guarantors, and U.S. Bank National Association, as trustee (the “</w:t>
      </w:r>
      <w:r>
        <w:rPr>
          <w:rFonts w:ascii="Arial" w:cs="Arial" w:eastAsia="Arial" w:hAnsi="Arial"/>
          <w:sz w:val="18"/>
          <w:szCs w:val="18"/>
          <w:u w:val="single" w:color="auto"/>
          <w:color w:val="auto"/>
        </w:rPr>
        <w:t>Original 2025 Notes Indenture</w:t>
      </w:r>
      <w:r>
        <w:rPr>
          <w:rFonts w:ascii="Arial" w:cs="Arial" w:eastAsia="Arial" w:hAnsi="Arial"/>
          <w:sz w:val="18"/>
          <w:szCs w:val="18"/>
          <w:color w:val="auto"/>
        </w:rPr>
        <w:t>”), since supplemented by that certain supplemental indenture dated as June 23, 2015 (the “</w:t>
      </w:r>
      <w:r>
        <w:rPr>
          <w:rFonts w:ascii="Arial" w:cs="Arial" w:eastAsia="Arial" w:hAnsi="Arial"/>
          <w:sz w:val="18"/>
          <w:szCs w:val="18"/>
          <w:u w:val="single" w:color="auto"/>
          <w:color w:val="auto"/>
        </w:rPr>
        <w:t>2025 Notes Supplemental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Indenture</w:t>
      </w:r>
      <w:r>
        <w:rPr>
          <w:rFonts w:ascii="Arial" w:cs="Arial" w:eastAsia="Arial" w:hAnsi="Arial"/>
          <w:sz w:val="18"/>
          <w:szCs w:val="18"/>
          <w:color w:val="auto"/>
        </w:rPr>
        <w:t>,” and together with the “</w:t>
      </w:r>
      <w:r>
        <w:rPr>
          <w:rFonts w:ascii="Arial" w:cs="Arial" w:eastAsia="Arial" w:hAnsi="Arial"/>
          <w:sz w:val="18"/>
          <w:szCs w:val="18"/>
          <w:u w:val="single" w:color="auto"/>
          <w:color w:val="auto"/>
        </w:rPr>
        <w:t>Original 2025 Notes Indenture</w:t>
      </w:r>
      <w:r>
        <w:rPr>
          <w:rFonts w:ascii="Arial" w:cs="Arial" w:eastAsia="Arial" w:hAnsi="Arial"/>
          <w:sz w:val="18"/>
          <w:szCs w:val="18"/>
          <w:color w:val="auto"/>
        </w:rPr>
        <w:t>,” the “</w:t>
      </w:r>
      <w:r>
        <w:rPr>
          <w:rFonts w:ascii="Arial" w:cs="Arial" w:eastAsia="Arial" w:hAnsi="Arial"/>
          <w:sz w:val="18"/>
          <w:szCs w:val="18"/>
          <w:u w:val="single" w:color="auto"/>
          <w:color w:val="auto"/>
        </w:rPr>
        <w:t>2025 Notes Indenture</w:t>
      </w:r>
      <w:r>
        <w:rPr>
          <w:rFonts w:ascii="Arial" w:cs="Arial" w:eastAsia="Arial" w:hAnsi="Arial"/>
          <w:sz w:val="18"/>
          <w:szCs w:val="18"/>
          <w:color w:val="auto"/>
        </w:rPr>
        <w:t>,” and together with the 2020/2022 Notes Indenture and the 2024 Notes Indenture, the “</w:t>
      </w:r>
      <w:r>
        <w:rPr>
          <w:rFonts w:ascii="Arial" w:cs="Arial" w:eastAsia="Arial" w:hAnsi="Arial"/>
          <w:sz w:val="18"/>
          <w:szCs w:val="18"/>
          <w:u w:val="single" w:color="auto"/>
          <w:color w:val="auto"/>
        </w:rPr>
        <w:t>Indentures</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capitalized terms used and not otherwise defined herein shall have the meanings assigned to such terms in the respective Indentures. We have assumed, with your permission, that (i) the Indentures have not been further amended, modified, or supplemented and (ii) the Notes have been issued pursuant to the Indentures and otherwise in compliance with the provisions of the Indentures.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In connection with this opinion, we have examined copies, identified to our satisfaction, of fully executed counterparts of the documents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Documents</w:t>
      </w:r>
      <w:r>
        <w:rPr>
          <w:rFonts w:ascii="Arial" w:cs="Arial" w:eastAsia="Arial" w:hAnsi="Arial"/>
          <w:sz w:val="17"/>
          <w:szCs w:val="17"/>
          <w:color w:val="auto"/>
        </w:rPr>
        <w:t>”). We have also examined (i) the certificate of organization of the Pennsylvania Guarantor as certified by the Secretary of the Department of State for the Commonwealth of Pennsylvania (the “</w:t>
      </w:r>
      <w:r>
        <w:rPr>
          <w:rFonts w:ascii="Arial" w:cs="Arial" w:eastAsia="Arial" w:hAnsi="Arial"/>
          <w:sz w:val="17"/>
          <w:szCs w:val="17"/>
          <w:u w:val="single" w:color="auto"/>
          <w:color w:val="auto"/>
        </w:rPr>
        <w:t>Secretary of State</w:t>
      </w:r>
      <w:r>
        <w:rPr>
          <w:rFonts w:ascii="Arial" w:cs="Arial" w:eastAsia="Arial" w:hAnsi="Arial"/>
          <w:sz w:val="17"/>
          <w:szCs w:val="17"/>
          <w:color w:val="auto"/>
        </w:rPr>
        <w:t>”) on January 11, 2016 (the “</w:t>
      </w:r>
      <w:r>
        <w:rPr>
          <w:rFonts w:ascii="Arial" w:cs="Arial" w:eastAsia="Arial" w:hAnsi="Arial"/>
          <w:sz w:val="17"/>
          <w:szCs w:val="17"/>
          <w:u w:val="single" w:color="auto"/>
          <w:color w:val="auto"/>
        </w:rPr>
        <w:t>Pennsylvania Guarantor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(ii) the operating agreement of the Pennsylvania Guarantor as certified by the Secretary of the Pennsylvania Guarantor as of the date hereof (the “</w:t>
      </w:r>
      <w:r>
        <w:rPr>
          <w:rFonts w:ascii="Arial" w:cs="Arial" w:eastAsia="Arial" w:hAnsi="Arial"/>
          <w:sz w:val="17"/>
          <w:szCs w:val="17"/>
          <w:u w:val="single" w:color="auto"/>
          <w:color w:val="auto"/>
        </w:rPr>
        <w:t>Pennsylvania Guarantor Operating Agreement</w:t>
      </w:r>
      <w:r>
        <w:rPr>
          <w:rFonts w:ascii="Arial" w:cs="Arial" w:eastAsia="Arial" w:hAnsi="Arial"/>
          <w:sz w:val="17"/>
          <w:szCs w:val="17"/>
          <w:color w:val="auto"/>
        </w:rPr>
        <w:t>,” and together with the Pennsylvania Guarantor Certificate, the “</w:t>
      </w:r>
      <w:r>
        <w:rPr>
          <w:rFonts w:ascii="Arial" w:cs="Arial" w:eastAsia="Arial" w:hAnsi="Arial"/>
          <w:sz w:val="17"/>
          <w:szCs w:val="17"/>
          <w:u w:val="single" w:color="auto"/>
          <w:color w:val="auto"/>
        </w:rPr>
        <w:t>Pennsylvania Guarantor Organizational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(iii) the limited liability company resolutions of the Pennsylvania Guarantor dated as of (a) October 16, 2014, (b) December 1, 2014, (c) May 14, 2015 (as ratified by resolutions of the sole member of the Pennsylvania Guarantor on September 21, 2015), and (d) the date hereof; (iv) a certificate of subsistence (good standing) of the Pennsylvania Guarantor certified by the Secretary of State on December 18, 2015 (the “</w:t>
      </w:r>
      <w:r>
        <w:rPr>
          <w:rFonts w:ascii="Arial" w:cs="Arial" w:eastAsia="Arial" w:hAnsi="Arial"/>
          <w:sz w:val="17"/>
          <w:szCs w:val="17"/>
          <w:u w:val="single" w:color="auto"/>
          <w:color w:val="auto"/>
        </w:rPr>
        <w:t>Certificate of Good Standing</w:t>
      </w:r>
      <w:r>
        <w:rPr>
          <w:rFonts w:ascii="Arial" w:cs="Arial" w:eastAsia="Arial" w:hAnsi="Arial"/>
          <w:sz w:val="17"/>
          <w:szCs w:val="17"/>
          <w:color w:val="auto"/>
        </w:rPr>
        <w:t>”) (re-confirmed by the Secretary of State as of the date hereof); (v) that certain Omnibus Secretary’s Certificate of Spectrum and the Guarantors delivered in connection with the transactions contemplated by the Registration Statement, dated as of the date hereof (the “</w:t>
      </w:r>
      <w:r>
        <w:rPr>
          <w:rFonts w:ascii="Arial" w:cs="Arial" w:eastAsia="Arial" w:hAnsi="Arial"/>
          <w:sz w:val="17"/>
          <w:szCs w:val="17"/>
          <w:u w:val="single" w:color="auto"/>
          <w:color w:val="auto"/>
        </w:rPr>
        <w:t>Omnibus Certificate</w:t>
      </w:r>
      <w:r>
        <w:rPr>
          <w:rFonts w:ascii="Arial" w:cs="Arial" w:eastAsia="Arial" w:hAnsi="Arial"/>
          <w:sz w:val="17"/>
          <w:szCs w:val="17"/>
          <w:color w:val="auto"/>
        </w:rPr>
        <w:t>”); and (vi) the Registration Statement.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the opinions expressed below, we have assumed, with your permission and without independent investigation:</w:t>
      </w:r>
    </w:p>
    <w:p>
      <w:pPr>
        <w:spacing w:after="0" w:line="117" w:lineRule="exact"/>
        <w:rPr>
          <w:sz w:val="20"/>
          <w:szCs w:val="20"/>
          <w:color w:val="auto"/>
        </w:rPr>
      </w:pPr>
    </w:p>
    <w:p>
      <w:pPr>
        <w:ind w:left="460" w:right="580" w:firstLine="438"/>
        <w:spacing w:after="0" w:line="277" w:lineRule="auto"/>
        <w:rPr>
          <w:sz w:val="20"/>
          <w:szCs w:val="20"/>
          <w:color w:val="auto"/>
        </w:rPr>
      </w:pPr>
      <w:r>
        <w:rPr>
          <w:rFonts w:ascii="Arial" w:cs="Arial" w:eastAsia="Arial" w:hAnsi="Arial"/>
          <w:sz w:val="18"/>
          <w:szCs w:val="18"/>
          <w:color w:val="auto"/>
        </w:rPr>
        <w:t>a. the valid existence and good standing in the jurisdiction of its organization of each party to the Documents (other than the Pennsylvania Guarantor);</w:t>
      </w:r>
    </w:p>
    <w:p>
      <w:pPr>
        <w:sectPr>
          <w:pgSz w:w="11900" w:h="16838" w:orient="portrait"/>
          <w:cols w:equalWidth="0" w:num="1">
            <w:col w:w="11420"/>
          </w:cols>
          <w:pgMar w:left="240" w:top="273" w:right="23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Spectrum Brands, Inc.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Openings,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the due authorization, execution and delivery of the Documents by each party thereto (other than the Pennsylvania Guarantor);</w:t>
      </w:r>
    </w:p>
    <w:p>
      <w:pPr>
        <w:spacing w:after="0" w:line="117" w:lineRule="exact"/>
        <w:rPr>
          <w:sz w:val="20"/>
          <w:szCs w:val="20"/>
          <w:color w:val="auto"/>
        </w:rPr>
      </w:pPr>
    </w:p>
    <w:p>
      <w:pPr>
        <w:ind w:left="460" w:right="20" w:firstLine="438"/>
        <w:spacing w:after="0" w:line="264" w:lineRule="auto"/>
        <w:rPr>
          <w:sz w:val="20"/>
          <w:szCs w:val="20"/>
          <w:color w:val="auto"/>
        </w:rPr>
      </w:pPr>
      <w:r>
        <w:rPr>
          <w:rFonts w:ascii="Arial" w:cs="Arial" w:eastAsia="Arial" w:hAnsi="Arial"/>
          <w:sz w:val="18"/>
          <w:szCs w:val="18"/>
          <w:color w:val="auto"/>
        </w:rPr>
        <w:t>c. the power and authority of each party to the Documents (other than the Pennsylvania Guarantor) to execute, deliver and perform its obligations under the same, and that such execution, delivery and performance do not conflict with, contravene, violate or constitute a default under such party’s certificate or articles of incorporation, bylaws or other organizational documents;</w:t>
      </w:r>
    </w:p>
    <w:p>
      <w:pPr>
        <w:spacing w:after="0" w:line="73"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d. the execution, delivery and performance of its respective obligations under each Document to which it is a party by each party to the Documents do not conflict with, contravene, violate or constitute a default under (i) any indenture, instrument or other agreement to which such party or its property or assets is subject or any contractual or legal restriction having applicability to such party or such property or assets, (ii) any rule, law or regulation of any court or regulatory or governmental authority to which such party (other than the Pennsylvania Guarantor) is subject or (iii) any writ, order, judgment or decree of any court or regulatory or governmental authority to which such party is subject or by which any of its properties or assets are bound;</w:t>
      </w:r>
    </w:p>
    <w:p>
      <w:pPr>
        <w:spacing w:after="0" w:line="85" w:lineRule="exact"/>
        <w:rPr>
          <w:sz w:val="20"/>
          <w:szCs w:val="20"/>
          <w:color w:val="auto"/>
        </w:rPr>
      </w:pPr>
    </w:p>
    <w:p>
      <w:pPr>
        <w:ind w:left="900" w:right="1200"/>
        <w:spacing w:after="0" w:line="397" w:lineRule="auto"/>
        <w:rPr>
          <w:sz w:val="20"/>
          <w:szCs w:val="20"/>
          <w:color w:val="auto"/>
        </w:rPr>
      </w:pPr>
      <w:r>
        <w:rPr>
          <w:rFonts w:ascii="Arial" w:cs="Arial" w:eastAsia="Arial" w:hAnsi="Arial"/>
          <w:sz w:val="17"/>
          <w:szCs w:val="17"/>
          <w:color w:val="auto"/>
        </w:rPr>
        <w:t>e. the authority of all individuals signing the Documents on behalf of the parties thereto (other than the Pennsylvania Guarantor); f. the legal capacity of all natural persons, including natural persons acting on behalf of a business entity; and</w:t>
      </w:r>
    </w:p>
    <w:p>
      <w:pPr>
        <w:spacing w:after="0" w:line="2" w:lineRule="exact"/>
        <w:rPr>
          <w:sz w:val="20"/>
          <w:szCs w:val="20"/>
          <w:color w:val="auto"/>
        </w:rPr>
      </w:pPr>
    </w:p>
    <w:p>
      <w:pPr>
        <w:ind w:left="460" w:right="140" w:firstLine="438"/>
        <w:spacing w:after="0" w:line="277" w:lineRule="auto"/>
        <w:rPr>
          <w:sz w:val="20"/>
          <w:szCs w:val="20"/>
          <w:color w:val="auto"/>
        </w:rPr>
      </w:pPr>
      <w:r>
        <w:rPr>
          <w:rFonts w:ascii="Arial" w:cs="Arial" w:eastAsia="Arial" w:hAnsi="Arial"/>
          <w:sz w:val="18"/>
          <w:szCs w:val="18"/>
          <w:color w:val="auto"/>
        </w:rPr>
        <w:t>g. that there are no records, agreements or understandings between any of the parties to the Documents that would alter the agreements set forth therein.</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relied on the Omnibus Certificate and have assumed (i) that the sole member of the Pennsylvania Guarantor executing the resolutions referred to therein was duly appointed and/or elected in accordance with applicable laws and the Pennsylvania Guarantor Organizational Documents and (ii) that the officers of the Pennsylvania Guarantor whose incumbency is certified in the Omnibus Certificate have been duly elected or appointed in accordance with applicable laws and the Pennsylvania Guarantor Organizational Documents.</w:t>
      </w:r>
    </w:p>
    <w:p>
      <w:pPr>
        <w:spacing w:after="0" w:line="18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We have also assumed the genuineness of all signatures, the authenticity of all writings, certificates, instruments and records submitted to us as originals, the conformity to originals of all such writings, certificates, instruments and records submitted to us as certified, conformed or photostatic copies, the authenticity of the originals of such copies, and the truthfulness of all statements of fact set forth therein.</w:t>
      </w:r>
    </w:p>
    <w:p>
      <w:pPr>
        <w:sectPr>
          <w:pgSz w:w="11900" w:h="16838" w:orient="portrait"/>
          <w:cols w:equalWidth="0" w:num="1">
            <w:col w:w="11400"/>
          </w:cols>
          <w:pgMar w:left="240" w:top="274" w:right="259" w:bottom="1440" w:gutter="0" w:footer="0" w:header="0"/>
        </w:sectPr>
      </w:pPr>
    </w:p>
    <w:bookmarkStart w:id="457" w:name="page458"/>
    <w:bookmarkEnd w:id="4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Spectrum Brands, Inc.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Openings,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foregoing and in reliance thereon, and subject to the limitations, qualifications, and exceptions set forth below, we are of the opinion that:</w:t>
      </w:r>
    </w:p>
    <w:p>
      <w:pPr>
        <w:spacing w:after="0" w:line="248" w:lineRule="exact"/>
        <w:rPr>
          <w:sz w:val="20"/>
          <w:szCs w:val="20"/>
          <w:color w:val="auto"/>
        </w:rPr>
      </w:pPr>
    </w:p>
    <w:p>
      <w:pPr>
        <w:ind w:right="60" w:firstLine="464"/>
        <w:spacing w:after="0" w:line="277" w:lineRule="auto"/>
        <w:tabs>
          <w:tab w:leader="none" w:pos="63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Pennsylvania Guarantor is a limited liability company validly existing and in good standing under Pennsylvania law and has all requisite power and authority to execute, deliver, and perform all of its obligations under the Documents to which it is a party.</w:t>
      </w:r>
    </w:p>
    <w:p>
      <w:pPr>
        <w:spacing w:after="0" w:line="170"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execution and delivery by the Pennsylvania Guarantor of the Documents to which it is a party and the performance of its obligations thereunder have been duly authorized by all necessary limited liability company action.</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The Documents to which the Pennsylvania Guarantor is a party have been duly executed and delivered by the Pennsylvania Guarantor.</w:t>
      </w:r>
    </w:p>
    <w:p>
      <w:pPr>
        <w:spacing w:after="0" w:line="236" w:lineRule="exact"/>
        <w:rPr>
          <w:rFonts w:ascii="Arial" w:cs="Arial" w:eastAsia="Arial" w:hAnsi="Arial"/>
          <w:sz w:val="17"/>
          <w:szCs w:val="17"/>
          <w:color w:val="auto"/>
        </w:rPr>
      </w:pPr>
    </w:p>
    <w:p>
      <w:pPr>
        <w:ind w:right="40" w:firstLine="464"/>
        <w:spacing w:after="0" w:line="264" w:lineRule="auto"/>
        <w:tabs>
          <w:tab w:leader="none" w:pos="63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execution and delivery by the Pennsylvania Guarantor of the Documents to which it is a party and the performance of its obligations thereunder will not violate any provision of statutory law or regulation of the Commonwealth of Pennsylvania applicable to the Pennsylvania Guarantor or violate any provision of the Pennsylvania Guarantor Organizational Documents.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set forth above are subject to the following limitations, qualifications, and exceptions:</w:t>
      </w:r>
    </w:p>
    <w:p>
      <w:pPr>
        <w:spacing w:after="0" w:line="117" w:lineRule="exact"/>
        <w:rPr>
          <w:sz w:val="20"/>
          <w:szCs w:val="20"/>
          <w:color w:val="auto"/>
        </w:rPr>
      </w:pPr>
    </w:p>
    <w:p>
      <w:pPr>
        <w:ind w:left="460" w:firstLine="443"/>
        <w:spacing w:after="0" w:line="276" w:lineRule="auto"/>
        <w:tabs>
          <w:tab w:leader="none" w:pos="1193" w:val="left"/>
        </w:tabs>
        <w:numPr>
          <w:ilvl w:val="0"/>
          <w:numId w:val="393"/>
        </w:numPr>
        <w:rPr>
          <w:rFonts w:ascii="Arial" w:cs="Arial" w:eastAsia="Arial" w:hAnsi="Arial"/>
          <w:sz w:val="17"/>
          <w:szCs w:val="17"/>
          <w:color w:val="auto"/>
        </w:rPr>
      </w:pPr>
      <w:r>
        <w:rPr>
          <w:rFonts w:ascii="Arial" w:cs="Arial" w:eastAsia="Arial" w:hAnsi="Arial"/>
          <w:sz w:val="17"/>
          <w:szCs w:val="17"/>
          <w:color w:val="auto"/>
        </w:rPr>
        <w:t>In this opinion, any reference to Pennsylvania law means the Limited Liability Company Law of 1994, as amended, and those laws, statutes, rules and regulations of the Commonwealth of Pennsylvania which, in our experience, are normally applicable to transactions of the type contemplated by the Documents and would normally be applicable to domestic limited liability companies transacting business in Pennsylvania that are not engaged in regulated business activities (other than state blue sky laws, securities laws, and antifraud laws), but without having made any special investigation concerning the applicability of any other law, statute, rule or regulation.</w:t>
      </w:r>
    </w:p>
    <w:p>
      <w:pPr>
        <w:spacing w:after="0" w:line="64" w:lineRule="exact"/>
        <w:rPr>
          <w:rFonts w:ascii="Arial" w:cs="Arial" w:eastAsia="Arial" w:hAnsi="Arial"/>
          <w:sz w:val="17"/>
          <w:szCs w:val="17"/>
          <w:color w:val="auto"/>
        </w:rPr>
      </w:pPr>
    </w:p>
    <w:p>
      <w:pPr>
        <w:ind w:left="460" w:firstLine="443"/>
        <w:spacing w:after="0" w:line="277" w:lineRule="auto"/>
        <w:tabs>
          <w:tab w:leader="none" w:pos="118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foregoing opinions are strictly limited to the matters stated herein, and no other or more extensive opinion is intended or implied or to be inferred beyond the matters expressly stated herein.</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8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Our opinions in paragraph 1 above regarding valid existence and good standing are based solely on our review of the Certificate of Good Standing as of the date of certification.</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9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Our opinions are limited to the internal laws of the Commonwealth of Pennsylvania, and we express no opinion with respect to the federal laws of the United States, the laws of any other jurisdiction or as to any matters of municipal law or the laws</w:t>
      </w:r>
    </w:p>
    <w:p>
      <w:pPr>
        <w:sectPr>
          <w:pgSz w:w="11900" w:h="16838" w:orient="portrait"/>
          <w:cols w:equalWidth="0" w:num="1">
            <w:col w:w="11360"/>
          </w:cols>
          <w:pgMar w:left="240" w:top="273" w:right="299" w:bottom="1440" w:gutter="0" w:footer="0" w:header="0"/>
        </w:sectPr>
      </w:pPr>
    </w:p>
    <w:bookmarkStart w:id="458" w:name="page459"/>
    <w:bookmarkEnd w:id="4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Spectrum Brands, Inc.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Openings,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60" w:right="440"/>
        <w:spacing w:after="0" w:line="342" w:lineRule="auto"/>
        <w:rPr>
          <w:sz w:val="20"/>
          <w:szCs w:val="20"/>
          <w:color w:val="auto"/>
        </w:rPr>
      </w:pPr>
      <w:r>
        <w:rPr>
          <w:rFonts w:ascii="Arial" w:cs="Arial" w:eastAsia="Arial" w:hAnsi="Arial"/>
          <w:sz w:val="16"/>
          <w:szCs w:val="16"/>
          <w:color w:val="auto"/>
        </w:rPr>
        <w:t>of any local agencies within any state (including the Commonwealth of Pennsylvania). Our advice on each legal issue in this letter represents our opinion as to how that issue would be resolved were it to be considered by the highest court of the Commonwealth of Pennsylvania.</w:t>
      </w:r>
    </w:p>
    <w:p>
      <w:pPr>
        <w:spacing w:after="0" w:line="16" w:lineRule="exact"/>
        <w:rPr>
          <w:sz w:val="20"/>
          <w:szCs w:val="20"/>
          <w:color w:val="auto"/>
        </w:rPr>
      </w:pPr>
    </w:p>
    <w:p>
      <w:pPr>
        <w:ind w:left="1180" w:hanging="277"/>
        <w:spacing w:after="0"/>
        <w:tabs>
          <w:tab w:leader="none" w:pos="11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We express no opinion as to:</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legality, validity, binding effect or enforceability of the Documents as to any person or entity;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394"/>
        </w:numPr>
        <w:rPr>
          <w:rFonts w:ascii="Arial" w:cs="Arial" w:eastAsia="Arial" w:hAnsi="Arial"/>
          <w:sz w:val="17"/>
          <w:szCs w:val="17"/>
          <w:color w:val="auto"/>
        </w:rPr>
      </w:pPr>
      <w:r>
        <w:rPr>
          <w:rFonts w:ascii="Arial" w:cs="Arial" w:eastAsia="Arial" w:hAnsi="Arial"/>
          <w:sz w:val="17"/>
          <w:szCs w:val="17"/>
          <w:color w:val="auto"/>
        </w:rPr>
        <w:t>compliance with, or any governmental or regulatory filing, approval, authorization, license or consent required by or under, any</w:t>
      </w:r>
    </w:p>
    <w:p>
      <w:pPr>
        <w:spacing w:after="0" w:line="35" w:lineRule="exact"/>
        <w:rPr>
          <w:sz w:val="20"/>
          <w:szCs w:val="20"/>
          <w:color w:val="auto"/>
        </w:rPr>
      </w:pPr>
    </w:p>
    <w:p>
      <w:pPr>
        <w:jc w:val="both"/>
        <w:ind w:left="920" w:firstLine="1"/>
        <w:spacing w:after="0" w:line="281" w:lineRule="auto"/>
        <w:tabs>
          <w:tab w:leader="none" w:pos="116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Federal or state anti-fraud laws; (b) Federal or state environmental laws; (c) Federal or state antitrust and unfair competition laws; (d) Federal or state taxation laws; (e) Federal or state patent, trademark or copyright statutes; (f) statutory or other requirements relating to the disposition of hazardous waste or environmental protection; (g) Federal or state receivership or conservatorship laws; (h) Federal or state securities laws;</w:t>
      </w:r>
    </w:p>
    <w:p>
      <w:pPr>
        <w:spacing w:after="0" w:line="2" w:lineRule="exact"/>
        <w:rPr>
          <w:rFonts w:ascii="Arial" w:cs="Arial" w:eastAsia="Arial" w:hAnsi="Arial"/>
          <w:sz w:val="16"/>
          <w:szCs w:val="16"/>
          <w:color w:val="auto"/>
        </w:rPr>
      </w:pPr>
    </w:p>
    <w:p>
      <w:pPr>
        <w:ind w:left="920" w:right="60" w:firstLine="1"/>
        <w:spacing w:after="0" w:line="281" w:lineRule="auto"/>
        <w:tabs>
          <w:tab w:leader="none" w:pos="1135" w:val="left"/>
        </w:tabs>
        <w:numPr>
          <w:ilvl w:val="0"/>
          <w:numId w:val="396"/>
        </w:numPr>
        <w:rPr>
          <w:rFonts w:ascii="Arial" w:cs="Arial" w:eastAsia="Arial" w:hAnsi="Arial"/>
          <w:sz w:val="16"/>
          <w:szCs w:val="16"/>
          <w:color w:val="auto"/>
        </w:rPr>
      </w:pPr>
      <w:r>
        <w:rPr>
          <w:rFonts w:ascii="Arial" w:cs="Arial" w:eastAsia="Arial" w:hAnsi="Arial"/>
          <w:sz w:val="16"/>
          <w:szCs w:val="16"/>
          <w:color w:val="auto"/>
        </w:rPr>
        <w:t>Federal or state labor or employment laws; (j) Federal or state employee benefits or pension laws; (k) Federal or state maritime or aviation laws; (l) Federal or state laws concerning public utilities; (m) Federal or state racketeering laws; (n) Federal or state laws relating to communications; (o) zoning, health, safety, building, permitting, land use or subdivision laws; (p) the Equal Credit Opportunity Act; (q) Federal or state laws and policies concerning (A) national and local emergencies, (B) possible judicial deference to acts of sovereign states, and</w:t>
      </w:r>
    </w:p>
    <w:p>
      <w:pPr>
        <w:spacing w:after="0" w:line="2" w:lineRule="exact"/>
        <w:rPr>
          <w:rFonts w:ascii="Arial" w:cs="Arial" w:eastAsia="Arial" w:hAnsi="Arial"/>
          <w:sz w:val="16"/>
          <w:szCs w:val="16"/>
          <w:color w:val="auto"/>
        </w:rPr>
      </w:pPr>
    </w:p>
    <w:p>
      <w:pPr>
        <w:ind w:left="920" w:right="140"/>
        <w:spacing w:after="0" w:line="255" w:lineRule="auto"/>
        <w:rPr>
          <w:rFonts w:ascii="Arial" w:cs="Arial" w:eastAsia="Arial" w:hAnsi="Arial"/>
          <w:sz w:val="16"/>
          <w:szCs w:val="16"/>
          <w:color w:val="auto"/>
        </w:rPr>
      </w:pPr>
      <w:r>
        <w:rPr>
          <w:rFonts w:ascii="Arial" w:cs="Arial" w:eastAsia="Arial" w:hAnsi="Arial"/>
          <w:sz w:val="18"/>
          <w:szCs w:val="18"/>
          <w:color w:val="auto"/>
        </w:rPr>
        <w:t>(C) criminal and civil forfeiture laws; and (r) other state statutes of general application to the extent they provide for criminal prosecution (</w:t>
      </w:r>
      <w:r>
        <w:rPr>
          <w:rFonts w:ascii="Arial" w:cs="Arial" w:eastAsia="Arial" w:hAnsi="Arial"/>
          <w:sz w:val="18"/>
          <w:szCs w:val="18"/>
          <w:u w:val="single" w:color="auto"/>
          <w:color w:val="auto"/>
        </w:rPr>
        <w:t>e.g.</w:t>
      </w:r>
      <w:r>
        <w:rPr>
          <w:rFonts w:ascii="Arial" w:cs="Arial" w:eastAsia="Arial" w:hAnsi="Arial"/>
          <w:sz w:val="18"/>
          <w:szCs w:val="18"/>
          <w:color w:val="auto"/>
        </w:rPr>
        <w:t>, mail fraud and wire fraud statutes); and in the case of each of the foregoing in this paragraph (2), all rules and regulations promulgated thereunder or administrative or judicial decisions with respect thereto;</w:t>
      </w:r>
    </w:p>
    <w:p>
      <w:pPr>
        <w:spacing w:after="0" w:line="82" w:lineRule="exact"/>
        <w:rPr>
          <w:rFonts w:ascii="Arial" w:cs="Arial" w:eastAsia="Arial" w:hAnsi="Arial"/>
          <w:sz w:val="16"/>
          <w:szCs w:val="16"/>
          <w:color w:val="auto"/>
        </w:rPr>
      </w:pPr>
    </w:p>
    <w:p>
      <w:pPr>
        <w:ind w:left="1600" w:hanging="259"/>
        <w:spacing w:after="0"/>
        <w:tabs>
          <w:tab w:leader="none" w:pos="16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compliance by the Pennsylvania Guarantor with the various operating covenants in the Documents;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effect of any law relating to the legal or regulatory status of any individual or entity.</w:t>
      </w:r>
    </w:p>
    <w:p>
      <w:pPr>
        <w:spacing w:after="0" w:line="117" w:lineRule="exact"/>
        <w:rPr>
          <w:sz w:val="20"/>
          <w:szCs w:val="20"/>
          <w:color w:val="auto"/>
        </w:rPr>
      </w:pPr>
    </w:p>
    <w:p>
      <w:pPr>
        <w:ind w:left="460" w:right="200" w:firstLine="443"/>
        <w:spacing w:after="0" w:line="264" w:lineRule="auto"/>
        <w:tabs>
          <w:tab w:leader="none" w:pos="1163" w:val="left"/>
        </w:tabs>
        <w:numPr>
          <w:ilvl w:val="1"/>
          <w:numId w:val="397"/>
        </w:numPr>
        <w:rPr>
          <w:rFonts w:ascii="Arial" w:cs="Arial" w:eastAsia="Arial" w:hAnsi="Arial"/>
          <w:sz w:val="18"/>
          <w:szCs w:val="18"/>
          <w:color w:val="auto"/>
        </w:rPr>
      </w:pPr>
      <w:r>
        <w:rPr>
          <w:rFonts w:ascii="Arial" w:cs="Arial" w:eastAsia="Arial" w:hAnsi="Arial"/>
          <w:sz w:val="18"/>
          <w:szCs w:val="18"/>
          <w:color w:val="auto"/>
        </w:rPr>
        <w:t>We have assumed without investigation that each of the Pennsylvania Guarantor Organizational Documents we have reviewed is a true, accurate and complete copy of such document, and that each of the Pennsylvania Guarantor Organizational Documents is in full force and effect and has not been amended or repealed.</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We have made no examination and express no opinion, with respect to any laws relating to terrorism or money-laundering, including the</w:t>
      </w:r>
    </w:p>
    <w:p>
      <w:pPr>
        <w:spacing w:after="0" w:line="46" w:lineRule="exact"/>
        <w:rPr>
          <w:rFonts w:ascii="Arial" w:cs="Arial" w:eastAsia="Arial" w:hAnsi="Arial"/>
          <w:sz w:val="16"/>
          <w:szCs w:val="16"/>
          <w:color w:val="auto"/>
        </w:rPr>
      </w:pPr>
    </w:p>
    <w:p>
      <w:pPr>
        <w:ind w:left="680" w:hanging="216"/>
        <w:spacing w:after="0"/>
        <w:tabs>
          <w:tab w:leader="none" w:pos="6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“Uniting and Strengthening America by Providing Appropriate Tools Required to Intercept and</w:t>
      </w:r>
    </w:p>
    <w:p>
      <w:pPr>
        <w:sectPr>
          <w:pgSz w:w="11900" w:h="16838" w:orient="portrait"/>
          <w:cols w:equalWidth="0" w:num="1">
            <w:col w:w="11360"/>
          </w:cols>
          <w:pgMar w:left="240" w:top="274" w:right="29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Spectrum Brands, Inc.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Openings,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60" w:right="500"/>
        <w:spacing w:after="0" w:line="308" w:lineRule="auto"/>
        <w:rPr>
          <w:sz w:val="20"/>
          <w:szCs w:val="20"/>
          <w:color w:val="auto"/>
        </w:rPr>
      </w:pPr>
      <w:r>
        <w:rPr>
          <w:rFonts w:ascii="Arial" w:cs="Arial" w:eastAsia="Arial" w:hAnsi="Arial"/>
          <w:sz w:val="17"/>
          <w:szCs w:val="17"/>
          <w:color w:val="auto"/>
        </w:rPr>
        <w:t>Obstruct Terrorism Act of 2001” (Public Law 107-56) and (ii) Executive Order No. 13224 on Terrorist Financing, effective September 24, 2001, relating to “Blocking Property and Prohibiting Transactions With Persons Who Commit, Threaten to Commit, or Support Terrorism.”</w:t>
      </w:r>
    </w:p>
    <w:p>
      <w:pPr>
        <w:spacing w:after="0" w:line="38" w:lineRule="exact"/>
        <w:rPr>
          <w:sz w:val="20"/>
          <w:szCs w:val="20"/>
          <w:color w:val="auto"/>
        </w:rPr>
      </w:pPr>
    </w:p>
    <w:p>
      <w:pPr>
        <w:ind w:left="460" w:firstLine="443"/>
        <w:spacing w:after="0" w:line="272" w:lineRule="auto"/>
        <w:tabs>
          <w:tab w:leader="none" w:pos="1193"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We have made no examination of, and express no opinion as to, the business, operations or financial condition of the Pennsylvania Guarantor or any other individual or entity or the effect thereon of the transactions contemplated by the Documents. In this regard, we have assumed that (i) the transactions contemplated under the Documents have been entered into by the parties thereto in good faith, (ii) there is no actual intent to hinder, delay or defraud any present or future creditor of the Pennsylvania Guarantor, and (iii) the Pennsylvania Guarantor is not engaged in business with unreasonably small capital, is not insolvent under applicable law, and has not incurred debts beyond its ability to pay, as to which matters we understand you have satisfied yourself. We are not expressing any opinion as to the effect on the Documents if any such assumptions should be inaccurate or as to any matter for which an express opinion is not provided herein.</w:t>
      </w:r>
    </w:p>
    <w:p>
      <w:pPr>
        <w:spacing w:after="0" w:line="69" w:lineRule="exact"/>
        <w:rPr>
          <w:rFonts w:ascii="Arial" w:cs="Arial" w:eastAsia="Arial" w:hAnsi="Arial"/>
          <w:sz w:val="17"/>
          <w:szCs w:val="17"/>
          <w:color w:val="auto"/>
        </w:rPr>
      </w:pPr>
    </w:p>
    <w:p>
      <w:pPr>
        <w:ind w:left="460" w:right="80" w:firstLine="443"/>
        <w:spacing w:after="0" w:line="277" w:lineRule="auto"/>
        <w:tabs>
          <w:tab w:leader="none" w:pos="1123"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This opinion letter has been prepared for use in connection with the transactions covered by the Registration Statement and may not be relied upon for any other purpose.</w:t>
      </w:r>
    </w:p>
    <w:p>
      <w:pPr>
        <w:spacing w:after="0" w:line="62" w:lineRule="exact"/>
        <w:rPr>
          <w:rFonts w:ascii="Arial" w:cs="Arial" w:eastAsia="Arial" w:hAnsi="Arial"/>
          <w:sz w:val="18"/>
          <w:szCs w:val="18"/>
          <w:color w:val="auto"/>
        </w:rPr>
      </w:pPr>
    </w:p>
    <w:p>
      <w:pPr>
        <w:ind w:left="460" w:right="180" w:firstLine="443"/>
        <w:spacing w:after="0" w:line="264" w:lineRule="auto"/>
        <w:tabs>
          <w:tab w:leader="none" w:pos="1133"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This opinion speaks as of the date hereof, and we assume no obligation to advise you of any changes in the foregoing subsequent to the effectiveness of the Registration Statement even though the change may affect the legal analysis or a legal conclusion or other matters in this opinion letter.</w:t>
      </w:r>
    </w:p>
    <w:p>
      <w:pPr>
        <w:spacing w:after="0" w:line="73" w:lineRule="exact"/>
        <w:rPr>
          <w:rFonts w:ascii="Arial" w:cs="Arial" w:eastAsia="Arial" w:hAnsi="Arial"/>
          <w:sz w:val="18"/>
          <w:szCs w:val="18"/>
          <w:color w:val="auto"/>
        </w:rPr>
      </w:pPr>
    </w:p>
    <w:p>
      <w:pPr>
        <w:ind w:left="460" w:right="120" w:firstLine="443"/>
        <w:spacing w:after="0" w:line="286" w:lineRule="auto"/>
        <w:tabs>
          <w:tab w:leader="none" w:pos="1193"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We hereby consent to the references in the Registration Statement to our Firm under the caption “Legal Matters” and to the inclusion of this opinion as an exhibit to the Registration Statement. In giving this consent, we do not thereby admit that we are within the category of persons whose consent is required under Section 7 of the Securities Act, or the rules and regulations of the Commission thereunder.</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Barnes &amp; Thornburg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Barnes &amp; Thornburg LLP</w:t>
      </w:r>
    </w:p>
    <w:p>
      <w:pPr>
        <w:sectPr>
          <w:pgSz w:w="11900" w:h="16838" w:orient="portrait"/>
          <w:cols w:equalWidth="0" w:num="1">
            <w:col w:w="11380"/>
          </w:cols>
          <w:pgMar w:left="240" w:top="274" w:right="279" w:bottom="1440" w:gutter="0" w:footer="0" w:header="0"/>
        </w:sectPr>
      </w:pPr>
    </w:p>
    <w:bookmarkStart w:id="460" w:name="page461"/>
    <w:bookmarkEnd w:id="460"/>
    <w:p>
      <w:pPr>
        <w:jc w:val="right"/>
        <w:ind w:right="4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Indentures</w:t>
      </w:r>
    </w:p>
    <w:p>
      <w:pPr>
        <w:sectPr>
          <w:pgSz w:w="11900" w:h="16838" w:orient="portrait"/>
          <w:cols w:equalWidth="0" w:num="1">
            <w:col w:w="10219"/>
          </w:cols>
          <w:pgMar w:left="240" w:top="270" w:right="1440" w:bottom="1440" w:gutter="0" w:footer="0" w:header="0"/>
        </w:sectPr>
      </w:pPr>
    </w:p>
    <w:bookmarkStart w:id="461" w:name="page462"/>
    <w:bookmarkEnd w:id="461"/>
    <w:p>
      <w:pPr>
        <w:jc w:val="right"/>
        <w:spacing w:after="0"/>
        <w:rPr>
          <w:sz w:val="20"/>
          <w:szCs w:val="20"/>
          <w:color w:val="auto"/>
        </w:rPr>
      </w:pPr>
      <w:r>
        <w:rPr>
          <w:rFonts w:ascii="Arial" w:cs="Arial" w:eastAsia="Arial" w:hAnsi="Arial"/>
          <w:sz w:val="18"/>
          <w:szCs w:val="18"/>
          <w:b w:val="1"/>
          <w:bCs w:val="1"/>
          <w:color w:val="auto"/>
        </w:rPr>
        <w:t>Exhibit 5.3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Spectrum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3001 Deming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Middleton, Wisconsin 53562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40" w:firstLine="913"/>
        <w:spacing w:after="0" w:line="291" w:lineRule="auto"/>
        <w:rPr>
          <w:sz w:val="20"/>
          <w:szCs w:val="20"/>
          <w:color w:val="auto"/>
        </w:rPr>
      </w:pPr>
      <w:r>
        <w:rPr>
          <w:rFonts w:ascii="Arial" w:cs="Arial" w:eastAsia="Arial" w:hAnsi="Arial"/>
          <w:sz w:val="16"/>
          <w:szCs w:val="16"/>
          <w:color w:val="auto"/>
        </w:rPr>
        <w:t>We have acted as special Missouri counsel to Schultz Company, a Missouri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a Registration Statement on Form S-1 relating the offer and sale by Spectrum Brands Inc.,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of an indeterminate amount of its</w:t>
      </w:r>
    </w:p>
    <w:p>
      <w:pPr>
        <w:ind w:right="20" w:firstLine="8"/>
        <w:spacing w:after="0" w:line="284" w:lineRule="auto"/>
        <w:tabs>
          <w:tab w:leader="none" w:pos="21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6.375% Senior Notes due 2020 (the “</w:t>
      </w:r>
      <w:r>
        <w:rPr>
          <w:rFonts w:ascii="Arial" w:cs="Arial" w:eastAsia="Arial" w:hAnsi="Arial"/>
          <w:sz w:val="16"/>
          <w:szCs w:val="16"/>
          <w:u w:val="single" w:color="auto"/>
          <w:color w:val="auto"/>
        </w:rPr>
        <w:t>2020 Notes</w:t>
      </w:r>
      <w:r>
        <w:rPr>
          <w:rFonts w:ascii="Arial" w:cs="Arial" w:eastAsia="Arial" w:hAnsi="Arial"/>
          <w:sz w:val="16"/>
          <w:szCs w:val="16"/>
          <w:color w:val="auto"/>
        </w:rPr>
        <w:t>”) and 6.625% Senior Notes due 2022 (the “</w:t>
      </w:r>
      <w:r>
        <w:rPr>
          <w:rFonts w:ascii="Arial" w:cs="Arial" w:eastAsia="Arial" w:hAnsi="Arial"/>
          <w:sz w:val="16"/>
          <w:szCs w:val="16"/>
          <w:u w:val="single" w:color="auto"/>
          <w:color w:val="auto"/>
        </w:rPr>
        <w:t>2022 Notes</w:t>
      </w:r>
      <w:r>
        <w:rPr>
          <w:rFonts w:ascii="Arial" w:cs="Arial" w:eastAsia="Arial" w:hAnsi="Arial"/>
          <w:sz w:val="16"/>
          <w:szCs w:val="16"/>
          <w:color w:val="auto"/>
        </w:rPr>
        <w:t>”) and related guarantees, which were issued pursuant to that certain Indenture dated November 16, 2012 (the “</w:t>
      </w:r>
      <w:r>
        <w:rPr>
          <w:rFonts w:ascii="Arial" w:cs="Arial" w:eastAsia="Arial" w:hAnsi="Arial"/>
          <w:sz w:val="16"/>
          <w:szCs w:val="16"/>
          <w:u w:val="single" w:color="auto"/>
          <w:color w:val="auto"/>
        </w:rPr>
        <w:t>Initial 2020/2022 Notes Indenture</w:t>
      </w:r>
      <w:r>
        <w:rPr>
          <w:rFonts w:ascii="Arial" w:cs="Arial" w:eastAsia="Arial" w:hAnsi="Arial"/>
          <w:sz w:val="16"/>
          <w:szCs w:val="16"/>
          <w:color w:val="auto"/>
        </w:rPr>
        <w:t>”) between Spectrum Brands Escrow Corp. and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by the Supplemental Indenture dated December 17, 2012, to which the Company is a party, as further supplemented by the Supplemental Indenture dated March 5, 2014, as further supplemented by the Supplemental Indenture dated October 16, 2014, as further supplemented by the Supplemental Indenture dated February 24, 2015, and as further supplemented by the Supplemental Indenture dated June 23, 2015 (collectively, the “</w:t>
      </w:r>
      <w:r>
        <w:rPr>
          <w:rFonts w:ascii="Arial" w:cs="Arial" w:eastAsia="Arial" w:hAnsi="Arial"/>
          <w:sz w:val="16"/>
          <w:szCs w:val="16"/>
          <w:u w:val="single" w:color="auto"/>
          <w:color w:val="auto"/>
        </w:rPr>
        <w:t>2020/2022 Notes Supplemental Indentures</w:t>
      </w:r>
      <w:r>
        <w:rPr>
          <w:rFonts w:ascii="Arial" w:cs="Arial" w:eastAsia="Arial" w:hAnsi="Arial"/>
          <w:sz w:val="16"/>
          <w:szCs w:val="16"/>
          <w:color w:val="auto"/>
        </w:rPr>
        <w:t>”), (ii) 6.125% Senior Notes due 2024 (the “</w:t>
      </w:r>
      <w:r>
        <w:rPr>
          <w:rFonts w:ascii="Arial" w:cs="Arial" w:eastAsia="Arial" w:hAnsi="Arial"/>
          <w:sz w:val="16"/>
          <w:szCs w:val="16"/>
          <w:u w:val="single" w:color="auto"/>
          <w:color w:val="auto"/>
        </w:rPr>
        <w:t>2024 Notes</w:t>
      </w:r>
      <w:r>
        <w:rPr>
          <w:rFonts w:ascii="Arial" w:cs="Arial" w:eastAsia="Arial" w:hAnsi="Arial"/>
          <w:sz w:val="16"/>
          <w:szCs w:val="16"/>
          <w:color w:val="auto"/>
        </w:rPr>
        <w:t>”) and related guarantees, which were issued pursuant to that certain Indenture dated December 4, 2014 (the “</w:t>
      </w:r>
      <w:r>
        <w:rPr>
          <w:rFonts w:ascii="Arial" w:cs="Arial" w:eastAsia="Arial" w:hAnsi="Arial"/>
          <w:sz w:val="16"/>
          <w:szCs w:val="16"/>
          <w:u w:val="single" w:color="auto"/>
          <w:color w:val="auto"/>
        </w:rPr>
        <w:t>Initial 2024 Notes Indenture</w:t>
      </w:r>
      <w:r>
        <w:rPr>
          <w:rFonts w:ascii="Arial" w:cs="Arial" w:eastAsia="Arial" w:hAnsi="Arial"/>
          <w:sz w:val="16"/>
          <w:szCs w:val="16"/>
          <w:color w:val="auto"/>
        </w:rPr>
        <w:t>”) among the Issuer, the Trustee, and the guarantors party thereto, including, without limitation, the Company, as supplemented by the Supplemental Indenture dated February 24, 2015, and as further supplemented by the Supplemental Indenture dated June 23, 2015 (collectively, the “</w:t>
      </w:r>
      <w:r>
        <w:rPr>
          <w:rFonts w:ascii="Arial" w:cs="Arial" w:eastAsia="Arial" w:hAnsi="Arial"/>
          <w:sz w:val="16"/>
          <w:szCs w:val="16"/>
          <w:u w:val="single" w:color="auto"/>
          <w:color w:val="auto"/>
        </w:rPr>
        <w:t>2024 Notes Supplemental Indentures</w:t>
      </w:r>
      <w:r>
        <w:rPr>
          <w:rFonts w:ascii="Arial" w:cs="Arial" w:eastAsia="Arial" w:hAnsi="Arial"/>
          <w:sz w:val="16"/>
          <w:szCs w:val="16"/>
          <w:color w:val="auto"/>
        </w:rPr>
        <w:t>”) and (iii) 5.750% Senior Notes due 2025 (the “</w:t>
      </w:r>
      <w:r>
        <w:rPr>
          <w:rFonts w:ascii="Arial" w:cs="Arial" w:eastAsia="Arial" w:hAnsi="Arial"/>
          <w:sz w:val="16"/>
          <w:szCs w:val="16"/>
          <w:u w:val="single" w:color="auto"/>
          <w:color w:val="auto"/>
        </w:rPr>
        <w:t>2025 Notes</w:t>
      </w:r>
      <w:r>
        <w:rPr>
          <w:rFonts w:ascii="Arial" w:cs="Arial" w:eastAsia="Arial" w:hAnsi="Arial"/>
          <w:sz w:val="16"/>
          <w:szCs w:val="16"/>
          <w:color w:val="auto"/>
        </w:rPr>
        <w:t>” and, together with the 2020 Notes, the 2022 Notes and the 2024 Notes, the “</w:t>
      </w:r>
      <w:r>
        <w:rPr>
          <w:rFonts w:ascii="Arial" w:cs="Arial" w:eastAsia="Arial" w:hAnsi="Arial"/>
          <w:sz w:val="16"/>
          <w:szCs w:val="16"/>
          <w:u w:val="single" w:color="auto"/>
          <w:color w:val="auto"/>
        </w:rPr>
        <w:t>Notes</w:t>
      </w:r>
      <w:r>
        <w:rPr>
          <w:rFonts w:ascii="Arial" w:cs="Arial" w:eastAsia="Arial" w:hAnsi="Arial"/>
          <w:sz w:val="16"/>
          <w:szCs w:val="16"/>
          <w:color w:val="auto"/>
        </w:rPr>
        <w:t>”) and related guarantees, which were issued pursuant to that certain Indenture dated May 20, 2015 (the “</w:t>
      </w:r>
      <w:r>
        <w:rPr>
          <w:rFonts w:ascii="Arial" w:cs="Arial" w:eastAsia="Arial" w:hAnsi="Arial"/>
          <w:sz w:val="16"/>
          <w:szCs w:val="16"/>
          <w:u w:val="single" w:color="auto"/>
          <w:color w:val="auto"/>
        </w:rPr>
        <w:t>Initial 2025 Notes Indenture</w:t>
      </w:r>
      <w:r>
        <w:rPr>
          <w:rFonts w:ascii="Arial" w:cs="Arial" w:eastAsia="Arial" w:hAnsi="Arial"/>
          <w:sz w:val="16"/>
          <w:szCs w:val="16"/>
          <w:color w:val="auto"/>
        </w:rPr>
        <w:t>” and, together with the Initial 2020/2022 Notes Indenture and the Initial 2024 Notes Indenture, the “</w:t>
      </w:r>
      <w:r>
        <w:rPr>
          <w:rFonts w:ascii="Arial" w:cs="Arial" w:eastAsia="Arial" w:hAnsi="Arial"/>
          <w:sz w:val="16"/>
          <w:szCs w:val="16"/>
          <w:u w:val="single" w:color="auto"/>
          <w:color w:val="auto"/>
        </w:rPr>
        <w:t>Initial Indentures</w:t>
      </w:r>
      <w:r>
        <w:rPr>
          <w:rFonts w:ascii="Arial" w:cs="Arial" w:eastAsia="Arial" w:hAnsi="Arial"/>
          <w:sz w:val="16"/>
          <w:szCs w:val="16"/>
          <w:color w:val="auto"/>
        </w:rPr>
        <w:t>”) among the Issuer, the Trustee and the guarantors party thereto, including, without limitation, the Company, as supplemented by the Supplemental Indenture dated June 23, 2015 (the “</w:t>
      </w:r>
      <w:r>
        <w:rPr>
          <w:rFonts w:ascii="Arial" w:cs="Arial" w:eastAsia="Arial" w:hAnsi="Arial"/>
          <w:sz w:val="16"/>
          <w:szCs w:val="16"/>
          <w:u w:val="single" w:color="auto"/>
          <w:color w:val="auto"/>
        </w:rPr>
        <w:t>2025 Notes Supplemental Indenture</w:t>
      </w:r>
      <w:r>
        <w:rPr>
          <w:rFonts w:ascii="Arial" w:cs="Arial" w:eastAsia="Arial" w:hAnsi="Arial"/>
          <w:sz w:val="16"/>
          <w:szCs w:val="16"/>
          <w:color w:val="auto"/>
        </w:rPr>
        <w:t>” and, together with the 2020/2022 Notes Supplemental Indentures and the 2024 Notes Supplemental Indentures, the “</w:t>
      </w:r>
      <w:r>
        <w:rPr>
          <w:rFonts w:ascii="Arial" w:cs="Arial" w:eastAsia="Arial" w:hAnsi="Arial"/>
          <w:sz w:val="16"/>
          <w:szCs w:val="16"/>
          <w:u w:val="single" w:color="auto"/>
          <w:color w:val="auto"/>
        </w:rPr>
        <w:t>Supplemental Indentures</w:t>
      </w:r>
      <w:r>
        <w:rPr>
          <w:rFonts w:ascii="Arial" w:cs="Arial" w:eastAsia="Arial" w:hAnsi="Arial"/>
          <w:sz w:val="16"/>
          <w:szCs w:val="16"/>
          <w:color w:val="auto"/>
        </w:rPr>
        <w:t>”), including the guarantee by the Company of the Issuer’s obligations under the Notes (collectively, the “</w:t>
      </w:r>
      <w:r>
        <w:rPr>
          <w:rFonts w:ascii="Arial" w:cs="Arial" w:eastAsia="Arial" w:hAnsi="Arial"/>
          <w:sz w:val="16"/>
          <w:szCs w:val="16"/>
          <w:u w:val="single" w:color="auto"/>
          <w:color w:val="auto"/>
        </w:rPr>
        <w:t>Note Guarantees</w:t>
      </w:r>
      <w:r>
        <w:rPr>
          <w:rFonts w:ascii="Arial" w:cs="Arial" w:eastAsia="Arial" w:hAnsi="Arial"/>
          <w:sz w:val="16"/>
          <w:szCs w:val="16"/>
          <w:color w:val="auto"/>
        </w:rPr>
        <w:t>”), in connection with ongoing market-making transactions in the Notes by and through affiliates of the Company. Capitalized terms defined in the Registration Statement (as hereinafter defined) and used (but not otherwise defined) herein are used herein as so defined.</w:t>
      </w:r>
    </w:p>
    <w:p>
      <w:pPr>
        <w:spacing w:after="0" w:line="392"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In connection with this opinion, we have examined and relied upon the accuracy of original, certified, conformed, photographic, facsimile or electronic copies of the following:</w:t>
      </w:r>
    </w:p>
    <w:p>
      <w:pPr>
        <w:spacing w:after="0" w:line="76" w:lineRule="exact"/>
        <w:rPr>
          <w:sz w:val="20"/>
          <w:szCs w:val="20"/>
          <w:color w:val="auto"/>
        </w:rPr>
      </w:pPr>
    </w:p>
    <w:p>
      <w:pPr>
        <w:ind w:left="1480" w:right="620" w:hanging="567"/>
        <w:spacing w:after="0" w:line="277" w:lineRule="auto"/>
        <w:tabs>
          <w:tab w:leader="none" w:pos="14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registration statement on Form S-1 of Spectrum Brands, Inc.,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on January 15, 2016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462" w:name="page463"/>
    <w:bookmarkEnd w:id="4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January 15,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480" w:hanging="567"/>
        <w:spacing w:after="0"/>
        <w:tabs>
          <w:tab w:leader="none" w:pos="14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 executed copy of each of the Initial Indentures;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 executed copy of each of the Supplemental Indentures;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forms of Notes;</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Note Guarantees (as defined in each respective Indenture) of the Company;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Omnibus Secretary’s Certificate dated as of January 15, 2015, executed by the Secretary of the Company (the “</w:t>
      </w:r>
      <w:r>
        <w:rPr>
          <w:rFonts w:ascii="Arial" w:cs="Arial" w:eastAsia="Arial" w:hAnsi="Arial"/>
          <w:sz w:val="16"/>
          <w:szCs w:val="16"/>
          <w:u w:val="single" w:color="auto"/>
          <w:color w:val="auto"/>
        </w:rPr>
        <w:t>Back-Up Certificate</w:t>
      </w:r>
      <w:r>
        <w:rPr>
          <w:rFonts w:ascii="Arial" w:cs="Arial" w:eastAsia="Arial" w:hAnsi="Arial"/>
          <w:sz w:val="16"/>
          <w:szCs w:val="16"/>
          <w:color w:val="auto"/>
        </w:rPr>
        <w:t>”);</w:t>
      </w:r>
    </w:p>
    <w:p>
      <w:pPr>
        <w:spacing w:after="0" w:line="154" w:lineRule="exact"/>
        <w:rPr>
          <w:sz w:val="20"/>
          <w:szCs w:val="20"/>
          <w:color w:val="auto"/>
        </w:rPr>
      </w:pPr>
    </w:p>
    <w:p>
      <w:pPr>
        <w:ind w:left="1480" w:right="80" w:hanging="567"/>
        <w:spacing w:after="0" w:line="308" w:lineRule="auto"/>
        <w:tabs>
          <w:tab w:leader="none" w:pos="148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a copy of the Amended and Restated Articles of Incorporation of the Company, certified as of January 11, 2016 by the Secretary of State of the State of Missouri (the “</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attached to the Back-Up Certificate as part of Exhibit B;</w:t>
      </w:r>
    </w:p>
    <w:p>
      <w:pPr>
        <w:spacing w:after="0" w:line="51" w:lineRule="exact"/>
        <w:rPr>
          <w:rFonts w:ascii="Arial" w:cs="Arial" w:eastAsia="Arial" w:hAnsi="Arial"/>
          <w:sz w:val="17"/>
          <w:szCs w:val="17"/>
          <w:color w:val="auto"/>
        </w:rPr>
      </w:pPr>
    </w:p>
    <w:p>
      <w:pPr>
        <w:ind w:left="1480" w:right="120" w:hanging="567"/>
        <w:spacing w:after="0" w:line="277" w:lineRule="auto"/>
        <w:tabs>
          <w:tab w:leader="none" w:pos="14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 copy of certain resolutions of the Board of Directors of the Company, adopted on December 17, 2012, December 1, 2014 and May 14, 2015, attached to the Back-Up Certificate as part of Exhibit C-2;</w:t>
      </w:r>
    </w:p>
    <w:p>
      <w:pPr>
        <w:spacing w:after="0" w:line="75"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 copy of the By-laws of the Company (collectively with the Articles of Incorporation,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attached to the Back-Up Certificate as Exhibit B-2; and</w:t>
      </w:r>
    </w:p>
    <w:p>
      <w:pPr>
        <w:spacing w:after="0" w:line="75" w:lineRule="exact"/>
        <w:rPr>
          <w:rFonts w:ascii="Arial" w:cs="Arial" w:eastAsia="Arial" w:hAnsi="Arial"/>
          <w:sz w:val="18"/>
          <w:szCs w:val="18"/>
          <w:color w:val="auto"/>
        </w:rPr>
      </w:pPr>
    </w:p>
    <w:p>
      <w:pPr>
        <w:ind w:left="1480" w:right="60" w:hanging="567"/>
        <w:spacing w:after="0" w:line="342" w:lineRule="auto"/>
        <w:tabs>
          <w:tab w:leader="none" w:pos="148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a certificate dated December 18, 2015 (re-certified or otherwise re-confirmed to our satisfaction as of the date hereof) from the Secretary of State of the State of Missouri as to the good standing of the Company in the State of Missouri (the “</w:t>
      </w:r>
      <w:r>
        <w:rPr>
          <w:rFonts w:ascii="Arial" w:cs="Arial" w:eastAsia="Arial" w:hAnsi="Arial"/>
          <w:sz w:val="16"/>
          <w:szCs w:val="16"/>
          <w:u w:val="single" w:color="auto"/>
          <w:color w:val="auto"/>
        </w:rPr>
        <w:t>Missouri Certificate</w:t>
      </w:r>
      <w:r>
        <w:rPr>
          <w:rFonts w:ascii="Arial" w:cs="Arial" w:eastAsia="Arial" w:hAnsi="Arial"/>
          <w:sz w:val="16"/>
          <w:szCs w:val="16"/>
          <w:color w:val="auto"/>
        </w:rPr>
        <w: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Items lettered (b), (c), (d) and (e) above are collectively referred to herein as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also examined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opinions hereinafter set forth.</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rendering the opinions expressed herein, we have assumed, without independent investigation but with your permission: (i) that each person who, as an officer or authorized</w:t>
      </w:r>
    </w:p>
    <w:p>
      <w:pPr>
        <w:sectPr>
          <w:pgSz w:w="11900" w:h="16838" w:orient="portrait"/>
          <w:cols w:equalWidth="0" w:num="1">
            <w:col w:w="11400"/>
          </w:cols>
          <w:pgMar w:left="240" w:top="273" w:right="259" w:bottom="1440" w:gutter="0" w:footer="0" w:header="0"/>
        </w:sectPr>
      </w:pPr>
    </w:p>
    <w:bookmarkStart w:id="463" w:name="page464"/>
    <w:bookmarkEnd w:id="4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January 15,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signatory of the Company, signed any Transaction Document or any other document delivered in connection with the Transaction Documents, was duly elected or appointed, qualified and acting as such officer or authorized signatory at the respective times of the signing and delivery thereof; (ii) the genuineness of all signatures; (iii) the authenticity of all documents submitted to us as originals; (iv) the conformity to the originals of all documents submitted to us as copies, whether certified, conformed, photographic, facsimile or electronic, and the authenticity of the originals of such documents; (v) the legal capacity of all natural persons executing documents; (vi) that except for the Transaction Documents, there are no agreements or undertakings to which the Company, on the one hand, and the Issuer and/or the Trustee, on the other hand, are parties which would have an effect on the opinions expressed herein; and (vii) that all certificates and facsimile, electronic and telephonic confirmations given by public officials have been properly given and are accurate.</w:t>
      </w:r>
    </w:p>
    <w:p>
      <w:pPr>
        <w:spacing w:after="0" w:line="16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are opining herein as to the effect on the subject transaction only of the substantive laws of the State of Missouri, and we express no opinion with respect to (a) the applicability to such transaction, or the effect on such transaction, of any other laws, or (b) any matters of municipal law or the laws of any other local agencies within the State of Missouri.</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foregoing, and subject to the assumptions, qualifications and limitations set forth herein, we are of the opinion that, as of the date hereof:</w:t>
      </w:r>
    </w:p>
    <w:p>
      <w:pPr>
        <w:spacing w:after="0" w:line="248" w:lineRule="exact"/>
        <w:rPr>
          <w:sz w:val="20"/>
          <w:szCs w:val="20"/>
          <w:color w:val="auto"/>
        </w:rPr>
      </w:pPr>
    </w:p>
    <w:p>
      <w:pPr>
        <w:ind w:left="640" w:hanging="176"/>
        <w:spacing w:after="0"/>
        <w:tabs>
          <w:tab w:leader="none" w:pos="6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Company is a corporation validly existing and in good standing under the laws of the State of Missouri.</w:t>
      </w:r>
    </w:p>
    <w:p>
      <w:pPr>
        <w:spacing w:after="0" w:line="225" w:lineRule="exact"/>
        <w:rPr>
          <w:rFonts w:ascii="Arial" w:cs="Arial" w:eastAsia="Arial" w:hAnsi="Arial"/>
          <w:sz w:val="18"/>
          <w:szCs w:val="18"/>
          <w:color w:val="auto"/>
        </w:rPr>
      </w:pPr>
    </w:p>
    <w:p>
      <w:pPr>
        <w:ind w:firstLine="464"/>
        <w:spacing w:after="0" w:line="277" w:lineRule="auto"/>
        <w:tabs>
          <w:tab w:leader="none" w:pos="63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and deliver the Transaction Documents to which it is a party and to perform its obligations thereunder.</w:t>
      </w:r>
    </w:p>
    <w:p>
      <w:pPr>
        <w:spacing w:after="0" w:line="170" w:lineRule="exact"/>
        <w:rPr>
          <w:rFonts w:ascii="Arial" w:cs="Arial" w:eastAsia="Arial" w:hAnsi="Arial"/>
          <w:sz w:val="18"/>
          <w:szCs w:val="18"/>
          <w:color w:val="auto"/>
        </w:rPr>
      </w:pPr>
    </w:p>
    <w:p>
      <w:pPr>
        <w:ind w:right="380" w:firstLine="464"/>
        <w:spacing w:after="0" w:line="277" w:lineRule="auto"/>
        <w:tabs>
          <w:tab w:leader="none" w:pos="63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the Transaction Documents to which it is a party have been duly authorized by all necessary corporate action on the part of such Company.</w:t>
      </w:r>
    </w:p>
    <w:p>
      <w:pPr>
        <w:spacing w:after="0" w:line="170" w:lineRule="exact"/>
        <w:rPr>
          <w:rFonts w:ascii="Arial" w:cs="Arial" w:eastAsia="Arial" w:hAnsi="Arial"/>
          <w:sz w:val="18"/>
          <w:szCs w:val="18"/>
          <w:color w:val="auto"/>
        </w:rPr>
      </w:pPr>
    </w:p>
    <w:p>
      <w:pPr>
        <w:ind w:right="160" w:firstLine="464"/>
        <w:spacing w:after="0" w:line="259" w:lineRule="auto"/>
        <w:tabs>
          <w:tab w:leader="none" w:pos="63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execution and delivery by the Company of the Transaction Documents to which it is a party and the performance by the Company of its obligations thereunder, each in accordance with its terms, will not conflict with or violate (i) any of the terms, conditions or provisions of the Company’s Organizational Documents or (ii) any Missouri law or regulation (other than Missouri securities or blue sky laws, as to which we express no opinion in this paragraph).</w:t>
      </w:r>
    </w:p>
    <w:p>
      <w:pPr>
        <w:spacing w:after="0" w:line="186" w:lineRule="exact"/>
        <w:rPr>
          <w:rFonts w:ascii="Arial" w:cs="Arial" w:eastAsia="Arial" w:hAnsi="Arial"/>
          <w:sz w:val="18"/>
          <w:szCs w:val="18"/>
          <w:color w:val="auto"/>
        </w:rPr>
      </w:pPr>
    </w:p>
    <w:p>
      <w:pPr>
        <w:ind w:right="20" w:firstLine="464"/>
        <w:spacing w:after="0" w:line="264" w:lineRule="auto"/>
        <w:tabs>
          <w:tab w:leader="none" w:pos="63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No approval, consent, exemption, authorization, waiver, license or other action by, or notice to, or filing with, any Missouri court or Missouri governmental authority is necessary or required in connection with the execution and delivery by the Company of the Transaction Documents to which it is a party and the performance by the Company of its obligations thereunder.</w:t>
      </w:r>
    </w:p>
    <w:p>
      <w:pPr>
        <w:sectPr>
          <w:pgSz w:w="11900" w:h="16838" w:orient="portrait"/>
          <w:cols w:equalWidth="0" w:num="1">
            <w:col w:w="11340"/>
          </w:cols>
          <w:pgMar w:left="240" w:top="273" w:right="31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January 15,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The Transaction Documents to which the Company is a party have been duly and validly executed and delivered by the Company.</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rendering the opinions set forth in paragraph 1 above with respect to the valid existence and good standing of the Companies, we have relied solely upon the Missouri Certificate.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opinion letter is rendered to you in connection with the Registration Statement. We hereby consent to the filing of this opinion with the SEC as an exhibit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of 1933, as amended, or the rules and regulations of the SEC. This opinion is expressed as of the date hereof, and we disclaim any undertaking to advise you of any subsequent changes in the facts stated or assumed herein or of any subsequent changes in applicable law.</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Thompson Coburn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Thompson Coburn LLP</w:t>
      </w:r>
    </w:p>
    <w:p>
      <w:pPr>
        <w:sectPr>
          <w:pgSz w:w="11900" w:h="16838" w:orient="portrait"/>
          <w:cols w:equalWidth="0" w:num="1">
            <w:col w:w="11360"/>
          </w:cols>
          <w:pgMar w:left="240" w:top="274" w:right="299" w:bottom="1440" w:gutter="0" w:footer="0" w:header="0"/>
        </w:sectPr>
      </w:pPr>
    </w:p>
    <w:bookmarkStart w:id="465" w:name="page466"/>
    <w:bookmarkEnd w:id="465"/>
    <w:p>
      <w:pPr>
        <w:jc w:val="right"/>
        <w:spacing w:after="0"/>
        <w:rPr>
          <w:sz w:val="20"/>
          <w:szCs w:val="20"/>
          <w:color w:val="auto"/>
        </w:rPr>
      </w:pPr>
      <w:r>
        <w:rPr>
          <w:rFonts w:ascii="Arial" w:cs="Arial" w:eastAsia="Arial" w:hAnsi="Arial"/>
          <w:sz w:val="16"/>
          <w:szCs w:val="16"/>
          <w:b w:val="1"/>
          <w:bCs w:val="1"/>
          <w:color w:val="auto"/>
        </w:rPr>
        <w:t>Exhibit 5.4</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1395 Panther Lane</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Naples, Florida 34109</w:t>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239.262.5959</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Fax 239.434.4999</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www.quarles.com</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Attorneys at Law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Chicago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Madison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Naples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Scottsdale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Tampa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Tucson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type w:val="continuous"/>
        </w:sectPr>
      </w:pPr>
    </w:p>
    <w:p>
      <w:pPr>
        <w:spacing w:after="0" w:line="24"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January 15, 2016</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Spectrum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3001 Deming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Middleton, Wisconsin 53562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special counsel in the State of Florida (the “</w:t>
      </w:r>
      <w:r>
        <w:rPr>
          <w:rFonts w:ascii="Arial" w:cs="Arial" w:eastAsia="Arial" w:hAnsi="Arial"/>
          <w:sz w:val="16"/>
          <w:szCs w:val="16"/>
          <w:u w:val="single" w:color="auto"/>
          <w:color w:val="auto"/>
        </w:rPr>
        <w:t>State</w:t>
      </w:r>
      <w:r>
        <w:rPr>
          <w:rFonts w:ascii="Arial" w:cs="Arial" w:eastAsia="Arial" w:hAnsi="Arial"/>
          <w:sz w:val="16"/>
          <w:szCs w:val="16"/>
          <w:color w:val="auto"/>
        </w:rPr>
        <w:t>”) to Salix Animal Health, LLC, a Florida limited liability company (“</w:t>
      </w:r>
      <w:r>
        <w:rPr>
          <w:rFonts w:ascii="Arial" w:cs="Arial" w:eastAsia="Arial" w:hAnsi="Arial"/>
          <w:sz w:val="16"/>
          <w:szCs w:val="16"/>
          <w:u w:val="single" w:color="auto"/>
          <w:color w:val="auto"/>
        </w:rPr>
        <w:t>Salix</w:t>
      </w:r>
      <w:r>
        <w:rPr>
          <w:rFonts w:ascii="Arial" w:cs="Arial" w:eastAsia="Arial" w:hAnsi="Arial"/>
          <w:sz w:val="16"/>
          <w:szCs w:val="16"/>
          <w:color w:val="auto"/>
        </w:rPr>
        <w:t>” 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xml:space="preserve">”), in connection with the documents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Documents</w:t>
      </w:r>
      <w:r>
        <w:rPr>
          <w:rFonts w:ascii="Arial" w:cs="Arial" w:eastAsia="Arial" w:hAnsi="Arial"/>
          <w:sz w:val="17"/>
          <w:szCs w:val="17"/>
          <w:color w:val="auto"/>
        </w:rPr>
        <w:t>”) and the Registration Statement on Form S-1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relating to the offer and sale of an indeterminate amount of Spectrum Brands, Inc.’s (“</w:t>
      </w:r>
      <w:r>
        <w:rPr>
          <w:rFonts w:ascii="Arial" w:cs="Arial" w:eastAsia="Arial" w:hAnsi="Arial"/>
          <w:sz w:val="16"/>
          <w:szCs w:val="16"/>
          <w:u w:val="single" w:color="auto"/>
          <w:color w:val="auto"/>
        </w:rPr>
        <w:t>Spectrum</w:t>
      </w:r>
      <w:r>
        <w:rPr>
          <w:rFonts w:ascii="Arial" w:cs="Arial" w:eastAsia="Arial" w:hAnsi="Arial"/>
          <w:sz w:val="16"/>
          <w:szCs w:val="16"/>
          <w:color w:val="auto"/>
        </w:rPr>
        <w:t>”) 6.375% Senior Notes due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2020 Notes</w:t>
      </w:r>
      <w:r>
        <w:rPr>
          <w:rFonts w:ascii="Arial" w:cs="Arial" w:eastAsia="Arial" w:hAnsi="Arial"/>
          <w:sz w:val="16"/>
          <w:szCs w:val="16"/>
          <w:color w:val="auto"/>
        </w:rPr>
        <w:t>”), its 6.625% Senior Notes due 2022 (the “</w:t>
      </w:r>
      <w:r>
        <w:rPr>
          <w:rFonts w:ascii="Arial" w:cs="Arial" w:eastAsia="Arial" w:hAnsi="Arial"/>
          <w:sz w:val="16"/>
          <w:szCs w:val="16"/>
          <w:u w:val="single" w:color="auto"/>
          <w:color w:val="auto"/>
        </w:rPr>
        <w:t>2022 Notes</w:t>
      </w:r>
      <w:r>
        <w:rPr>
          <w:rFonts w:ascii="Arial" w:cs="Arial" w:eastAsia="Arial" w:hAnsi="Arial"/>
          <w:sz w:val="16"/>
          <w:szCs w:val="16"/>
          <w:color w:val="auto"/>
        </w:rPr>
        <w:t>”), its 6.125% Senior Notes due 2024 (the “</w:t>
      </w:r>
      <w:r>
        <w:rPr>
          <w:rFonts w:ascii="Arial" w:cs="Arial" w:eastAsia="Arial" w:hAnsi="Arial"/>
          <w:sz w:val="16"/>
          <w:szCs w:val="16"/>
          <w:u w:val="single" w:color="auto"/>
          <w:color w:val="auto"/>
        </w:rPr>
        <w:t>2024 Notes</w:t>
      </w:r>
      <w:r>
        <w:rPr>
          <w:rFonts w:ascii="Arial" w:cs="Arial" w:eastAsia="Arial" w:hAnsi="Arial"/>
          <w:sz w:val="16"/>
          <w:szCs w:val="16"/>
          <w:color w:val="auto"/>
        </w:rPr>
        <w:t>”) and its 5.750% Senior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2025 (the “</w:t>
      </w:r>
      <w:r>
        <w:rPr>
          <w:rFonts w:ascii="Arial" w:cs="Arial" w:eastAsia="Arial" w:hAnsi="Arial"/>
          <w:sz w:val="17"/>
          <w:szCs w:val="17"/>
          <w:u w:val="single" w:color="auto"/>
          <w:color w:val="auto"/>
        </w:rPr>
        <w:t>2025 Notes</w:t>
      </w:r>
      <w:r>
        <w:rPr>
          <w:rFonts w:ascii="Arial" w:cs="Arial" w:eastAsia="Arial" w:hAnsi="Arial"/>
          <w:sz w:val="17"/>
          <w:szCs w:val="17"/>
          <w:color w:val="auto"/>
        </w:rPr>
        <w:t>” and, collectively with the 2020 Notes, the 2022 Notes and the 2024 Notes, the “</w:t>
      </w:r>
      <w:r>
        <w:rPr>
          <w:rFonts w:ascii="Arial" w:cs="Arial" w:eastAsia="Arial" w:hAnsi="Arial"/>
          <w:sz w:val="17"/>
          <w:szCs w:val="17"/>
          <w:u w:val="single" w:color="auto"/>
          <w:color w:val="auto"/>
        </w:rPr>
        <w:t>Notes</w:t>
      </w:r>
      <w:r>
        <w:rPr>
          <w:rFonts w:ascii="Arial" w:cs="Arial" w:eastAsia="Arial" w:hAnsi="Arial"/>
          <w:sz w:val="17"/>
          <w:szCs w:val="17"/>
          <w:color w:val="auto"/>
        </w:rPr>
        <w:t>”) and guarantees of the Notes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Guarantor (the “</w:t>
      </w:r>
      <w:r>
        <w:rPr>
          <w:rFonts w:ascii="Arial" w:cs="Arial" w:eastAsia="Arial" w:hAnsi="Arial"/>
          <w:sz w:val="18"/>
          <w:szCs w:val="18"/>
          <w:u w:val="single" w:color="auto"/>
          <w:color w:val="auto"/>
        </w:rPr>
        <w:t>Guarantees</w:t>
      </w:r>
      <w:r>
        <w:rPr>
          <w:rFonts w:ascii="Arial" w:cs="Arial" w:eastAsia="Arial" w:hAnsi="Arial"/>
          <w:sz w:val="18"/>
          <w:szCs w:val="18"/>
          <w:color w:val="auto"/>
        </w:rPr>
        <w:t>”) in connection with ongoing market-making transactions in the Notes by and through affiliates of the Company.</w:t>
      </w:r>
    </w:p>
    <w:p>
      <w:pPr>
        <w:spacing w:after="0" w:line="21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2020 Notes and the 2022 Notes and related guarantees were issued pursuant to that certain Indenture dated November 16, 2012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2020/2022 Notes Indenture</w:t>
      </w:r>
      <w:r>
        <w:rPr>
          <w:rFonts w:ascii="Arial" w:cs="Arial" w:eastAsia="Arial" w:hAnsi="Arial"/>
          <w:sz w:val="18"/>
          <w:szCs w:val="18"/>
          <w:color w:val="auto"/>
        </w:rPr>
        <w:t>”), by and between Spectrum Brands Escrow Corp. and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as supplemented by the Supplemental Indenture dated December 17, 2012, as further supplemented by the Supplemental Indenture dated March 5, 2014, as further supplemented by the Supplemental Indenture dated October 16, 2014, as further supplemented by the Supplemental Indenture dated February 24, 2015, to which the Guarantor is a party, and as further supplemented by the Supplemental Indenture dated June 23, 2015 (collectively, the “</w:t>
      </w:r>
      <w:r>
        <w:rPr>
          <w:rFonts w:ascii="Arial" w:cs="Arial" w:eastAsia="Arial" w:hAnsi="Arial"/>
          <w:sz w:val="18"/>
          <w:szCs w:val="18"/>
          <w:u w:val="single" w:color="auto"/>
          <w:color w:val="auto"/>
        </w:rPr>
        <w:t>2020/2022 Notes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Supplemental Indentures</w:t>
      </w:r>
      <w:r>
        <w:rPr>
          <w:rFonts w:ascii="Arial" w:cs="Arial" w:eastAsia="Arial" w:hAnsi="Arial"/>
          <w:sz w:val="18"/>
          <w:szCs w:val="18"/>
          <w:color w:val="auto"/>
        </w:rPr>
        <w:t>”).</w:t>
      </w:r>
    </w:p>
    <w:p>
      <w:pPr>
        <w:spacing w:after="0" w:line="19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2024 Notes and related guarantees were issued pursuant to that certain Indenture dated December 4, 2014 (the “</w:t>
      </w:r>
      <w:r>
        <w:rPr>
          <w:rFonts w:ascii="Arial" w:cs="Arial" w:eastAsia="Arial" w:hAnsi="Arial"/>
          <w:sz w:val="18"/>
          <w:szCs w:val="18"/>
          <w:u w:val="single" w:color="auto"/>
          <w:color w:val="auto"/>
        </w:rPr>
        <w:t>Initial 2024 Notes Indenture</w:t>
      </w:r>
      <w:r>
        <w:rPr>
          <w:rFonts w:ascii="Arial" w:cs="Arial" w:eastAsia="Arial" w:hAnsi="Arial"/>
          <w:sz w:val="18"/>
          <w:szCs w:val="18"/>
          <w:color w:val="auto"/>
        </w:rPr>
        <w:t>”) among Spectrum, the Trustee, and the guarantors party thereto, as supplemented by the Supplemental Indenture dated February 24, 2015, to which the Guarantor is a party, and as further supplemented by the Supplemental Indenture dated June 23, 2015 (collectively, the “</w:t>
      </w:r>
      <w:r>
        <w:rPr>
          <w:rFonts w:ascii="Arial" w:cs="Arial" w:eastAsia="Arial" w:hAnsi="Arial"/>
          <w:sz w:val="18"/>
          <w:szCs w:val="18"/>
          <w:u w:val="single" w:color="auto"/>
          <w:color w:val="auto"/>
        </w:rPr>
        <w:t>2024 Notes Supplemental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Indentures</w:t>
      </w:r>
      <w:r>
        <w:rPr>
          <w:rFonts w:ascii="Arial" w:cs="Arial" w:eastAsia="Arial" w:hAnsi="Arial"/>
          <w:sz w:val="18"/>
          <w:szCs w:val="18"/>
          <w:color w:val="auto"/>
        </w:rPr>
        <w:t>”).</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2025 Notes and related guarantees were issued pursuant to that certain Indenture dated May 20, 2015 (the “</w:t>
      </w:r>
      <w:r>
        <w:rPr>
          <w:rFonts w:ascii="Arial" w:cs="Arial" w:eastAsia="Arial" w:hAnsi="Arial"/>
          <w:sz w:val="18"/>
          <w:szCs w:val="18"/>
          <w:u w:val="single" w:color="auto"/>
          <w:color w:val="auto"/>
        </w:rPr>
        <w:t>Initial 2025 Notes Indenture</w:t>
      </w:r>
      <w:r>
        <w:rPr>
          <w:rFonts w:ascii="Arial" w:cs="Arial" w:eastAsia="Arial" w:hAnsi="Arial"/>
          <w:sz w:val="18"/>
          <w:szCs w:val="18"/>
          <w:color w:val="auto"/>
        </w:rPr>
        <w:t>” and, together with the Initial 2020/2022</w:t>
      </w:r>
    </w:p>
    <w:p>
      <w:pPr>
        <w:sectPr>
          <w:pgSz w:w="11900" w:h="16838" w:orient="portrait"/>
          <w:cols w:equalWidth="0" w:num="1">
            <w:col w:w="11420"/>
          </w:cols>
          <w:pgMar w:left="240" w:top="121" w:right="239" w:bottom="1440" w:gutter="0" w:footer="0" w:header="0"/>
          <w:type w:val="continuous"/>
        </w:sectPr>
      </w:pPr>
    </w:p>
    <w:bookmarkStart w:id="466" w:name="page467"/>
    <w:bookmarkEnd w:id="466"/>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Indenture and the Initial 2024 Notes Indenture, the “</w:t>
      </w:r>
      <w:r>
        <w:rPr>
          <w:rFonts w:ascii="Arial" w:cs="Arial" w:eastAsia="Arial" w:hAnsi="Arial"/>
          <w:sz w:val="18"/>
          <w:szCs w:val="18"/>
          <w:u w:val="single" w:color="auto"/>
          <w:color w:val="auto"/>
        </w:rPr>
        <w:t>Initial Indentures</w:t>
      </w:r>
      <w:r>
        <w:rPr>
          <w:rFonts w:ascii="Arial" w:cs="Arial" w:eastAsia="Arial" w:hAnsi="Arial"/>
          <w:sz w:val="18"/>
          <w:szCs w:val="18"/>
          <w:color w:val="auto"/>
        </w:rPr>
        <w:t>”) among Spectrum, the Trustee and the guarantors party thereto, including, without limitation, the Guarantor, as supplemented by the Supplemental Indenture dated June 23, 2015 (the “</w:t>
      </w:r>
      <w:r>
        <w:rPr>
          <w:rFonts w:ascii="Arial" w:cs="Arial" w:eastAsia="Arial" w:hAnsi="Arial"/>
          <w:sz w:val="18"/>
          <w:szCs w:val="18"/>
          <w:u w:val="single" w:color="auto"/>
          <w:color w:val="auto"/>
        </w:rPr>
        <w:t>2025 Notes Supplemental Indenture,</w:t>
      </w:r>
      <w:r>
        <w:rPr>
          <w:rFonts w:ascii="Arial" w:cs="Arial" w:eastAsia="Arial" w:hAnsi="Arial"/>
          <w:sz w:val="18"/>
          <w:szCs w:val="18"/>
          <w:color w:val="auto"/>
        </w:rPr>
        <w:t>” to which the Guarantor is a party, and, together with the 2020/2022 Notes Supplemental Indentures and the 2024 Notes Supplemental Indentures, the “</w:t>
      </w:r>
      <w:r>
        <w:rPr>
          <w:rFonts w:ascii="Arial" w:cs="Arial" w:eastAsia="Arial" w:hAnsi="Arial"/>
          <w:sz w:val="18"/>
          <w:szCs w:val="18"/>
          <w:u w:val="single" w:color="auto"/>
          <w:color w:val="auto"/>
        </w:rPr>
        <w:t>Supplemental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Indentures</w:t>
      </w:r>
      <w:r>
        <w:rPr>
          <w:rFonts w:ascii="Arial" w:cs="Arial" w:eastAsia="Arial" w:hAnsi="Arial"/>
          <w:sz w:val="18"/>
          <w:szCs w:val="18"/>
          <w:color w:val="auto"/>
        </w:rPr>
        <w:t>” and, together with the Initial Indentures, the “</w:t>
      </w:r>
      <w:r>
        <w:rPr>
          <w:rFonts w:ascii="Arial" w:cs="Arial" w:eastAsia="Arial" w:hAnsi="Arial"/>
          <w:sz w:val="18"/>
          <w:szCs w:val="18"/>
          <w:u w:val="single" w:color="auto"/>
          <w:color w:val="auto"/>
        </w:rPr>
        <w:t>Indentures</w:t>
      </w:r>
      <w:r>
        <w:rPr>
          <w:rFonts w:ascii="Arial" w:cs="Arial" w:eastAsia="Arial" w:hAnsi="Arial"/>
          <w:sz w:val="18"/>
          <w:szCs w:val="18"/>
          <w:color w:val="auto"/>
        </w:rPr>
        <w:t>”). Capitalized terms used herein and not otherwise defined have the meanings ascribed to them in the applicable Indenture.</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examined copies, identified to our satisfaction, of: (i) the articles of organization of Salix (the “</w:t>
      </w:r>
      <w:r>
        <w:rPr>
          <w:rFonts w:ascii="Arial" w:cs="Arial" w:eastAsia="Arial" w:hAnsi="Arial"/>
          <w:sz w:val="18"/>
          <w:szCs w:val="18"/>
          <w:u w:val="single" w:color="auto"/>
          <w:color w:val="auto"/>
        </w:rPr>
        <w:t>Salix Articles</w:t>
      </w:r>
      <w:r>
        <w:rPr>
          <w:rFonts w:ascii="Arial" w:cs="Arial" w:eastAsia="Arial" w:hAnsi="Arial"/>
          <w:sz w:val="18"/>
          <w:szCs w:val="18"/>
          <w:color w:val="auto"/>
        </w:rPr>
        <w:t>”) as certified by the Division of Corporations of the Florida Department of State (the “</w:t>
      </w:r>
      <w:r>
        <w:rPr>
          <w:rFonts w:ascii="Arial" w:cs="Arial" w:eastAsia="Arial" w:hAnsi="Arial"/>
          <w:sz w:val="18"/>
          <w:szCs w:val="18"/>
          <w:u w:val="single" w:color="auto"/>
          <w:color w:val="auto"/>
        </w:rPr>
        <w:t>Filing Office</w:t>
      </w:r>
      <w:r>
        <w:rPr>
          <w:rFonts w:ascii="Arial" w:cs="Arial" w:eastAsia="Arial" w:hAnsi="Arial"/>
          <w:sz w:val="18"/>
          <w:szCs w:val="18"/>
          <w:color w:val="auto"/>
        </w:rPr>
        <w:t>”) on January 13, 2016; (ii) the operating agreement of Salix as certified by the Secretary of Salix on September 21, 2015 (the “</w:t>
      </w:r>
      <w:r>
        <w:rPr>
          <w:rFonts w:ascii="Arial" w:cs="Arial" w:eastAsia="Arial" w:hAnsi="Arial"/>
          <w:sz w:val="18"/>
          <w:szCs w:val="18"/>
          <w:u w:val="single" w:color="auto"/>
          <w:color w:val="auto"/>
        </w:rPr>
        <w:t>Salix Operating Agreement</w:t>
      </w:r>
      <w:r>
        <w:rPr>
          <w:rFonts w:ascii="Arial" w:cs="Arial" w:eastAsia="Arial" w:hAnsi="Arial"/>
          <w:sz w:val="18"/>
          <w:szCs w:val="18"/>
          <w:color w:val="auto"/>
        </w:rPr>
        <w:t>,” and together with the Salix Articles, the “</w:t>
      </w:r>
      <w:r>
        <w:rPr>
          <w:rFonts w:ascii="Arial" w:cs="Arial" w:eastAsia="Arial" w:hAnsi="Arial"/>
          <w:sz w:val="18"/>
          <w:szCs w:val="18"/>
          <w:u w:val="single" w:color="auto"/>
          <w:color w:val="auto"/>
        </w:rPr>
        <w:t>Salix Organizational Documents</w:t>
      </w:r>
      <w:r>
        <w:rPr>
          <w:rFonts w:ascii="Arial" w:cs="Arial" w:eastAsia="Arial" w:hAnsi="Arial"/>
          <w:sz w:val="18"/>
          <w:szCs w:val="18"/>
          <w:color w:val="auto"/>
        </w:rPr>
        <w:t>”); (iii) the limited liability company resolutions of Salix dated as of February 24, 2015 and May 14, 2015; (iv) the certificate of status of Salix dated January 12, 2015 issued by the Filing Office; and (v) that certain Omnibus Officer’s Certificate dated as of September 21, 2015 of Spectrum, the Guarantor and certain other subsidiaries of Spectrum delivered in connection with the Documents, from Nathan E. Fagre, as Senior Vice President, Secretary and General Counsel of the Guarantor (the “</w:t>
      </w:r>
      <w:r>
        <w:rPr>
          <w:rFonts w:ascii="Arial" w:cs="Arial" w:eastAsia="Arial" w:hAnsi="Arial"/>
          <w:sz w:val="18"/>
          <w:szCs w:val="18"/>
          <w:u w:val="single" w:color="auto"/>
          <w:color w:val="auto"/>
        </w:rPr>
        <w:t>Omnibus Certificate</w:t>
      </w:r>
      <w:r>
        <w:rPr>
          <w:rFonts w:ascii="Arial" w:cs="Arial" w:eastAsia="Arial" w:hAnsi="Arial"/>
          <w:sz w:val="18"/>
          <w:szCs w:val="18"/>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the opinions expressed below, we have assumed, with your permission and without independent investigation:</w:t>
      </w:r>
    </w:p>
    <w:p>
      <w:pPr>
        <w:spacing w:after="0" w:line="117" w:lineRule="exact"/>
        <w:rPr>
          <w:sz w:val="20"/>
          <w:szCs w:val="20"/>
          <w:color w:val="auto"/>
        </w:rPr>
      </w:pPr>
    </w:p>
    <w:p>
      <w:pPr>
        <w:ind w:left="900" w:right="700"/>
        <w:spacing w:after="0" w:line="397" w:lineRule="auto"/>
        <w:rPr>
          <w:sz w:val="20"/>
          <w:szCs w:val="20"/>
          <w:color w:val="auto"/>
        </w:rPr>
      </w:pPr>
      <w:r>
        <w:rPr>
          <w:rFonts w:ascii="Arial" w:cs="Arial" w:eastAsia="Arial" w:hAnsi="Arial"/>
          <w:sz w:val="17"/>
          <w:szCs w:val="17"/>
          <w:color w:val="auto"/>
        </w:rPr>
        <w:t>a. the valid existence and good standing in the jurisdiction of its organization of each party to the Documents (other than the Guarantor); b. the due authorization, execution and delivery of the Documents by each party thereto (other than the Guarantor);</w:t>
      </w:r>
    </w:p>
    <w:p>
      <w:pPr>
        <w:spacing w:after="0" w:line="2"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c. the power and authority of each party to the Documents (other than the Guarantor) to execute, deliver and perform its obligations under the same, and that such execution, delivery and performance do not conflict with, contravene, violate or constitute a default under such party’s certificate or articles of incorporation, bylaws or other organizational documents;</w:t>
      </w:r>
    </w:p>
    <w:p>
      <w:pPr>
        <w:spacing w:after="0" w:line="73"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color w:val="auto"/>
        </w:rPr>
        <w:t>d. that the execution and delivery of, and performance of its respective obligations under each Document to which it is a party by each party to the Documents (other than the Guarantor) do not conflict with, contravene, violate or constitute a default under (i) any indenture, instrument or other agreement to which such party or its property or assets is subject or any contractual or legal restriction having applicability to such party or such property or assets, (ii) any rule, law or regulation of any court or regulatory or governmental authority to which such party is subject or (iii) any writ, order, judgment or decree of any court or regulatory or governmental authority to which such party is subject or by which any of its properties or assets are bound;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467" w:name="page468"/>
    <w:bookmarkEnd w:id="467"/>
    <w:p>
      <w:pPr>
        <w:ind w:left="900" w:right="2200"/>
        <w:spacing w:after="0" w:line="4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the authority of all individuals signing the Documents on behalf of the parties thereto (other than the Guarantor); f. the legal capacity of all natural persons, including natural persons acting on behalf of a business entity; and</w:t>
      </w:r>
    </w:p>
    <w:p>
      <w:pPr>
        <w:spacing w:after="0" w:line="1" w:lineRule="exact"/>
        <w:rPr>
          <w:sz w:val="20"/>
          <w:szCs w:val="20"/>
          <w:color w:val="auto"/>
        </w:rPr>
      </w:pPr>
    </w:p>
    <w:p>
      <w:pPr>
        <w:ind w:left="460" w:right="120" w:firstLine="438"/>
        <w:spacing w:after="0" w:line="277" w:lineRule="auto"/>
        <w:rPr>
          <w:sz w:val="20"/>
          <w:szCs w:val="20"/>
          <w:color w:val="auto"/>
        </w:rPr>
      </w:pPr>
      <w:r>
        <w:rPr>
          <w:rFonts w:ascii="Arial" w:cs="Arial" w:eastAsia="Arial" w:hAnsi="Arial"/>
          <w:sz w:val="18"/>
          <w:szCs w:val="18"/>
          <w:color w:val="auto"/>
        </w:rPr>
        <w:t>g. that there are no records, agreements or understandings between any of the parties to the Documents that would alter the agreements set forth therein.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relied on the Omnibus Certificate and have assumed that Nathan E. Fagre and John Beattie, the authorized officers of the Spectrum, the sole member of the Guarantor, executing the written consents referred to therein, were duly elected and appointed by Spectrum in accordance with applicable laws and Spectrum’s Organizational Documents and that the persons whose incumbencies are certified in the Omnibus Certificate have been duly elected or appointed in accordance with applicable laws and the Salix Organizational Documents.</w:t>
      </w:r>
    </w:p>
    <w:p>
      <w:pPr>
        <w:spacing w:after="0" w:line="18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have also assumed the genuineness of all signatures, the authenticity of all writings, certificates, instruments and records submitted to us as originals, the conformity to originals of all such writings, certificates, instruments and records submitted to us as certified, conformed or photostatic copies, the authenticity of the originals of such copies, and the truthfulness of all statements of fact set forth therein.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on the foregoing and subject to the limitations, assumptions qualifications, and exclusions set forth herein, we are of the opinion that:</w:t>
      </w:r>
    </w:p>
    <w:p>
      <w:pPr>
        <w:spacing w:after="0" w:line="129" w:lineRule="exact"/>
        <w:rPr>
          <w:sz w:val="20"/>
          <w:szCs w:val="20"/>
          <w:color w:val="auto"/>
        </w:rPr>
      </w:pPr>
    </w:p>
    <w:p>
      <w:pPr>
        <w:ind w:left="1080" w:hanging="177"/>
        <w:spacing w:after="0"/>
        <w:tabs>
          <w:tab w:leader="none" w:pos="10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Guarantor is a limited liability company organized under Florida law and its limited liability company status is active.</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07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Guarantor has all the requisite limited liability company power and authority to execute and deliver the Documents to which it is a party and to perform its obligations under the Documents.</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07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All necessary limited liability company actions have been taken by the Guarantor to authorize the execution and delivery by the Guarantor of, and performance by the Guarantor of its obligations under, the Documents to which it is a party.</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07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Other than as contemplated by the Documents, no further consent, approval, authorization or other action by, or filing with, any governmental authority of the State is required for the execution and delivery by the Guarantor of any Documents to which it is a party or the performance of its obligations thereunder.</w:t>
      </w:r>
    </w:p>
    <w:p>
      <w:pPr>
        <w:spacing w:after="0" w:line="73" w:lineRule="exact"/>
        <w:rPr>
          <w:rFonts w:ascii="Arial" w:cs="Arial" w:eastAsia="Arial" w:hAnsi="Arial"/>
          <w:sz w:val="18"/>
          <w:szCs w:val="18"/>
          <w:color w:val="auto"/>
        </w:rPr>
      </w:pPr>
    </w:p>
    <w:p>
      <w:pPr>
        <w:ind w:left="460" w:right="40" w:firstLine="443"/>
        <w:spacing w:after="0" w:line="277" w:lineRule="auto"/>
        <w:tabs>
          <w:tab w:leader="none" w:pos="107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execution and delivery by the Guarantor of the Documents to which it is a party and the performance of its obligations thereunder will not violate the Salix Organizational Documents or any Applicable Law.</w:t>
      </w:r>
    </w:p>
    <w:p>
      <w:pPr>
        <w:spacing w:after="0" w:line="62" w:lineRule="exact"/>
        <w:rPr>
          <w:rFonts w:ascii="Arial" w:cs="Arial" w:eastAsia="Arial" w:hAnsi="Arial"/>
          <w:sz w:val="18"/>
          <w:szCs w:val="18"/>
          <w:color w:val="auto"/>
        </w:rPr>
      </w:pPr>
    </w:p>
    <w:p>
      <w:pPr>
        <w:ind w:left="460" w:right="560" w:firstLine="443"/>
        <w:spacing w:after="0" w:line="277" w:lineRule="auto"/>
        <w:tabs>
          <w:tab w:leader="none" w:pos="107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Documents to which the Guarantor is a party have been duly executed and delivered by the Guarantor in accordance with the Salix Organizational Documents.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80"/>
          </w:cols>
          <w:pgMar w:left="240" w:top="273" w:right="279" w:bottom="1440" w:gutter="0" w:footer="0" w:header="0"/>
        </w:sectPr>
      </w:pPr>
    </w:p>
    <w:bookmarkStart w:id="468" w:name="page469"/>
    <w:bookmarkEnd w:id="468"/>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opinions are strictly limited to the matters stated herein, and no other or more extensive opinion is intended or implied or to be inferred beyond the matters expressly stated herein.</w:t>
      </w:r>
    </w:p>
    <w:p>
      <w:pPr>
        <w:spacing w:after="0" w:line="17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For purposes of the opinions set forth above, “Applicable Law” means the Florida Revised Limited Liability Company Act and those laws, statutes, rules and regulations of the State which, in our experience, are normally applicable to transactions of the type contemplated by the Documents and would normally be applicable to domestic limited liability companies transacting business in the State that are not engaged in regulated business activities, but without our having made any special investigation concerning the applicability of any other law, statute, rule or regulation.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set forth above are subject to the following qualifications:</w:t>
      </w:r>
    </w:p>
    <w:p>
      <w:pPr>
        <w:spacing w:after="0" w:line="131" w:lineRule="exact"/>
        <w:rPr>
          <w:sz w:val="20"/>
          <w:szCs w:val="20"/>
          <w:color w:val="auto"/>
        </w:rPr>
      </w:pPr>
    </w:p>
    <w:p>
      <w:pPr>
        <w:ind w:left="460" w:right="60" w:hanging="452"/>
        <w:spacing w:after="0" w:line="302" w:lineRule="auto"/>
        <w:tabs>
          <w:tab w:leader="none" w:pos="46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Our opinions are limited to the internal laws of the State and we express no opinion whatsoever with respect to any other laws. Each of our opinions is also subject to the effect of (i) bankruptcy, insolvency, fraudulent transfer and conveyance, reorganization, receivership, moratorium, failure of consideration, illegality and other similar laws, and (ii) general principles of equity, whether applied by a court of law or equity. Our advice on each legal issue in this letter represents our opinion as to how that issue would be resolved were it to be considered by the highest court of the State.</w:t>
      </w:r>
    </w:p>
    <w:p>
      <w:pPr>
        <w:spacing w:after="0" w:line="59"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Our opinion in paragraph 1 above is based solely on our review of the certificate of status issued by the Filing Officer as of the date of certification. We have made no additional investigation after the date of such certification in rendering our opinion in paragraph 1.</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We express no opinion as to: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legality, validity, binding effect or enforceability of the Documents as to any individual or entity;</w:t>
      </w:r>
    </w:p>
    <w:p>
      <w:pPr>
        <w:spacing w:after="0" w:line="130" w:lineRule="exact"/>
        <w:rPr>
          <w:rFonts w:ascii="Arial" w:cs="Arial" w:eastAsia="Arial" w:hAnsi="Arial"/>
          <w:sz w:val="18"/>
          <w:szCs w:val="18"/>
          <w:color w:val="auto"/>
        </w:rPr>
      </w:pPr>
    </w:p>
    <w:p>
      <w:pPr>
        <w:ind w:left="900" w:hanging="446"/>
        <w:spacing w:after="0" w:line="288" w:lineRule="auto"/>
        <w:tabs>
          <w:tab w:leader="none" w:pos="90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compliance with, or any governmental or regulatory filing, approval, authorization, license or consent required by or under, any (a) Federal or state anti-fraud laws; (b) Federal or state environmental law; (c) Federal or state antitrust and unfair competition law; (d) Federal or state taxation law; (e) Federal or state worker health or safety, zoning or permitting or land use matter; (f) Federal or state patent, trademark or copyright</w:t>
      </w:r>
    </w:p>
    <w:p>
      <w:pPr>
        <w:ind w:left="900"/>
        <w:spacing w:after="0"/>
        <w:rPr>
          <w:sz w:val="20"/>
          <w:szCs w:val="20"/>
          <w:color w:val="auto"/>
        </w:rPr>
      </w:pPr>
      <w:r>
        <w:rPr>
          <w:rFonts w:ascii="Arial" w:cs="Arial" w:eastAsia="Arial" w:hAnsi="Arial"/>
          <w:sz w:val="17"/>
          <w:szCs w:val="17"/>
          <w:color w:val="auto"/>
        </w:rPr>
        <w:t>statute, rule or regulation; (g) statutory or other requirement relating to the disposition of hazardous waste or environmental protection;</w:t>
      </w:r>
    </w:p>
    <w:p>
      <w:pPr>
        <w:spacing w:after="0" w:line="21" w:lineRule="exact"/>
        <w:rPr>
          <w:sz w:val="20"/>
          <w:szCs w:val="20"/>
          <w:color w:val="auto"/>
        </w:rPr>
      </w:pPr>
    </w:p>
    <w:p>
      <w:pPr>
        <w:ind w:left="1160" w:hanging="261"/>
        <w:spacing w:after="0"/>
        <w:tabs>
          <w:tab w:leader="none" w:pos="11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Federal or state receivership or conservatorship law; (i) Federal or state securities law; (j) Federal or state labor or employment law;</w:t>
      </w:r>
    </w:p>
    <w:p>
      <w:pPr>
        <w:spacing w:after="0" w:line="20" w:lineRule="exact"/>
        <w:rPr>
          <w:rFonts w:ascii="Arial" w:cs="Arial" w:eastAsia="Arial" w:hAnsi="Arial"/>
          <w:sz w:val="17"/>
          <w:szCs w:val="17"/>
          <w:color w:val="auto"/>
        </w:rPr>
      </w:pPr>
    </w:p>
    <w:p>
      <w:pPr>
        <w:ind w:left="1160" w:hanging="261"/>
        <w:spacing w:after="0"/>
        <w:tabs>
          <w:tab w:leader="none" w:pos="11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Federal or state labor, employee benefits or pension law; (l) Federal or state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60"/>
          </w:cols>
          <w:pgMar w:left="240" w:top="273" w:right="299" w:bottom="1440" w:gutter="0" w:footer="0" w:header="0"/>
        </w:sectPr>
      </w:pPr>
    </w:p>
    <w:bookmarkStart w:id="469" w:name="page470"/>
    <w:bookmarkEnd w:id="469"/>
    <w:p>
      <w:pPr>
        <w:ind w:left="9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maritime or aviation laws; (m) Federal or state laws concerning public utilities; (n) Federal or state racketeering laws; (o) Federal or state laws relating to communications; (p) the statutes, ordinances, administrative decisions and rules and regulations of counties, towns, municipalities and other political subdivisions (whether created or enabled through legislative action at the Federal, state or regional level); (q) zoning, health, safety, building, environmental, permitting, land use or subdivision law, ordinance, code, rule or regulation; (r) the Equal Credit Opportunity Act;</w:t>
      </w:r>
    </w:p>
    <w:p>
      <w:pPr>
        <w:spacing w:after="0" w:line="2" w:lineRule="exact"/>
        <w:rPr>
          <w:sz w:val="20"/>
          <w:szCs w:val="20"/>
          <w:color w:val="auto"/>
        </w:rPr>
      </w:pPr>
    </w:p>
    <w:p>
      <w:pPr>
        <w:ind w:left="920" w:right="200" w:hanging="7"/>
        <w:spacing w:after="0" w:line="254" w:lineRule="auto"/>
        <w:tabs>
          <w:tab w:leader="none" w:pos="1155" w:val="left"/>
        </w:tabs>
        <w:numPr>
          <w:ilvl w:val="2"/>
          <w:numId w:val="409"/>
        </w:numPr>
        <w:rPr>
          <w:rFonts w:ascii="Arial" w:cs="Arial" w:eastAsia="Arial" w:hAnsi="Arial"/>
          <w:sz w:val="18"/>
          <w:szCs w:val="18"/>
          <w:color w:val="auto"/>
        </w:rPr>
      </w:pPr>
      <w:r>
        <w:rPr>
          <w:rFonts w:ascii="Arial" w:cs="Arial" w:eastAsia="Arial" w:hAnsi="Arial"/>
          <w:sz w:val="18"/>
          <w:szCs w:val="18"/>
          <w:color w:val="auto"/>
        </w:rPr>
        <w:t>Federal or state laws and policies concerning (A) national and local emergencies, (B) possible judicial deference to acts of sovereign states, and (C) criminal and civil forfeiture laws; and (t) other state statutes of general application to the extent they provide for criminal prosecution (e.g., mail fraud and wire fraud statutes); and in the case of each of the foregoing in this paragraph (2), all rules and regulations promulgated thereunder or administrative or judicial decisions with respect thereto;</w:t>
      </w:r>
    </w:p>
    <w:p>
      <w:pPr>
        <w:spacing w:after="0" w:line="95" w:lineRule="exact"/>
        <w:rPr>
          <w:rFonts w:ascii="Arial" w:cs="Arial" w:eastAsia="Arial" w:hAnsi="Arial"/>
          <w:sz w:val="18"/>
          <w:szCs w:val="18"/>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compliance by the Guarantor with the various operating covenants in the Documents;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the effect of any law relating to the legal or regulatory status of any individual or entity.</w:t>
      </w:r>
    </w:p>
    <w:p>
      <w:pPr>
        <w:spacing w:after="0" w:line="130" w:lineRule="exact"/>
        <w:rPr>
          <w:rFonts w:ascii="Arial" w:cs="Arial" w:eastAsia="Arial" w:hAnsi="Arial"/>
          <w:sz w:val="18"/>
          <w:szCs w:val="18"/>
          <w:color w:val="auto"/>
        </w:rPr>
      </w:pPr>
    </w:p>
    <w:p>
      <w:pPr>
        <w:ind w:left="460" w:right="280" w:hanging="452"/>
        <w:spacing w:after="0" w:line="342" w:lineRule="auto"/>
        <w:tabs>
          <w:tab w:leader="none" w:pos="46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We have assumed without investigation that each of the Salix Organizational Documents we have reviewed is a true, accurate and complete copy of such document, and that each of the Salix Organizational Documents is in full force and effect and has not been amended or repealed.</w:t>
      </w:r>
    </w:p>
    <w:p>
      <w:pPr>
        <w:spacing w:after="0" w:line="12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We have made no examination and express no opinion with respect to any laws relating to terrorism or money-laundering, including (i) the “Uniting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Strengthening America by Providing Appropriate Tools Required to Intercept and Obstruct Terrorism Act of 2001” (Public Law 107-56) and</w:t>
      </w:r>
    </w:p>
    <w:p>
      <w:pPr>
        <w:spacing w:after="0" w:line="9" w:lineRule="exact"/>
        <w:rPr>
          <w:sz w:val="20"/>
          <w:szCs w:val="20"/>
          <w:color w:val="auto"/>
        </w:rPr>
      </w:pPr>
    </w:p>
    <w:p>
      <w:pPr>
        <w:ind w:right="460" w:firstLine="8"/>
        <w:spacing w:after="0" w:line="261" w:lineRule="auto"/>
        <w:tabs>
          <w:tab w:leader="none" w:pos="26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Executive Order No. 13224 on Terrorist Financing, effective September 24, 2001, relating to “Blocking Property and Prohibiting Transactions With Persons Who Commit, Threaten to Commit, or Support Terrorism.”</w:t>
      </w:r>
    </w:p>
    <w:p>
      <w:pPr>
        <w:spacing w:after="0" w:line="184"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have made no examination of and express no opinion as to the business, operations or financial condition of the Guarantor or any other individual or entity or the effect thereon of the transactions contemplated by the Documents. In this regard, we have assumed that the transactions contemplated under the Documents have been entered into by the parties thereto in good faith, that there is no actual intent to hinder, delay or defraud any present or future creditor of the Guarantor and that the Guarantor is not engaged in business with unreasonably small capital, is not insolvent under applicable Federal or state law and has not incurred debts beyond its ability to pay, as to which matters we understand you have satisfied yourself. We are not expressing any opinion as to the effect on the Documents if any such assumptions should be inaccurate or as to any matter for which an express opinion is not provided herein. We specifically disclaim any opinions by implication or inference.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380"/>
          </w:cols>
          <w:pgMar w:left="240" w:top="274" w:right="279" w:bottom="1440" w:gutter="0" w:footer="0" w:header="0"/>
        </w:sectPr>
      </w:pPr>
    </w:p>
    <w:bookmarkStart w:id="470" w:name="page471"/>
    <w:bookmarkEnd w:id="47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with respect to the opinions set forth herein, we have not rendered any legal advice to the Guarantor or any other individual or entity (or any individuals in their respective organizations) with respect to the Guarantor in connection with the transactions described above. We have not reviewed, we are not passing upon, and we do not assume any responsibility for the accuracy, completeness, sufficiency or fairness of any of the statements contained in the Documents or any related instruments.</w:t>
      </w:r>
    </w:p>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We hereby consent to the references in the Registration Statement to our firm under the caption “Legal Matters” and to the inclusion of this opinion as an exhibit to the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giving this consent, we do not thereby admit that we are within the category of persons whose consent is required under Section 7 of the Securities Act of 1933, or the rules and regulations of the Securities and Exchange Commission thereunder. This opinion is not a guarantee or warranty, or an opinion respecting matters of fact and should not be construed or relied on as such. The opinions expressed herein are as of the date hereof, and we undertake no responsibility to update this opinion after the date hereof and assume no responsibility for advising you of any changes with respect to any matters described in this opinion that may occur subsequent to the date hereof or with respect to the discovery subsequent to the date hereof of information not previously known to us pertaining to the events occurring prior to the date hereof.</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Quarles &amp; Brady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QUARLES &amp; BRADY LLP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80"/>
          </w:cols>
          <w:pgMar w:left="240" w:top="274" w:right="279" w:bottom="1440" w:gutter="0" w:footer="0" w:header="0"/>
        </w:sectPr>
      </w:pPr>
    </w:p>
    <w:bookmarkStart w:id="471" w:name="page472"/>
    <w:bookmarkEnd w:id="471"/>
    <w:p>
      <w:pPr>
        <w:jc w:val="right"/>
        <w:ind w:right="40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Guarantees (as defined in each respective Indenture) of the Guarantor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0219"/>
          </w:cols>
          <w:pgMar w:left="240" w:top="270" w:right="1440" w:bottom="1440" w:gutter="0" w:footer="0" w:header="0"/>
        </w:sectPr>
      </w:pPr>
    </w:p>
    <w:bookmarkStart w:id="472" w:name="page473"/>
    <w:bookmarkEnd w:id="472"/>
    <w:p>
      <w:pPr>
        <w:jc w:val="right"/>
        <w:spacing w:after="0"/>
        <w:rPr>
          <w:sz w:val="20"/>
          <w:szCs w:val="20"/>
          <w:color w:val="auto"/>
        </w:rPr>
      </w:pPr>
      <w:r>
        <w:rPr>
          <w:rFonts w:ascii="Arial" w:cs="Arial" w:eastAsia="Arial" w:hAnsi="Arial"/>
          <w:sz w:val="18"/>
          <w:szCs w:val="18"/>
          <w:b w:val="1"/>
          <w:bCs w:val="1"/>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6"/>
              </w:rPr>
              <w:t>8 in 1 Pet</w:t>
            </w:r>
          </w:p>
        </w:tc>
        <w:tc>
          <w:tcPr>
            <w:tcW w:w="7900" w:type="dxa"/>
            <w:vAlign w:val="bottom"/>
          </w:tcPr>
          <w:p>
            <w:pPr>
              <w:ind w:left="60"/>
              <w:spacing w:after="0" w:line="195" w:lineRule="exact"/>
              <w:rPr>
                <w:sz w:val="20"/>
                <w:szCs w:val="20"/>
                <w:color w:val="auto"/>
              </w:rPr>
            </w:pPr>
            <w:r>
              <w:rPr>
                <w:rFonts w:ascii="Arial" w:cs="Arial" w:eastAsia="Arial" w:hAnsi="Arial"/>
                <w:sz w:val="18"/>
                <w:szCs w:val="18"/>
                <w:color w:val="auto"/>
              </w:rPr>
              <w:t>Products GmbH</w:t>
            </w: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Germany</w:t>
            </w:r>
          </w:p>
        </w:tc>
        <w:tc>
          <w:tcPr>
            <w:tcW w:w="740" w:type="dxa"/>
            <w:vAlign w:val="bottom"/>
          </w:tcPr>
          <w:p>
            <w:pPr>
              <w:spacing w:after="0"/>
              <w:rPr>
                <w:sz w:val="16"/>
                <w:szCs w:val="16"/>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AA Group (US) – A LLC</w:t>
            </w:r>
          </w:p>
        </w:tc>
        <w:tc>
          <w:tcPr>
            <w:tcW w:w="1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AA Group (US) – B LLC</w:t>
            </w:r>
          </w:p>
        </w:tc>
        <w:tc>
          <w:tcPr>
            <w:tcW w:w="1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AAG UK Holding Ltd</w:t>
            </w:r>
          </w:p>
        </w:tc>
        <w:tc>
          <w:tcPr>
            <w:tcW w:w="1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AAG UK Parent Ltd</w:t>
            </w:r>
          </w:p>
        </w:tc>
        <w:tc>
          <w:tcPr>
            <w:tcW w:w="1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Anabasis Handelsgesellschaft GmbH</w:t>
            </w:r>
          </w:p>
        </w:tc>
        <w:tc>
          <w:tcPr>
            <w:tcW w:w="14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AO “Spectrum Brands” Russia</w:t>
            </w:r>
          </w:p>
        </w:tc>
        <w:tc>
          <w:tcPr>
            <w:tcW w:w="146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Applica Asia Limited.</w:t>
            </w:r>
          </w:p>
        </w:tc>
        <w:tc>
          <w:tcPr>
            <w:tcW w:w="14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Applica Manufacturing, S. de R.L de C.V.</w:t>
            </w:r>
          </w:p>
        </w:tc>
        <w:tc>
          <w:tcPr>
            <w:tcW w:w="14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Applica Mexico Holdings, Inc.</w:t>
            </w:r>
          </w:p>
        </w:tc>
        <w:tc>
          <w:tcPr>
            <w:tcW w:w="1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 (UK) LP</w:t>
            </w:r>
          </w:p>
        </w:tc>
        <w:tc>
          <w:tcPr>
            <w:tcW w:w="1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AutoGroup Inc.</w:t>
            </w:r>
          </w:p>
        </w:tc>
        <w:tc>
          <w:tcPr>
            <w:tcW w:w="1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AutoGroup Australia Pty Ltd</w:t>
            </w:r>
          </w:p>
        </w:tc>
        <w:tc>
          <w:tcPr>
            <w:tcW w:w="14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AutoGroup Canada ULC</w:t>
            </w:r>
          </w:p>
        </w:tc>
        <w:tc>
          <w:tcPr>
            <w:tcW w:w="14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AutoGroup HK Ltd</w:t>
            </w:r>
          </w:p>
        </w:tc>
        <w:tc>
          <w:tcPr>
            <w:tcW w:w="14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AutoGroup Malaysia Sdn. Bhd</w:t>
            </w:r>
          </w:p>
        </w:tc>
        <w:tc>
          <w:tcPr>
            <w:tcW w:w="14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AutoGroup New Zealand ULC</w:t>
            </w:r>
          </w:p>
        </w:tc>
        <w:tc>
          <w:tcPr>
            <w:tcW w:w="1460" w:type="dxa"/>
            <w:vAlign w:val="bottom"/>
            <w:gridSpan w:val="2"/>
          </w:tcPr>
          <w:p>
            <w:pPr>
              <w:spacing w:after="0"/>
              <w:rPr>
                <w:sz w:val="20"/>
                <w:szCs w:val="20"/>
                <w:color w:val="auto"/>
              </w:rPr>
            </w:pPr>
            <w:r>
              <w:rPr>
                <w:rFonts w:ascii="Arial" w:cs="Arial" w:eastAsia="Arial" w:hAnsi="Arial"/>
                <w:sz w:val="18"/>
                <w:szCs w:val="18"/>
                <w:color w:val="auto"/>
              </w:rPr>
              <w:t>NZ</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AutoGroup Philippines, Inc.</w:t>
            </w:r>
          </w:p>
        </w:tc>
        <w:tc>
          <w:tcPr>
            <w:tcW w:w="1460" w:type="dxa"/>
            <w:vAlign w:val="bottom"/>
            <w:gridSpan w:val="2"/>
          </w:tcPr>
          <w:p>
            <w:pPr>
              <w:spacing w:after="0"/>
              <w:rPr>
                <w:sz w:val="20"/>
                <w:szCs w:val="20"/>
                <w:color w:val="auto"/>
              </w:rPr>
            </w:pPr>
            <w:r>
              <w:rPr>
                <w:rFonts w:ascii="Arial" w:cs="Arial" w:eastAsia="Arial" w:hAnsi="Arial"/>
                <w:sz w:val="18"/>
                <w:szCs w:val="18"/>
                <w:color w:val="auto"/>
              </w:rPr>
              <w:t>The Philippines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AutoGroup Puerto Rico LLC</w:t>
            </w:r>
          </w:p>
        </w:tc>
        <w:tc>
          <w:tcPr>
            <w:tcW w:w="1460" w:type="dxa"/>
            <w:vAlign w:val="bottom"/>
            <w:gridSpan w:val="2"/>
          </w:tcPr>
          <w:p>
            <w:pPr>
              <w:spacing w:after="0"/>
              <w:rPr>
                <w:sz w:val="20"/>
                <w:szCs w:val="20"/>
                <w:color w:val="auto"/>
              </w:rPr>
            </w:pPr>
            <w:r>
              <w:rPr>
                <w:rFonts w:ascii="Arial" w:cs="Arial" w:eastAsia="Arial" w:hAnsi="Arial"/>
                <w:sz w:val="18"/>
                <w:szCs w:val="18"/>
                <w:color w:val="auto"/>
              </w:rPr>
              <w:t>Puerto Rico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AutoGroup Sales Inc.</w:t>
            </w:r>
          </w:p>
        </w:tc>
        <w:tc>
          <w:tcPr>
            <w:tcW w:w="1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Armored Auto UK Ltd</w:t>
            </w:r>
          </w:p>
        </w:tc>
        <w:tc>
          <w:tcPr>
            <w:tcW w:w="1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Cannines Supplies de Mexico S. de R.L. de C.V.</w:t>
            </w:r>
          </w:p>
        </w:tc>
        <w:tc>
          <w:tcPr>
            <w:tcW w:w="14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Carmen Ltd.</w:t>
            </w:r>
          </w:p>
        </w:tc>
        <w:tc>
          <w:tcPr>
            <w:tcW w:w="1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Compañia Agroindustrial Agrocueros S.A.</w:t>
            </w:r>
          </w:p>
        </w:tc>
        <w:tc>
          <w:tcPr>
            <w:tcW w:w="146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DH Haden Ltd.</w:t>
            </w:r>
          </w:p>
        </w:tc>
        <w:tc>
          <w:tcPr>
            <w:tcW w:w="1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Dai Neng, Inc.</w:t>
            </w:r>
          </w:p>
        </w:tc>
        <w:tc>
          <w:tcPr>
            <w:tcW w:w="146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Distribuidora Rayovac Guatemala, S.A.</w:t>
            </w:r>
          </w:p>
        </w:tc>
        <w:tc>
          <w:tcPr>
            <w:tcW w:w="1460" w:type="dxa"/>
            <w:vAlign w:val="bottom"/>
            <w:gridSpan w:val="2"/>
          </w:tcPr>
          <w:p>
            <w:pPr>
              <w:spacing w:after="0"/>
              <w:rPr>
                <w:sz w:val="20"/>
                <w:szCs w:val="20"/>
                <w:color w:val="auto"/>
              </w:rPr>
            </w:pPr>
            <w:r>
              <w:rPr>
                <w:rFonts w:ascii="Arial" w:cs="Arial" w:eastAsia="Arial" w:hAnsi="Arial"/>
                <w:sz w:val="18"/>
                <w:szCs w:val="18"/>
                <w:color w:val="auto"/>
              </w:rPr>
              <w:t>Guatemala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Distribuidora Rayovac Honduras, S.A.</w:t>
            </w:r>
          </w:p>
        </w:tc>
        <w:tc>
          <w:tcPr>
            <w:tcW w:w="1460" w:type="dxa"/>
            <w:vAlign w:val="bottom"/>
            <w:gridSpan w:val="2"/>
          </w:tcPr>
          <w:p>
            <w:pPr>
              <w:spacing w:after="0"/>
              <w:rPr>
                <w:sz w:val="20"/>
                <w:szCs w:val="20"/>
                <w:color w:val="auto"/>
              </w:rPr>
            </w:pPr>
            <w:r>
              <w:rPr>
                <w:rFonts w:ascii="Arial" w:cs="Arial" w:eastAsia="Arial" w:hAnsi="Arial"/>
                <w:sz w:val="18"/>
                <w:szCs w:val="18"/>
                <w:color w:val="auto"/>
              </w:rPr>
              <w:t>Honduras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Distribuidora Ray-O-Vac/Varta, S.A. de C.V.</w:t>
            </w:r>
          </w:p>
        </w:tc>
        <w:tc>
          <w:tcPr>
            <w:tcW w:w="14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Household Products Chile Comercial Limitada</w:t>
            </w:r>
          </w:p>
        </w:tc>
        <w:tc>
          <w:tcPr>
            <w:tcW w:w="146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Household Products Peru S.R.L.</w:t>
            </w:r>
          </w:p>
        </w:tc>
        <w:tc>
          <w:tcPr>
            <w:tcW w:w="146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Iams Europe B.V.</w:t>
            </w:r>
          </w:p>
        </w:tc>
        <w:tc>
          <w:tcPr>
            <w:tcW w:w="14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Kent Chamois Company Ltd</w:t>
            </w:r>
          </w:p>
        </w:tc>
        <w:tc>
          <w:tcPr>
            <w:tcW w:w="1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Maanring Holding B.V.</w:t>
            </w:r>
          </w:p>
        </w:tc>
        <w:tc>
          <w:tcPr>
            <w:tcW w:w="14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Minera Vidaluz, S.A. de C.V.</w:t>
            </w:r>
          </w:p>
        </w:tc>
        <w:tc>
          <w:tcPr>
            <w:tcW w:w="14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Manufacturing Mexico A LLC</w:t>
            </w:r>
          </w:p>
        </w:tc>
        <w:tc>
          <w:tcPr>
            <w:tcW w:w="1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Manufacturing Mexico B LLC</w:t>
            </w:r>
          </w:p>
        </w:tc>
        <w:tc>
          <w:tcPr>
            <w:tcW w:w="1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Opernings, LLC</w:t>
            </w:r>
          </w:p>
        </w:tc>
        <w:tc>
          <w:tcPr>
            <w:tcW w:w="1460" w:type="dxa"/>
            <w:vAlign w:val="bottom"/>
            <w:gridSpan w:val="2"/>
          </w:tcPr>
          <w:p>
            <w:pPr>
              <w:spacing w:after="0"/>
              <w:rPr>
                <w:sz w:val="20"/>
                <w:szCs w:val="20"/>
                <w:color w:val="auto"/>
              </w:rPr>
            </w:pPr>
            <w:r>
              <w:rPr>
                <w:rFonts w:ascii="Arial" w:cs="Arial" w:eastAsia="Arial" w:hAnsi="Arial"/>
                <w:sz w:val="18"/>
                <w:szCs w:val="18"/>
                <w:color w:val="auto"/>
                <w:w w:val="89"/>
              </w:rPr>
              <w:t>USA (Pennsylvania)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Paula Grundstücksverwaltungs GmbH &amp; Co. Vermietungs-KG</w:t>
            </w:r>
          </w:p>
        </w:tc>
        <w:tc>
          <w:tcPr>
            <w:tcW w:w="14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Petbelly International LLC</w:t>
            </w:r>
          </w:p>
        </w:tc>
        <w:tc>
          <w:tcPr>
            <w:tcW w:w="1460" w:type="dxa"/>
            <w:vAlign w:val="bottom"/>
            <w:gridSpan w:val="2"/>
          </w:tcPr>
          <w:p>
            <w:pPr>
              <w:spacing w:after="0"/>
              <w:rPr>
                <w:sz w:val="20"/>
                <w:szCs w:val="20"/>
                <w:color w:val="auto"/>
              </w:rPr>
            </w:pPr>
            <w:r>
              <w:rPr>
                <w:rFonts w:ascii="Arial" w:cs="Arial" w:eastAsia="Arial" w:hAnsi="Arial"/>
                <w:sz w:val="18"/>
                <w:szCs w:val="18"/>
                <w:color w:val="auto"/>
              </w:rPr>
              <w:t>USA (Florida)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Petco Limitada</w:t>
            </w:r>
          </w:p>
        </w:tc>
        <w:tc>
          <w:tcPr>
            <w:tcW w:w="1460" w:type="dxa"/>
            <w:vAlign w:val="bottom"/>
            <w:gridSpan w:val="2"/>
          </w:tcPr>
          <w:p>
            <w:pPr>
              <w:spacing w:after="0"/>
              <w:rPr>
                <w:sz w:val="20"/>
                <w:szCs w:val="20"/>
                <w:color w:val="auto"/>
              </w:rPr>
            </w:pPr>
            <w:r>
              <w:rPr>
                <w:rFonts w:ascii="Arial" w:cs="Arial" w:eastAsia="Arial" w:hAnsi="Arial"/>
                <w:sz w:val="18"/>
                <w:szCs w:val="18"/>
                <w:color w:val="auto"/>
              </w:rPr>
              <w:t>Columbia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PPC Industries Ltd.</w:t>
            </w:r>
          </w:p>
        </w:tc>
        <w:tc>
          <w:tcPr>
            <w:tcW w:w="1460" w:type="dxa"/>
            <w:vAlign w:val="bottom"/>
            <w:gridSpan w:val="2"/>
          </w:tcPr>
          <w:p>
            <w:pPr>
              <w:spacing w:after="0"/>
              <w:rPr>
                <w:sz w:val="20"/>
                <w:szCs w:val="20"/>
                <w:color w:val="auto"/>
              </w:rPr>
            </w:pPr>
            <w:r>
              <w:rPr>
                <w:rFonts w:ascii="Arial" w:cs="Arial" w:eastAsia="Arial" w:hAnsi="Arial"/>
                <w:sz w:val="18"/>
                <w:szCs w:val="18"/>
                <w:color w:val="auto"/>
              </w:rPr>
              <w:t>BVI</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Products Plus Limited</w:t>
            </w:r>
          </w:p>
        </w:tc>
        <w:tc>
          <w:tcPr>
            <w:tcW w:w="1460" w:type="dxa"/>
            <w:vAlign w:val="bottom"/>
            <w:gridSpan w:val="2"/>
          </w:tcPr>
          <w:p>
            <w:pPr>
              <w:spacing w:after="0"/>
              <w:rPr>
                <w:sz w:val="20"/>
                <w:szCs w:val="20"/>
                <w:color w:val="auto"/>
              </w:rPr>
            </w:pPr>
            <w:r>
              <w:rPr>
                <w:rFonts w:ascii="Arial" w:cs="Arial" w:eastAsia="Arial" w:hAnsi="Arial"/>
                <w:sz w:val="18"/>
                <w:szCs w:val="18"/>
                <w:color w:val="auto"/>
              </w:rPr>
              <w:t>BWI</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Products Plus LLC</w:t>
            </w:r>
          </w:p>
        </w:tc>
        <w:tc>
          <w:tcPr>
            <w:tcW w:w="1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Rayovac (UK) Limited</w:t>
            </w:r>
          </w:p>
        </w:tc>
        <w:tc>
          <w:tcPr>
            <w:tcW w:w="146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121" w:right="239" w:bottom="1440" w:gutter="0" w:footer="0" w:header="0"/>
        </w:sectPr>
      </w:pPr>
    </w:p>
    <w:bookmarkStart w:id="473" w:name="page474"/>
    <w:bookmarkEnd w:id="4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Rayovac</w:t>
            </w:r>
          </w:p>
        </w:tc>
        <w:tc>
          <w:tcPr>
            <w:tcW w:w="7920" w:type="dxa"/>
            <w:vAlign w:val="bottom"/>
          </w:tcPr>
          <w:p>
            <w:pPr>
              <w:ind w:left="20"/>
              <w:spacing w:after="0" w:line="195" w:lineRule="exact"/>
              <w:rPr>
                <w:sz w:val="20"/>
                <w:szCs w:val="20"/>
                <w:color w:val="auto"/>
              </w:rPr>
            </w:pPr>
            <w:r>
              <w:rPr>
                <w:rFonts w:ascii="Arial" w:cs="Arial" w:eastAsia="Arial" w:hAnsi="Arial"/>
                <w:sz w:val="18"/>
                <w:szCs w:val="18"/>
                <w:color w:val="auto"/>
              </w:rPr>
              <w:t>Argentina S.R.L.</w:t>
            </w: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Argentina</w:t>
            </w:r>
          </w:p>
        </w:tc>
        <w:tc>
          <w:tcPr>
            <w:tcW w:w="760" w:type="dxa"/>
            <w:vAlign w:val="bottom"/>
          </w:tcPr>
          <w:p>
            <w:pPr>
              <w:spacing w:after="0"/>
              <w:rPr>
                <w:sz w:val="16"/>
                <w:szCs w:val="16"/>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Rayovac Costa Rica, S.A.</w:t>
            </w:r>
          </w:p>
        </w:tc>
        <w:tc>
          <w:tcPr>
            <w:tcW w:w="148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Ray-O-Vac de Mexico, S.A. de C.V.</w:t>
            </w:r>
          </w:p>
        </w:tc>
        <w:tc>
          <w:tcPr>
            <w:tcW w:w="148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Rayovac Dominican Republic, S.A.</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Dominican Republic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Rayovac El Salvador, S.A. de C.V.</w:t>
            </w:r>
          </w:p>
        </w:tc>
        <w:tc>
          <w:tcPr>
            <w:tcW w:w="1480" w:type="dxa"/>
            <w:vAlign w:val="bottom"/>
            <w:gridSpan w:val="2"/>
          </w:tcPr>
          <w:p>
            <w:pPr>
              <w:spacing w:after="0"/>
              <w:rPr>
                <w:sz w:val="20"/>
                <w:szCs w:val="20"/>
                <w:color w:val="auto"/>
              </w:rPr>
            </w:pPr>
            <w:r>
              <w:rPr>
                <w:rFonts w:ascii="Arial" w:cs="Arial" w:eastAsia="Arial" w:hAnsi="Arial"/>
                <w:sz w:val="18"/>
                <w:szCs w:val="18"/>
                <w:color w:val="auto"/>
              </w:rPr>
              <w:t>El Salvador</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Rayovac Europe GmbH</w:t>
            </w:r>
          </w:p>
        </w:tc>
        <w:tc>
          <w:tcPr>
            <w:tcW w:w="14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Rayovac Guatemala, S.A.</w:t>
            </w:r>
          </w:p>
        </w:tc>
        <w:tc>
          <w:tcPr>
            <w:tcW w:w="1480" w:type="dxa"/>
            <w:vAlign w:val="bottom"/>
            <w:gridSpan w:val="2"/>
          </w:tcPr>
          <w:p>
            <w:pPr>
              <w:spacing w:after="0"/>
              <w:rPr>
                <w:sz w:val="20"/>
                <w:szCs w:val="20"/>
                <w:color w:val="auto"/>
              </w:rPr>
            </w:pPr>
            <w:r>
              <w:rPr>
                <w:rFonts w:ascii="Arial" w:cs="Arial" w:eastAsia="Arial" w:hAnsi="Arial"/>
                <w:sz w:val="18"/>
                <w:szCs w:val="18"/>
                <w:color w:val="auto"/>
              </w:rPr>
              <w:t>Guatemala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Rayovac Honduras, S.A.</w:t>
            </w:r>
          </w:p>
        </w:tc>
        <w:tc>
          <w:tcPr>
            <w:tcW w:w="1480" w:type="dxa"/>
            <w:vAlign w:val="bottom"/>
            <w:gridSpan w:val="2"/>
          </w:tcPr>
          <w:p>
            <w:pPr>
              <w:spacing w:after="0"/>
              <w:rPr>
                <w:sz w:val="20"/>
                <w:szCs w:val="20"/>
                <w:color w:val="auto"/>
              </w:rPr>
            </w:pPr>
            <w:r>
              <w:rPr>
                <w:rFonts w:ascii="Arial" w:cs="Arial" w:eastAsia="Arial" w:hAnsi="Arial"/>
                <w:sz w:val="18"/>
                <w:szCs w:val="18"/>
                <w:color w:val="auto"/>
              </w:rPr>
              <w:t>Honduras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Rayovac Overseas Corp.</w:t>
            </w:r>
          </w:p>
        </w:tc>
        <w:tc>
          <w:tcPr>
            <w:tcW w:w="1480" w:type="dxa"/>
            <w:vAlign w:val="bottom"/>
            <w:gridSpan w:val="2"/>
          </w:tcPr>
          <w:p>
            <w:pPr>
              <w:spacing w:after="0"/>
              <w:rPr>
                <w:sz w:val="20"/>
                <w:szCs w:val="20"/>
                <w:color w:val="auto"/>
              </w:rPr>
            </w:pPr>
            <w:r>
              <w:rPr>
                <w:rFonts w:ascii="Arial" w:cs="Arial" w:eastAsia="Arial" w:hAnsi="Arial"/>
                <w:sz w:val="18"/>
                <w:szCs w:val="18"/>
                <w:color w:val="auto"/>
              </w:rPr>
              <w:t>BWI</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Rayovac Venezuela, S.A.</w:t>
            </w:r>
          </w:p>
        </w:tc>
        <w:tc>
          <w:tcPr>
            <w:tcW w:w="148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Remington Asia</w:t>
            </w:r>
          </w:p>
        </w:tc>
        <w:tc>
          <w:tcPr>
            <w:tcW w:w="1480" w:type="dxa"/>
            <w:vAlign w:val="bottom"/>
            <w:gridSpan w:val="2"/>
          </w:tcPr>
          <w:p>
            <w:pPr>
              <w:spacing w:after="0"/>
              <w:rPr>
                <w:sz w:val="20"/>
                <w:szCs w:val="20"/>
                <w:color w:val="auto"/>
              </w:rPr>
            </w:pPr>
            <w:r>
              <w:rPr>
                <w:rFonts w:ascii="Arial" w:cs="Arial" w:eastAsia="Arial" w:hAnsi="Arial"/>
                <w:sz w:val="18"/>
                <w:szCs w:val="18"/>
                <w:color w:val="auto"/>
              </w:rPr>
              <w:t>BWI</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Remington Consumer Products Ltd. (UK)</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Remington Licensing Corporation</w:t>
            </w:r>
          </w:p>
        </w:tc>
        <w:tc>
          <w:tcPr>
            <w:tcW w:w="148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ROV German General Partner GmbH</w:t>
            </w:r>
          </w:p>
        </w:tc>
        <w:tc>
          <w:tcPr>
            <w:tcW w:w="14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ROV German Limited GmbH</w:t>
            </w:r>
          </w:p>
        </w:tc>
        <w:tc>
          <w:tcPr>
            <w:tcW w:w="14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ROV Holding,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ROV International Holdings LLC</w:t>
            </w:r>
          </w:p>
        </w:tc>
        <w:tc>
          <w:tcPr>
            <w:tcW w:w="148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Russell Hobbs Deutschland GmbH</w:t>
            </w:r>
          </w:p>
        </w:tc>
        <w:tc>
          <w:tcPr>
            <w:tcW w:w="14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Russell Hobbs Holdings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Russell Hobbs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Russell Hobbs Towers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Salix Animal Health, LLC</w:t>
            </w:r>
          </w:p>
        </w:tc>
        <w:tc>
          <w:tcPr>
            <w:tcW w:w="1480" w:type="dxa"/>
            <w:vAlign w:val="bottom"/>
            <w:gridSpan w:val="2"/>
          </w:tcPr>
          <w:p>
            <w:pPr>
              <w:spacing w:after="0"/>
              <w:rPr>
                <w:sz w:val="20"/>
                <w:szCs w:val="20"/>
                <w:color w:val="auto"/>
              </w:rPr>
            </w:pPr>
            <w:r>
              <w:rPr>
                <w:rFonts w:ascii="Arial" w:cs="Arial" w:eastAsia="Arial" w:hAnsi="Arial"/>
                <w:sz w:val="18"/>
                <w:szCs w:val="18"/>
                <w:color w:val="auto"/>
              </w:rPr>
              <w:t>USA (Florida)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Salton Australia Pty.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Salton Hong Kong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Salton Italia Srl.</w:t>
            </w:r>
          </w:p>
        </w:tc>
        <w:tc>
          <w:tcPr>
            <w:tcW w:w="148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Salton NZ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Salton S.a.r.l.</w:t>
            </w:r>
          </w:p>
        </w:tc>
        <w:tc>
          <w:tcPr>
            <w:tcW w:w="148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Salton UK</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Salton UK Holdings,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Schultz Company</w:t>
            </w:r>
          </w:p>
        </w:tc>
        <w:tc>
          <w:tcPr>
            <w:tcW w:w="1480" w:type="dxa"/>
            <w:vAlign w:val="bottom"/>
            <w:gridSpan w:val="2"/>
          </w:tcPr>
          <w:p>
            <w:pPr>
              <w:spacing w:after="0"/>
              <w:rPr>
                <w:sz w:val="20"/>
                <w:szCs w:val="20"/>
                <w:color w:val="auto"/>
              </w:rPr>
            </w:pPr>
            <w:r>
              <w:rPr>
                <w:rFonts w:ascii="Arial" w:cs="Arial" w:eastAsia="Arial" w:hAnsi="Arial"/>
                <w:sz w:val="18"/>
                <w:szCs w:val="18"/>
                <w:color w:val="auto"/>
              </w:rPr>
              <w:t>USA (Missouri)</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Shanghai AAG Automotive Products Trading Co.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Shaser,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(Hong Kong) Limited</w:t>
            </w:r>
          </w:p>
        </w:tc>
        <w:tc>
          <w:tcPr>
            <w:tcW w:w="148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(Shenzhen)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(UK) Holdings Limited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(UK) Limited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(Xiamen) Industrial Co.,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Appliances (Ireland)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Asia</w:t>
            </w:r>
          </w:p>
        </w:tc>
        <w:tc>
          <w:tcPr>
            <w:tcW w:w="1480" w:type="dxa"/>
            <w:vAlign w:val="bottom"/>
            <w:gridSpan w:val="2"/>
          </w:tcPr>
          <w:p>
            <w:pPr>
              <w:spacing w:after="0"/>
              <w:rPr>
                <w:sz w:val="20"/>
                <w:szCs w:val="20"/>
                <w:color w:val="auto"/>
              </w:rPr>
            </w:pPr>
            <w:r>
              <w:rPr>
                <w:rFonts w:ascii="Arial" w:cs="Arial" w:eastAsia="Arial" w:hAnsi="Arial"/>
                <w:sz w:val="18"/>
                <w:szCs w:val="18"/>
                <w:color w:val="auto"/>
              </w:rPr>
              <w:t>BWI</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Australia Pty.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Austria Gmbh</w:t>
            </w:r>
          </w:p>
        </w:tc>
        <w:tc>
          <w:tcPr>
            <w:tcW w:w="148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Benelux B.V.</w:t>
            </w:r>
          </w:p>
        </w:tc>
        <w:tc>
          <w:tcPr>
            <w:tcW w:w="14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Brasil Industria e Comercio de Bens de Consumo Ltda</w:t>
            </w:r>
          </w:p>
        </w:tc>
        <w:tc>
          <w:tcPr>
            <w:tcW w:w="14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Bulgaria EOOD</w:t>
            </w:r>
          </w:p>
        </w:tc>
        <w:tc>
          <w:tcPr>
            <w:tcW w:w="148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Canada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Colombia S.A.</w:t>
            </w:r>
          </w:p>
        </w:tc>
        <w:tc>
          <w:tcPr>
            <w:tcW w:w="1480" w:type="dxa"/>
            <w:vAlign w:val="bottom"/>
            <w:gridSpan w:val="2"/>
          </w:tcPr>
          <w:p>
            <w:pPr>
              <w:spacing w:after="0"/>
              <w:rPr>
                <w:sz w:val="20"/>
                <w:szCs w:val="20"/>
                <w:color w:val="auto"/>
              </w:rPr>
            </w:pPr>
            <w:r>
              <w:rPr>
                <w:rFonts w:ascii="Arial" w:cs="Arial" w:eastAsia="Arial" w:hAnsi="Arial"/>
                <w:sz w:val="18"/>
                <w:szCs w:val="18"/>
                <w:color w:val="auto"/>
              </w:rPr>
              <w:t>Columbia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Czech spol. s r.o.</w:t>
            </w:r>
          </w:p>
        </w:tc>
        <w:tc>
          <w:tcPr>
            <w:tcW w:w="148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Denmark A/S</w:t>
            </w:r>
          </w:p>
        </w:tc>
        <w:tc>
          <w:tcPr>
            <w:tcW w:w="148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East Asia Holdings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Europe GmbH</w:t>
            </w:r>
          </w:p>
        </w:tc>
        <w:tc>
          <w:tcPr>
            <w:tcW w:w="14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Finland OY</w:t>
            </w:r>
          </w:p>
        </w:tc>
        <w:tc>
          <w:tcPr>
            <w:tcW w:w="1480" w:type="dxa"/>
            <w:vAlign w:val="bottom"/>
            <w:gridSpan w:val="2"/>
          </w:tcPr>
          <w:p>
            <w:pPr>
              <w:spacing w:after="0"/>
              <w:rPr>
                <w:sz w:val="20"/>
                <w:szCs w:val="20"/>
                <w:color w:val="auto"/>
              </w:rPr>
            </w:pPr>
            <w:r>
              <w:rPr>
                <w:rFonts w:ascii="Arial" w:cs="Arial" w:eastAsia="Arial" w:hAnsi="Arial"/>
                <w:sz w:val="18"/>
                <w:szCs w:val="18"/>
                <w:color w:val="auto"/>
              </w:rPr>
              <w:t>Finland</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France S.A.S.</w:t>
            </w:r>
          </w:p>
        </w:tc>
        <w:tc>
          <w:tcPr>
            <w:tcW w:w="1480" w:type="dxa"/>
            <w:vAlign w:val="bottom"/>
            <w:gridSpan w:val="2"/>
          </w:tcPr>
          <w:p>
            <w:pPr>
              <w:spacing w:after="0"/>
              <w:rPr>
                <w:sz w:val="20"/>
                <w:szCs w:val="20"/>
                <w:color w:val="auto"/>
              </w:rPr>
            </w:pPr>
            <w:r>
              <w:rPr>
                <w:rFonts w:ascii="Arial" w:cs="Arial" w:eastAsia="Arial" w:hAnsi="Arial"/>
                <w:sz w:val="18"/>
                <w:szCs w:val="18"/>
                <w:color w:val="auto"/>
              </w:rPr>
              <w:t>France</w:t>
            </w:r>
          </w:p>
        </w:tc>
      </w:tr>
    </w:tbl>
    <w:p>
      <w:pPr>
        <w:sectPr>
          <w:pgSz w:w="11900" w:h="16838" w:orient="portrait"/>
          <w:cols w:equalWidth="0" w:num="1">
            <w:col w:w="10219"/>
          </w:cols>
          <w:pgMar w:left="240" w:top="265" w:right="1440" w:bottom="1440" w:gutter="0" w:footer="0" w:header="0"/>
        </w:sectPr>
      </w:pPr>
    </w:p>
    <w:bookmarkStart w:id="474" w:name="page475"/>
    <w:bookmarkEnd w:id="4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5"/>
              </w:rPr>
              <w:t>Spectrum</w:t>
            </w:r>
          </w:p>
        </w:tc>
        <w:tc>
          <w:tcPr>
            <w:tcW w:w="7900" w:type="dxa"/>
            <w:vAlign w:val="bottom"/>
          </w:tcPr>
          <w:p>
            <w:pPr>
              <w:ind w:left="60"/>
              <w:spacing w:after="0" w:line="195" w:lineRule="exact"/>
              <w:rPr>
                <w:sz w:val="20"/>
                <w:szCs w:val="20"/>
                <w:color w:val="auto"/>
              </w:rPr>
            </w:pPr>
            <w:r>
              <w:rPr>
                <w:rFonts w:ascii="Arial" w:cs="Arial" w:eastAsia="Arial" w:hAnsi="Arial"/>
                <w:sz w:val="18"/>
                <w:szCs w:val="18"/>
                <w:color w:val="auto"/>
              </w:rPr>
              <w:t>Brands HHI (Shenzhen) Co., Ltd</w:t>
            </w: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480" w:type="dxa"/>
            <w:vAlign w:val="bottom"/>
          </w:tcPr>
          <w:p>
            <w:pPr>
              <w:spacing w:after="0"/>
              <w:rPr>
                <w:sz w:val="16"/>
                <w:szCs w:val="16"/>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HHI (Zhongshan) Co., Ltd</w:t>
            </w:r>
          </w:p>
        </w:tc>
        <w:tc>
          <w:tcPr>
            <w:tcW w:w="12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HHI Mexico, S de RL de C.V.</w:t>
            </w:r>
          </w:p>
        </w:tc>
        <w:tc>
          <w:tcPr>
            <w:tcW w:w="12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HK1 Limited</w:t>
            </w:r>
          </w:p>
        </w:tc>
        <w:tc>
          <w:tcPr>
            <w:tcW w:w="120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HK2 Limited</w:t>
            </w:r>
          </w:p>
        </w:tc>
        <w:tc>
          <w:tcPr>
            <w:tcW w:w="120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Holding B.V.</w:t>
            </w:r>
          </w:p>
        </w:tc>
        <w:tc>
          <w:tcPr>
            <w:tcW w:w="12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Hrvatska d.o.o.</w:t>
            </w:r>
          </w:p>
        </w:tc>
        <w:tc>
          <w:tcPr>
            <w:tcW w:w="1200" w:type="dxa"/>
            <w:vAlign w:val="bottom"/>
            <w:gridSpan w:val="2"/>
          </w:tcPr>
          <w:p>
            <w:pPr>
              <w:spacing w:after="0"/>
              <w:rPr>
                <w:sz w:val="20"/>
                <w:szCs w:val="20"/>
                <w:color w:val="auto"/>
              </w:rPr>
            </w:pPr>
            <w:r>
              <w:rPr>
                <w:rFonts w:ascii="Arial" w:cs="Arial" w:eastAsia="Arial" w:hAnsi="Arial"/>
                <w:sz w:val="18"/>
                <w:szCs w:val="18"/>
                <w:color w:val="auto"/>
              </w:rPr>
              <w:t>Croatia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Hungaria KFT</w:t>
            </w:r>
          </w:p>
        </w:tc>
        <w:tc>
          <w:tcPr>
            <w:tcW w:w="120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Italia S.r.L.</w:t>
            </w:r>
          </w:p>
        </w:tc>
        <w:tc>
          <w:tcPr>
            <w:tcW w:w="120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Japan KK</w:t>
            </w:r>
          </w:p>
        </w:tc>
        <w:tc>
          <w:tcPr>
            <w:tcW w:w="120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Lux II S.a.R.L.</w:t>
            </w:r>
          </w:p>
        </w:tc>
        <w:tc>
          <w:tcPr>
            <w:tcW w:w="120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Lux S.a.R.L.</w:t>
            </w:r>
          </w:p>
        </w:tc>
        <w:tc>
          <w:tcPr>
            <w:tcW w:w="120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New Zealand Ltd.</w:t>
            </w:r>
          </w:p>
        </w:tc>
        <w:tc>
          <w:tcPr>
            <w:tcW w:w="120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Norway AS</w:t>
            </w:r>
          </w:p>
        </w:tc>
        <w:tc>
          <w:tcPr>
            <w:tcW w:w="120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Panama LLC</w:t>
            </w:r>
          </w:p>
        </w:tc>
        <w:tc>
          <w:tcPr>
            <w:tcW w:w="120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del Peru S.A.C</w:t>
            </w:r>
          </w:p>
        </w:tc>
        <w:tc>
          <w:tcPr>
            <w:tcW w:w="120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Poland Sp.Z.o.o.</w:t>
            </w:r>
          </w:p>
        </w:tc>
        <w:tc>
          <w:tcPr>
            <w:tcW w:w="120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Portugal Unipessoal Lda</w:t>
            </w:r>
          </w:p>
        </w:tc>
        <w:tc>
          <w:tcPr>
            <w:tcW w:w="1200" w:type="dxa"/>
            <w:vAlign w:val="bottom"/>
            <w:gridSpan w:val="2"/>
          </w:tcPr>
          <w:p>
            <w:pPr>
              <w:spacing w:after="0"/>
              <w:rPr>
                <w:sz w:val="20"/>
                <w:szCs w:val="20"/>
                <w:color w:val="auto"/>
              </w:rPr>
            </w:pPr>
            <w:r>
              <w:rPr>
                <w:rFonts w:ascii="Arial" w:cs="Arial" w:eastAsia="Arial" w:hAnsi="Arial"/>
                <w:sz w:val="18"/>
                <w:szCs w:val="18"/>
                <w:color w:val="auto"/>
              </w:rPr>
              <w:t>Portugal</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Real Estate B.V.</w:t>
            </w:r>
          </w:p>
        </w:tc>
        <w:tc>
          <w:tcPr>
            <w:tcW w:w="1200" w:type="dxa"/>
            <w:vAlign w:val="bottom"/>
            <w:gridSpan w:val="2"/>
          </w:tcPr>
          <w:p>
            <w:pPr>
              <w:spacing w:after="0"/>
              <w:rPr>
                <w:sz w:val="20"/>
                <w:szCs w:val="20"/>
                <w:color w:val="auto"/>
              </w:rPr>
            </w:pPr>
            <w:r>
              <w:rPr>
                <w:rFonts w:ascii="Arial" w:cs="Arial" w:eastAsia="Arial" w:hAnsi="Arial"/>
                <w:sz w:val="18"/>
                <w:szCs w:val="18"/>
                <w:color w:val="auto"/>
                <w:w w:val="88"/>
              </w:rPr>
              <w:t>The 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Romania S.r.L.</w:t>
            </w:r>
          </w:p>
        </w:tc>
        <w:tc>
          <w:tcPr>
            <w:tcW w:w="120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Schweiz GmbH</w:t>
            </w:r>
          </w:p>
        </w:tc>
        <w:tc>
          <w:tcPr>
            <w:tcW w:w="120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Singapore Private Limited</w:t>
            </w:r>
          </w:p>
        </w:tc>
        <w:tc>
          <w:tcPr>
            <w:tcW w:w="120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Slovakia spol. s r.o.</w:t>
            </w:r>
          </w:p>
        </w:tc>
        <w:tc>
          <w:tcPr>
            <w:tcW w:w="1200" w:type="dxa"/>
            <w:vAlign w:val="bottom"/>
            <w:gridSpan w:val="2"/>
          </w:tcPr>
          <w:p>
            <w:pPr>
              <w:spacing w:after="0"/>
              <w:rPr>
                <w:sz w:val="20"/>
                <w:szCs w:val="20"/>
                <w:color w:val="auto"/>
              </w:rPr>
            </w:pPr>
            <w:r>
              <w:rPr>
                <w:rFonts w:ascii="Arial" w:cs="Arial" w:eastAsia="Arial" w:hAnsi="Arial"/>
                <w:sz w:val="18"/>
                <w:szCs w:val="18"/>
                <w:color w:val="auto"/>
              </w:rPr>
              <w:t>Slovakia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Spain S.L.</w:t>
            </w:r>
          </w:p>
        </w:tc>
        <w:tc>
          <w:tcPr>
            <w:tcW w:w="120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Trgovina, d.o.o.</w:t>
            </w:r>
          </w:p>
        </w:tc>
        <w:tc>
          <w:tcPr>
            <w:tcW w:w="1200" w:type="dxa"/>
            <w:vAlign w:val="bottom"/>
            <w:gridSpan w:val="2"/>
          </w:tcPr>
          <w:p>
            <w:pPr>
              <w:spacing w:after="0"/>
              <w:rPr>
                <w:sz w:val="20"/>
                <w:szCs w:val="20"/>
                <w:color w:val="auto"/>
              </w:rPr>
            </w:pPr>
            <w:r>
              <w:rPr>
                <w:rFonts w:ascii="Arial" w:cs="Arial" w:eastAsia="Arial" w:hAnsi="Arial"/>
                <w:sz w:val="18"/>
                <w:szCs w:val="18"/>
                <w:color w:val="auto"/>
              </w:rPr>
              <w:t>Slovenia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Brands, Inc.</w:t>
            </w:r>
          </w:p>
        </w:tc>
        <w:tc>
          <w:tcPr>
            <w:tcW w:w="1200" w:type="dxa"/>
            <w:vAlign w:val="bottom"/>
            <w:gridSpan w:val="2"/>
          </w:tcPr>
          <w:p>
            <w:pPr>
              <w:spacing w:after="0"/>
              <w:rPr>
                <w:sz w:val="20"/>
                <w:szCs w:val="20"/>
                <w:color w:val="auto"/>
              </w:rPr>
            </w:pPr>
            <w:r>
              <w:rPr>
                <w:rFonts w:ascii="Arial" w:cs="Arial" w:eastAsia="Arial" w:hAnsi="Arial"/>
                <w:sz w:val="18"/>
                <w:szCs w:val="18"/>
                <w:color w:val="auto"/>
                <w:w w:val="90"/>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Spectrum China Business Trust</w:t>
            </w:r>
          </w:p>
        </w:tc>
        <w:tc>
          <w:tcPr>
            <w:tcW w:w="12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SPB Sweden AB</w:t>
            </w:r>
          </w:p>
        </w:tc>
        <w:tc>
          <w:tcPr>
            <w:tcW w:w="120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STP Products Manufacturing Company</w:t>
            </w:r>
          </w:p>
        </w:tc>
        <w:tc>
          <w:tcPr>
            <w:tcW w:w="1200" w:type="dxa"/>
            <w:vAlign w:val="bottom"/>
            <w:gridSpan w:val="2"/>
          </w:tcPr>
          <w:p>
            <w:pPr>
              <w:spacing w:after="0"/>
              <w:rPr>
                <w:sz w:val="20"/>
                <w:szCs w:val="20"/>
                <w:color w:val="auto"/>
              </w:rPr>
            </w:pPr>
            <w:r>
              <w:rPr>
                <w:rFonts w:ascii="Arial" w:cs="Arial" w:eastAsia="Arial" w:hAnsi="Arial"/>
                <w:sz w:val="18"/>
                <w:szCs w:val="18"/>
                <w:color w:val="auto"/>
                <w:w w:val="90"/>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Tell Holdings Hong Kong Limited</w:t>
            </w:r>
          </w:p>
        </w:tc>
        <w:tc>
          <w:tcPr>
            <w:tcW w:w="120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Tetra (UK) Limited</w:t>
            </w: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Tetra GmbH</w:t>
            </w:r>
          </w:p>
        </w:tc>
        <w:tc>
          <w:tcPr>
            <w:tcW w:w="12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Tetra Holding GmbH</w:t>
            </w:r>
          </w:p>
        </w:tc>
        <w:tc>
          <w:tcPr>
            <w:tcW w:w="12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The Armor ALL/STP Products Company</w:t>
            </w:r>
          </w:p>
        </w:tc>
        <w:tc>
          <w:tcPr>
            <w:tcW w:w="1200" w:type="dxa"/>
            <w:vAlign w:val="bottom"/>
            <w:gridSpan w:val="2"/>
          </w:tcPr>
          <w:p>
            <w:pPr>
              <w:spacing w:after="0"/>
              <w:rPr>
                <w:sz w:val="20"/>
                <w:szCs w:val="20"/>
                <w:color w:val="auto"/>
              </w:rPr>
            </w:pPr>
            <w:r>
              <w:rPr>
                <w:rFonts w:ascii="Arial" w:cs="Arial" w:eastAsia="Arial" w:hAnsi="Arial"/>
                <w:sz w:val="18"/>
                <w:szCs w:val="18"/>
                <w:color w:val="auto"/>
                <w:w w:val="90"/>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The Fair Manufacturing Co. Ltd.</w:t>
            </w:r>
          </w:p>
        </w:tc>
        <w:tc>
          <w:tcPr>
            <w:tcW w:w="1200" w:type="dxa"/>
            <w:vAlign w:val="bottom"/>
            <w:gridSpan w:val="2"/>
          </w:tcPr>
          <w:p>
            <w:pPr>
              <w:spacing w:after="0"/>
              <w:rPr>
                <w:sz w:val="20"/>
                <w:szCs w:val="20"/>
                <w:color w:val="auto"/>
              </w:rPr>
            </w:pPr>
            <w:r>
              <w:rPr>
                <w:rFonts w:ascii="Arial" w:cs="Arial" w:eastAsia="Arial" w:hAnsi="Arial"/>
                <w:sz w:val="18"/>
                <w:szCs w:val="18"/>
                <w:color w:val="auto"/>
              </w:rPr>
              <w:t>Cambodia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Toastmaster de Mexico S.A.</w:t>
            </w:r>
          </w:p>
        </w:tc>
        <w:tc>
          <w:tcPr>
            <w:tcW w:w="12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Tong Lung Metal Industry Co. Ltd.</w:t>
            </w:r>
          </w:p>
        </w:tc>
        <w:tc>
          <w:tcPr>
            <w:tcW w:w="120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Tong Lung Philippines Metal Industry Co., Inc.</w:t>
            </w:r>
          </w:p>
        </w:tc>
        <w:tc>
          <w:tcPr>
            <w:tcW w:w="1200" w:type="dxa"/>
            <w:vAlign w:val="bottom"/>
            <w:gridSpan w:val="2"/>
          </w:tcPr>
          <w:p>
            <w:pPr>
              <w:spacing w:after="0"/>
              <w:rPr>
                <w:sz w:val="20"/>
                <w:szCs w:val="20"/>
                <w:color w:val="auto"/>
              </w:rPr>
            </w:pPr>
            <w:r>
              <w:rPr>
                <w:rFonts w:ascii="Arial" w:cs="Arial" w:eastAsia="Arial" w:hAnsi="Arial"/>
                <w:sz w:val="18"/>
                <w:szCs w:val="18"/>
                <w:color w:val="auto"/>
                <w:w w:val="95"/>
              </w:rPr>
              <w:t>The Philippines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United Industries Corporation</w:t>
            </w:r>
          </w:p>
        </w:tc>
        <w:tc>
          <w:tcPr>
            <w:tcW w:w="1200" w:type="dxa"/>
            <w:vAlign w:val="bottom"/>
            <w:gridSpan w:val="2"/>
          </w:tcPr>
          <w:p>
            <w:pPr>
              <w:spacing w:after="0"/>
              <w:rPr>
                <w:sz w:val="20"/>
                <w:szCs w:val="20"/>
                <w:color w:val="auto"/>
              </w:rPr>
            </w:pPr>
            <w:r>
              <w:rPr>
                <w:rFonts w:ascii="Arial" w:cs="Arial" w:eastAsia="Arial" w:hAnsi="Arial"/>
                <w:sz w:val="18"/>
                <w:szCs w:val="18"/>
                <w:color w:val="auto"/>
                <w:w w:val="90"/>
              </w:rPr>
              <w:t>USA (Delaware)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Varta Consumer Batteries GmbH &amp; Co. KGaA</w:t>
            </w:r>
          </w:p>
        </w:tc>
        <w:tc>
          <w:tcPr>
            <w:tcW w:w="12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Varta Ltd.</w:t>
            </w: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Varta Pilleri Ticaret Ltd. Sirketi</w:t>
            </w:r>
          </w:p>
        </w:tc>
        <w:tc>
          <w:tcPr>
            <w:tcW w:w="120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Viking Acquisitions, S. de RL de CV</w:t>
            </w:r>
          </w:p>
        </w:tc>
        <w:tc>
          <w:tcPr>
            <w:tcW w:w="12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Viking Acquisitions Servicios, S de RL de CV</w:t>
            </w:r>
          </w:p>
        </w:tc>
        <w:tc>
          <w:tcPr>
            <w:tcW w:w="12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Weiser Lock Mexico S de RL CV</w:t>
            </w:r>
          </w:p>
        </w:tc>
        <w:tc>
          <w:tcPr>
            <w:tcW w:w="1200" w:type="dxa"/>
            <w:vAlign w:val="bottom"/>
            <w:gridSpan w:val="2"/>
          </w:tcPr>
          <w:p>
            <w:pPr>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10219"/>
          </w:cols>
          <w:pgMar w:left="240" w:top="266" w:right="1440"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SB/RH Holdings, LLC:</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use of our report dated November 20, 2015, with respect to the consolidated statements of financial position of SB/RH Holdings, LLC and subsidiaries as of September 30, 2015 and 2014, and the related consolidated statements of operations, comprehensive income (loss), shareholders’ equity and cash flows for each of the years in the three-year period ended September 30, 2015, included herein and to the reference to our firm under the heading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15, 2016</w:t>
      </w:r>
    </w:p>
    <w:p>
      <w:pPr>
        <w:sectPr>
          <w:pgSz w:w="11900" w:h="16838" w:orient="portrait"/>
          <w:cols w:equalWidth="0" w:num="1">
            <w:col w:w="11420"/>
          </w:cols>
          <w:pgMar w:left="240" w:top="121" w:right="239"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April 17, 2015, with respect to the consolidated financial statements of Armored AutoGroup Parent, Inc. as of December 31, 2014 and 2013 and for each of the three years in the period ended December 31, 2014 included in the Registration Statement on Form S-1 and related Preliminary Prospectus of Spectrum Brands, Inc. for the registration of $520,000,000</w:t>
      </w:r>
    </w:p>
    <w:p>
      <w:pPr>
        <w:ind w:right="100"/>
        <w:spacing w:after="0" w:line="290" w:lineRule="auto"/>
        <w:rPr>
          <w:sz w:val="20"/>
          <w:szCs w:val="20"/>
          <w:color w:val="auto"/>
        </w:rPr>
      </w:pPr>
      <w:r>
        <w:rPr>
          <w:rFonts w:ascii="Arial" w:cs="Arial" w:eastAsia="Arial" w:hAnsi="Arial"/>
          <w:sz w:val="17"/>
          <w:szCs w:val="17"/>
          <w:color w:val="auto"/>
        </w:rPr>
        <w:t>6.375% Senior Notes due 2020 and Related Guarantees, $570,000,000 6.625% Senior Notes due 2022 and Related Guarantees, $250,000,000 6.125% Senior Notes due 2024 and Related Guarantees and $1,000,000,000 5.750% Senior Notes due 2025 and Related Guarantees.</w:t>
      </w:r>
    </w:p>
    <w:p>
      <w:pPr>
        <w:spacing w:after="0" w:line="162"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15, 2016</w:t>
      </w:r>
    </w:p>
    <w:p>
      <w:pPr>
        <w:sectPr>
          <w:pgSz w:w="11900" w:h="16838" w:orient="portrait"/>
          <w:cols w:equalWidth="0" w:num="1">
            <w:col w:w="11420"/>
          </w:cols>
          <w:pgMar w:left="240" w:top="121" w:right="239" w:bottom="1440" w:gutter="0" w:footer="0" w:header="0"/>
        </w:sectPr>
      </w:pPr>
    </w:p>
    <w:bookmarkStart w:id="477" w:name="page478"/>
    <w:bookmarkEnd w:id="477"/>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hanging="452"/>
        <w:spacing w:after="0"/>
        <w:tabs>
          <w:tab w:leader="none" w:pos="460" w:val="left"/>
        </w:tabs>
        <w:numPr>
          <w:ilvl w:val="0"/>
          <w:numId w:val="413"/>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219"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61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92"/>
              </w:rPr>
              <w:t>800 Nicollet Mall</w:t>
            </w:r>
          </w:p>
        </w:tc>
        <w:tc>
          <w:tcPr>
            <w:tcW w:w="1420" w:type="dxa"/>
            <w:vAlign w:val="bottom"/>
          </w:tcPr>
          <w:p>
            <w:pPr>
              <w:spacing w:after="0"/>
              <w:rPr>
                <w:sz w:val="18"/>
                <w:szCs w:val="18"/>
                <w:color w:val="auto"/>
              </w:rPr>
            </w:pPr>
          </w:p>
        </w:tc>
      </w:tr>
      <w:tr>
        <w:trPr>
          <w:trHeight w:val="225"/>
        </w:trPr>
        <w:tc>
          <w:tcPr>
            <w:tcW w:w="61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91"/>
              </w:rPr>
              <w:t>Minneapolis, Minnesota</w:t>
            </w:r>
          </w:p>
        </w:tc>
        <w:tc>
          <w:tcPr>
            <w:tcW w:w="1420" w:type="dxa"/>
            <w:vAlign w:val="bottom"/>
          </w:tcPr>
          <w:p>
            <w:pPr>
              <w:jc w:val="center"/>
              <w:ind w:left="200"/>
              <w:spacing w:after="0"/>
              <w:rPr>
                <w:sz w:val="20"/>
                <w:szCs w:val="20"/>
                <w:color w:val="auto"/>
              </w:rPr>
            </w:pPr>
            <w:r>
              <w:rPr>
                <w:rFonts w:ascii="Arial" w:cs="Arial" w:eastAsia="Arial" w:hAnsi="Arial"/>
                <w:sz w:val="18"/>
                <w:szCs w:val="18"/>
                <w:b w:val="1"/>
                <w:bCs w:val="1"/>
                <w:color w:val="auto"/>
                <w:w w:val="91"/>
              </w:rPr>
              <w:t>55402</w:t>
            </w:r>
          </w:p>
        </w:tc>
      </w:tr>
      <w:tr>
        <w:trPr>
          <w:trHeight w:val="186"/>
        </w:trPr>
        <w:tc>
          <w:tcPr>
            <w:tcW w:w="6140" w:type="dxa"/>
            <w:vAlign w:val="bottom"/>
            <w:gridSpan w:val="3"/>
          </w:tcPr>
          <w:p>
            <w:pPr>
              <w:jc w:val="center"/>
              <w:ind w:right="36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20" w:type="dxa"/>
            <w:vAlign w:val="bottom"/>
          </w:tcPr>
          <w:p>
            <w:pPr>
              <w:jc w:val="center"/>
              <w:ind w:left="200"/>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2860" w:type="dxa"/>
            <w:vAlign w:val="bottom"/>
          </w:tcPr>
          <w:p>
            <w:pPr>
              <w:spacing w:after="0"/>
              <w:rPr>
                <w:sz w:val="24"/>
                <w:szCs w:val="24"/>
                <w:color w:val="auto"/>
              </w:rPr>
            </w:pPr>
          </w:p>
        </w:tc>
        <w:tc>
          <w:tcPr>
            <w:tcW w:w="32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8"/>
              </w:rPr>
              <w:t>Wally Jones</w:t>
            </w:r>
          </w:p>
        </w:tc>
        <w:tc>
          <w:tcPr>
            <w:tcW w:w="1420" w:type="dxa"/>
            <w:vAlign w:val="bottom"/>
          </w:tcPr>
          <w:p>
            <w:pPr>
              <w:spacing w:after="0"/>
              <w:rPr>
                <w:sz w:val="24"/>
                <w:szCs w:val="24"/>
                <w:color w:val="auto"/>
              </w:rPr>
            </w:pPr>
          </w:p>
        </w:tc>
      </w:tr>
      <w:tr>
        <w:trPr>
          <w:trHeight w:val="216"/>
        </w:trPr>
        <w:tc>
          <w:tcPr>
            <w:tcW w:w="6140" w:type="dxa"/>
            <w:vAlign w:val="bottom"/>
            <w:gridSpan w:val="3"/>
          </w:tcPr>
          <w:p>
            <w:pPr>
              <w:jc w:val="center"/>
              <w:ind w:left="1897"/>
              <w:spacing w:after="0"/>
              <w:rPr>
                <w:sz w:val="20"/>
                <w:szCs w:val="20"/>
                <w:color w:val="auto"/>
              </w:rPr>
            </w:pPr>
            <w:r>
              <w:rPr>
                <w:rFonts w:ascii="Arial" w:cs="Arial" w:eastAsia="Arial" w:hAnsi="Arial"/>
                <w:sz w:val="18"/>
                <w:szCs w:val="18"/>
                <w:b w:val="1"/>
                <w:bCs w:val="1"/>
                <w:color w:val="auto"/>
                <w:w w:val="89"/>
              </w:rPr>
              <w:t>U.S. Bank National Association</w:t>
            </w:r>
          </w:p>
        </w:tc>
        <w:tc>
          <w:tcPr>
            <w:tcW w:w="1420" w:type="dxa"/>
            <w:vAlign w:val="bottom"/>
          </w:tcPr>
          <w:p>
            <w:pPr>
              <w:spacing w:after="0"/>
              <w:rPr>
                <w:sz w:val="18"/>
                <w:szCs w:val="18"/>
                <w:color w:val="auto"/>
              </w:rPr>
            </w:pPr>
          </w:p>
        </w:tc>
      </w:tr>
      <w:tr>
        <w:trPr>
          <w:trHeight w:val="216"/>
        </w:trPr>
        <w:tc>
          <w:tcPr>
            <w:tcW w:w="6140" w:type="dxa"/>
            <w:vAlign w:val="bottom"/>
            <w:gridSpan w:val="3"/>
          </w:tcPr>
          <w:p>
            <w:pPr>
              <w:jc w:val="center"/>
              <w:ind w:left="1897"/>
              <w:spacing w:after="0"/>
              <w:rPr>
                <w:sz w:val="20"/>
                <w:szCs w:val="20"/>
                <w:color w:val="auto"/>
              </w:rPr>
            </w:pPr>
            <w:r>
              <w:rPr>
                <w:rFonts w:ascii="Arial" w:cs="Arial" w:eastAsia="Arial" w:hAnsi="Arial"/>
                <w:sz w:val="18"/>
                <w:szCs w:val="18"/>
                <w:b w:val="1"/>
                <w:bCs w:val="1"/>
                <w:color w:val="auto"/>
                <w:w w:val="89"/>
              </w:rPr>
              <w:t>333 Commerce Street, Suite 800</w:t>
            </w:r>
          </w:p>
        </w:tc>
        <w:tc>
          <w:tcPr>
            <w:tcW w:w="14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Nashville, TN 37201</w:t>
            </w:r>
          </w:p>
        </w:tc>
        <w:tc>
          <w:tcPr>
            <w:tcW w:w="1420" w:type="dxa"/>
            <w:vAlign w:val="bottom"/>
          </w:tcPr>
          <w:p>
            <w:pPr>
              <w:spacing w:after="0"/>
              <w:rPr>
                <w:sz w:val="18"/>
                <w:szCs w:val="18"/>
                <w:color w:val="auto"/>
              </w:rPr>
            </w:pPr>
          </w:p>
        </w:tc>
      </w:tr>
      <w:tr>
        <w:trPr>
          <w:trHeight w:val="212"/>
        </w:trPr>
        <w:tc>
          <w:tcPr>
            <w:tcW w:w="5240" w:type="dxa"/>
            <w:vAlign w:val="bottom"/>
            <w:gridSpan w:val="2"/>
          </w:tcPr>
          <w:p>
            <w:pPr>
              <w:jc w:val="center"/>
              <w:ind w:left="2797"/>
              <w:spacing w:after="0"/>
              <w:rPr>
                <w:sz w:val="20"/>
                <w:szCs w:val="20"/>
                <w:color w:val="auto"/>
              </w:rPr>
            </w:pPr>
            <w:r>
              <w:rPr>
                <w:rFonts w:ascii="Arial" w:cs="Arial" w:eastAsia="Arial" w:hAnsi="Arial"/>
                <w:sz w:val="18"/>
                <w:szCs w:val="18"/>
                <w:b w:val="1"/>
                <w:bCs w:val="1"/>
                <w:color w:val="auto"/>
                <w:w w:val="90"/>
              </w:rPr>
              <w:t>(615) 251-0733</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6"/>
        </w:trPr>
        <w:tc>
          <w:tcPr>
            <w:tcW w:w="6140" w:type="dxa"/>
            <w:vAlign w:val="bottom"/>
            <w:gridSpan w:val="3"/>
          </w:tcPr>
          <w:p>
            <w:pPr>
              <w:jc w:val="center"/>
              <w:ind w:left="1877"/>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420" w:type="dxa"/>
            <w:vAlign w:val="bottom"/>
          </w:tcPr>
          <w:p>
            <w:pPr>
              <w:spacing w:after="0"/>
              <w:rPr>
                <w:sz w:val="16"/>
                <w:szCs w:val="16"/>
                <w:color w:val="auto"/>
              </w:rPr>
            </w:pPr>
          </w:p>
        </w:tc>
      </w:tr>
      <w:tr>
        <w:trPr>
          <w:trHeight w:val="336"/>
        </w:trPr>
        <w:tc>
          <w:tcPr>
            <w:tcW w:w="28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3"/>
        </w:trPr>
        <w:tc>
          <w:tcPr>
            <w:tcW w:w="2860" w:type="dxa"/>
            <w:vAlign w:val="bottom"/>
          </w:tcPr>
          <w:p>
            <w:pPr>
              <w:spacing w:after="0"/>
              <w:rPr>
                <w:sz w:val="24"/>
                <w:szCs w:val="24"/>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8"/>
              </w:rPr>
              <w:t>SPECTRUM BRANDS, INC.</w:t>
            </w:r>
            <w:r>
              <w:rPr>
                <w:rFonts w:ascii="Arial" w:cs="Arial" w:eastAsia="Arial" w:hAnsi="Arial"/>
                <w:sz w:val="15"/>
                <w:szCs w:val="15"/>
                <w:b w:val="1"/>
                <w:bCs w:val="1"/>
                <w:color w:val="auto"/>
                <w:w w:val="98"/>
              </w:rPr>
              <w:t>1</w:t>
            </w:r>
          </w:p>
        </w:tc>
        <w:tc>
          <w:tcPr>
            <w:tcW w:w="1420" w:type="dxa"/>
            <w:vAlign w:val="bottom"/>
          </w:tcPr>
          <w:p>
            <w:pPr>
              <w:spacing w:after="0"/>
              <w:rPr>
                <w:sz w:val="24"/>
                <w:szCs w:val="24"/>
                <w:color w:val="auto"/>
              </w:rPr>
            </w:pPr>
          </w:p>
        </w:tc>
      </w:tr>
      <w:tr>
        <w:trPr>
          <w:trHeight w:val="186"/>
        </w:trPr>
        <w:tc>
          <w:tcPr>
            <w:tcW w:w="2860" w:type="dxa"/>
            <w:vAlign w:val="bottom"/>
          </w:tcPr>
          <w:p>
            <w:pPr>
              <w:spacing w:after="0"/>
              <w:rPr>
                <w:sz w:val="16"/>
                <w:szCs w:val="16"/>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(Issuer with respect to the Securities)</w:t>
            </w:r>
          </w:p>
        </w:tc>
        <w:tc>
          <w:tcPr>
            <w:tcW w:w="1420" w:type="dxa"/>
            <w:vAlign w:val="bottom"/>
          </w:tcPr>
          <w:p>
            <w:pPr>
              <w:spacing w:after="0"/>
              <w:rPr>
                <w:sz w:val="16"/>
                <w:szCs w:val="16"/>
                <w:color w:val="auto"/>
              </w:rPr>
            </w:pPr>
          </w:p>
        </w:tc>
      </w:tr>
      <w:tr>
        <w:trPr>
          <w:trHeight w:val="336"/>
        </w:trPr>
        <w:tc>
          <w:tcPr>
            <w:tcW w:w="28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70"/>
        </w:trPr>
        <w:tc>
          <w:tcPr>
            <w:tcW w:w="61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tcPr>
          <w:p>
            <w:pPr>
              <w:jc w:val="center"/>
              <w:ind w:left="200"/>
              <w:spacing w:after="0"/>
              <w:rPr>
                <w:sz w:val="20"/>
                <w:szCs w:val="20"/>
                <w:color w:val="auto"/>
              </w:rPr>
            </w:pPr>
            <w:r>
              <w:rPr>
                <w:rFonts w:ascii="Arial" w:cs="Arial" w:eastAsia="Arial" w:hAnsi="Arial"/>
                <w:sz w:val="18"/>
                <w:szCs w:val="18"/>
                <w:b w:val="1"/>
                <w:bCs w:val="1"/>
                <w:color w:val="auto"/>
                <w:w w:val="89"/>
              </w:rPr>
              <w:t>22-2423556</w:t>
            </w:r>
          </w:p>
        </w:tc>
      </w:tr>
      <w:tr>
        <w:trPr>
          <w:trHeight w:val="149"/>
        </w:trPr>
        <w:tc>
          <w:tcPr>
            <w:tcW w:w="6140" w:type="dxa"/>
            <w:vAlign w:val="bottom"/>
            <w:gridSpan w:val="3"/>
          </w:tcPr>
          <w:p>
            <w:pPr>
              <w:jc w:val="center"/>
              <w:ind w:right="36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gridSpan w:val="3"/>
          </w:tcPr>
          <w:p>
            <w:pPr>
              <w:jc w:val="center"/>
              <w:ind w:right="3660"/>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00"/>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6140" w:type="dxa"/>
            <w:vAlign w:val="bottom"/>
            <w:gridSpan w:val="3"/>
          </w:tcPr>
          <w:p>
            <w:pPr>
              <w:jc w:val="center"/>
              <w:ind w:right="3660"/>
              <w:spacing w:after="0"/>
              <w:rPr>
                <w:sz w:val="20"/>
                <w:szCs w:val="20"/>
                <w:color w:val="auto"/>
              </w:rPr>
            </w:pPr>
            <w:r>
              <w:rPr>
                <w:rFonts w:ascii="Arial" w:cs="Arial" w:eastAsia="Arial" w:hAnsi="Arial"/>
                <w:sz w:val="18"/>
                <w:szCs w:val="18"/>
                <w:b w:val="1"/>
                <w:bCs w:val="1"/>
                <w:color w:val="auto"/>
                <w:w w:val="91"/>
              </w:rPr>
              <w:t>3001 Deming Way</w:t>
            </w:r>
          </w:p>
        </w:tc>
        <w:tc>
          <w:tcPr>
            <w:tcW w:w="1420" w:type="dxa"/>
            <w:vAlign w:val="bottom"/>
          </w:tcPr>
          <w:p>
            <w:pPr>
              <w:spacing w:after="0"/>
              <w:rPr>
                <w:sz w:val="24"/>
                <w:szCs w:val="24"/>
                <w:color w:val="auto"/>
              </w:rPr>
            </w:pPr>
          </w:p>
        </w:tc>
      </w:tr>
      <w:tr>
        <w:trPr>
          <w:trHeight w:val="225"/>
        </w:trPr>
        <w:tc>
          <w:tcPr>
            <w:tcW w:w="61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89"/>
              </w:rPr>
              <w:t>Middleton, Wisconsin</w:t>
            </w:r>
          </w:p>
        </w:tc>
        <w:tc>
          <w:tcPr>
            <w:tcW w:w="1420" w:type="dxa"/>
            <w:vAlign w:val="bottom"/>
          </w:tcPr>
          <w:p>
            <w:pPr>
              <w:jc w:val="center"/>
              <w:ind w:left="200"/>
              <w:spacing w:after="0"/>
              <w:rPr>
                <w:sz w:val="20"/>
                <w:szCs w:val="20"/>
                <w:color w:val="auto"/>
              </w:rPr>
            </w:pPr>
            <w:r>
              <w:rPr>
                <w:rFonts w:ascii="Arial" w:cs="Arial" w:eastAsia="Arial" w:hAnsi="Arial"/>
                <w:sz w:val="18"/>
                <w:szCs w:val="18"/>
                <w:b w:val="1"/>
                <w:bCs w:val="1"/>
                <w:color w:val="auto"/>
                <w:w w:val="91"/>
              </w:rPr>
              <w:t>53562</w:t>
            </w:r>
          </w:p>
        </w:tc>
      </w:tr>
      <w:tr>
        <w:trPr>
          <w:trHeight w:val="186"/>
        </w:trPr>
        <w:tc>
          <w:tcPr>
            <w:tcW w:w="6140" w:type="dxa"/>
            <w:vAlign w:val="bottom"/>
            <w:gridSpan w:val="3"/>
          </w:tcPr>
          <w:p>
            <w:pPr>
              <w:jc w:val="center"/>
              <w:ind w:right="36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0"/>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6.125% Senior Notes due 2024 and Related Guarantees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89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0"/>
          <w:szCs w:val="20"/>
          <w:color w:val="auto"/>
        </w:rPr>
      </w:pPr>
    </w:p>
    <w:p>
      <w:pPr>
        <w:ind w:left="220" w:hanging="212"/>
        <w:spacing w:after="0"/>
        <w:tabs>
          <w:tab w:leader="none" w:pos="220" w:val="left"/>
        </w:tabs>
        <w:numPr>
          <w:ilvl w:val="0"/>
          <w:numId w:val="414"/>
        </w:numPr>
        <w:rPr>
          <w:rFonts w:ascii="Arial" w:cs="Arial" w:eastAsia="Arial" w:hAnsi="Arial"/>
          <w:sz w:val="15"/>
          <w:szCs w:val="15"/>
          <w:color w:val="auto"/>
        </w:rPr>
      </w:pPr>
      <w:r>
        <w:rPr>
          <w:rFonts w:ascii="Arial" w:cs="Arial" w:eastAsia="Arial" w:hAnsi="Arial"/>
          <w:sz w:val="18"/>
          <w:szCs w:val="18"/>
          <w:color w:val="auto"/>
        </w:rPr>
        <w:t>See table of additional obligors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State or Other</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Primary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Standard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Jurisdiction of</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Industrial</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7220" w:type="dxa"/>
            <w:vAlign w:val="bottom"/>
            <w:vMerge w:val="restart"/>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Classification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Identification</w:t>
            </w:r>
          </w:p>
        </w:tc>
        <w:tc>
          <w:tcPr>
            <w:tcW w:w="0" w:type="dxa"/>
            <w:vAlign w:val="bottom"/>
          </w:tcPr>
          <w:p>
            <w:pPr>
              <w:spacing w:after="0"/>
              <w:rPr>
                <w:sz w:val="1"/>
                <w:szCs w:val="1"/>
                <w:color w:val="auto"/>
              </w:rPr>
            </w:pPr>
          </w:p>
        </w:tc>
      </w:tr>
      <w:tr>
        <w:trPr>
          <w:trHeight w:val="178"/>
        </w:trPr>
        <w:tc>
          <w:tcPr>
            <w:tcW w:w="440" w:type="dxa"/>
            <w:vAlign w:val="bottom"/>
            <w:tcBorders>
              <w:bottom w:val="single" w:sz="8" w:color="auto"/>
            </w:tcBorders>
            <w:vMerge w:val="continue"/>
          </w:tcPr>
          <w:p>
            <w:pPr>
              <w:spacing w:after="0"/>
              <w:rPr>
                <w:sz w:val="15"/>
                <w:szCs w:val="15"/>
                <w:color w:val="auto"/>
              </w:rPr>
            </w:pPr>
          </w:p>
        </w:tc>
        <w:tc>
          <w:tcPr>
            <w:tcW w:w="7220" w:type="dxa"/>
            <w:vAlign w:val="bottom"/>
            <w:vMerge w:val="continue"/>
          </w:tcPr>
          <w:p>
            <w:pPr>
              <w:spacing w:after="0"/>
              <w:rPr>
                <w:sz w:val="15"/>
                <w:szCs w:val="15"/>
                <w:color w:val="auto"/>
              </w:rPr>
            </w:pPr>
          </w:p>
        </w:tc>
        <w:tc>
          <w:tcPr>
            <w:tcW w:w="14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Organization</w:t>
            </w:r>
          </w:p>
        </w:tc>
        <w:tc>
          <w:tcPr>
            <w:tcW w:w="13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Code Number</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89"/>
        </w:trPr>
        <w:tc>
          <w:tcPr>
            <w:tcW w:w="7660" w:type="dxa"/>
            <w:vAlign w:val="bottom"/>
            <w:gridSpan w:val="2"/>
          </w:tcPr>
          <w:p>
            <w:pPr>
              <w:spacing w:after="0" w:line="189" w:lineRule="exact"/>
              <w:rPr>
                <w:sz w:val="20"/>
                <w:szCs w:val="20"/>
                <w:color w:val="auto"/>
              </w:rPr>
            </w:pPr>
            <w:r>
              <w:rPr>
                <w:rFonts w:ascii="Arial" w:cs="Arial" w:eastAsia="Arial" w:hAnsi="Arial"/>
                <w:sz w:val="18"/>
                <w:szCs w:val="18"/>
                <w:color w:val="auto"/>
              </w:rPr>
              <w:t>AA Group (U.S.) – A LLC</w:t>
            </w: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Delaware</w:t>
            </w:r>
          </w:p>
        </w:tc>
        <w:tc>
          <w:tcPr>
            <w:tcW w:w="420" w:type="dxa"/>
            <w:vAlign w:val="bottom"/>
          </w:tcPr>
          <w:p>
            <w:pPr>
              <w:spacing w:after="0"/>
              <w:rPr>
                <w:sz w:val="16"/>
                <w:szCs w:val="16"/>
                <w:color w:val="auto"/>
              </w:rPr>
            </w:pPr>
          </w:p>
        </w:tc>
        <w:tc>
          <w:tcPr>
            <w:tcW w:w="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45-4070567</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AA Group (U.S.) – B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45-4070646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Applica Mexico Holdings,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74-3100872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Armored AutoGroup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27-3620112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Armored AutoGroup Sales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27-5136040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National Manufacturing Mexico A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National Manufacturing Mexico B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National Openings, LLC</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Pennsylvania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46-2516338</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ROV Holding,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22-2423555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ROV International Holdings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Salix Animal Health, LLC</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Florida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65-0965477</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SB/RH Holdings,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27-2812840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Schultz Company</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Missouri</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43-0625762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STP Products Manufacturing Company</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06-1408442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The Armor All/STP Products Company</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36-2999270</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United Industries Corporation</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43-1025604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00" w:hanging="452"/>
        <w:spacing w:after="0" w:line="258" w:lineRule="auto"/>
        <w:tabs>
          <w:tab w:leader="none" w:pos="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address of each additional registrant’s principal executive office is c/o Spectrum Brands, Inc., 3001 Deming Way, Middleton, Wisconsin 53562, (608) 275-3340.</w:t>
      </w:r>
    </w:p>
    <w:p>
      <w:pPr>
        <w:spacing w:after="0" w:line="1" w:lineRule="exact"/>
        <w:rPr>
          <w:sz w:val="20"/>
          <w:szCs w:val="20"/>
          <w:color w:val="auto"/>
        </w:rPr>
      </w:pPr>
    </w:p>
    <w:p>
      <w:pPr>
        <w:ind w:left="460" w:hanging="452"/>
        <w:spacing w:after="0"/>
        <w:tabs>
          <w:tab w:leader="none" w:pos="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Single member LLC disregarded for U.S. tax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479" w:name="page480"/>
    <w:bookmarkEnd w:id="47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 xml:space="preserve">GENERAL INFORMATION. </w:t>
      </w:r>
      <w:r>
        <w:rPr>
          <w:rFonts w:ascii="Arial" w:cs="Arial" w:eastAsia="Arial" w:hAnsi="Arial"/>
          <w:sz w:val="17"/>
          <w:szCs w:val="17"/>
          <w:i w:val="1"/>
          <w:iCs w:val="1"/>
          <w:color w:val="auto"/>
        </w:rPr>
        <w:t>Furnish the following information as to the Trustee.</w:t>
      </w:r>
    </w:p>
    <w:p>
      <w:pPr>
        <w:spacing w:after="0" w:line="135" w:lineRule="exact"/>
        <w:rPr>
          <w:sz w:val="20"/>
          <w:szCs w:val="20"/>
          <w:color w:val="auto"/>
        </w:rPr>
      </w:pPr>
    </w:p>
    <w:p>
      <w:pPr>
        <w:ind w:left="1480" w:hanging="567"/>
        <w:spacing w:after="0"/>
        <w:tabs>
          <w:tab w:leader="none" w:pos="148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40" w:right="5640" w:hanging="1027"/>
        <w:spacing w:after="0" w:line="402" w:lineRule="auto"/>
        <w:tabs>
          <w:tab w:leader="none" w:pos="1472" w:val="left"/>
        </w:tabs>
        <w:numPr>
          <w:ilvl w:val="0"/>
          <w:numId w:val="418"/>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ind w:left="1380" w:right="1960" w:hanging="1483"/>
        <w:spacing w:after="0" w:line="407"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03" w:lineRule="exact"/>
        <w:rPr>
          <w:sz w:val="20"/>
          <w:szCs w:val="20"/>
          <w:color w:val="auto"/>
        </w:rPr>
      </w:pPr>
    </w:p>
    <w:p>
      <w:pPr>
        <w:ind w:left="1380" w:hanging="1363"/>
        <w:spacing w:after="0" w:line="277" w:lineRule="auto"/>
        <w:tabs>
          <w:tab w:leader="none" w:pos="13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480" w:hanging="567"/>
        <w:spacing w:after="0"/>
        <w:tabs>
          <w:tab w:leader="none" w:pos="14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480" w:right="720" w:hanging="567"/>
        <w:spacing w:after="0" w:line="277" w:lineRule="auto"/>
        <w:tabs>
          <w:tab w:leader="none" w:pos="14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2015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60" w:right="980" w:hanging="446"/>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Incorporated by reference to Exhibit 25.1 to registration statement on form S-3ASR, Registration Number 333-199863 filed on November 5, 2014.</w:t>
      </w:r>
    </w:p>
    <w:p>
      <w:pPr>
        <w:sectPr>
          <w:pgSz w:w="11900" w:h="16838" w:orient="portrait"/>
          <w:cols w:equalWidth="0" w:num="1">
            <w:col w:w="11400"/>
          </w:cols>
          <w:pgMar w:left="240" w:top="270" w:right="259" w:bottom="1440" w:gutter="0" w:footer="0" w:header="0"/>
        </w:sectPr>
      </w:pPr>
    </w:p>
    <w:bookmarkStart w:id="480" w:name="page481"/>
    <w:bookmarkEnd w:id="48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Nashville, State of Tennessee on the 15</w:t>
      </w:r>
      <w:r>
        <w:rPr>
          <w:rFonts w:ascii="Arial" w:cs="Arial" w:eastAsia="Arial" w:hAnsi="Arial"/>
          <w:sz w:val="14"/>
          <w:szCs w:val="14"/>
          <w:color w:val="auto"/>
        </w:rPr>
        <w:t>th</w:t>
      </w:r>
      <w:r>
        <w:rPr>
          <w:rFonts w:ascii="Arial" w:cs="Arial" w:eastAsia="Arial" w:hAnsi="Arial"/>
          <w:sz w:val="17"/>
          <w:szCs w:val="17"/>
          <w:color w:val="auto"/>
        </w:rPr>
        <w:t xml:space="preserve"> of January, 2016.</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481" w:name="page482"/>
    <w:bookmarkEnd w:id="481"/>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186055</wp:posOffset>
            </wp:positionV>
            <wp:extent cx="4768215" cy="64319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768215" cy="64319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270" w:right="1440" w:bottom="1440" w:gutter="0" w:footer="0" w:header="0"/>
          <w:type w:val="continuous"/>
        </w:sectPr>
      </w:pPr>
    </w:p>
    <w:bookmarkStart w:id="482" w:name="page483"/>
    <w:bookmarkEnd w:id="482"/>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186055</wp:posOffset>
            </wp:positionV>
            <wp:extent cx="4699635" cy="64319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699635" cy="643191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269" w:right="1440" w:bottom="1440" w:gutter="0" w:footer="0" w:header="0"/>
          <w:type w:val="continuous"/>
        </w:sectPr>
      </w:pPr>
    </w:p>
    <w:bookmarkStart w:id="483" w:name="page484"/>
    <w:bookmarkEnd w:id="483"/>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15,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69" w:right="299" w:bottom="1440" w:gutter="0" w:footer="0" w:header="0"/>
        </w:sectPr>
      </w:pPr>
    </w:p>
    <w:bookmarkStart w:id="484" w:name="page485"/>
    <w:bookmarkEnd w:id="484"/>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60" w:type="dxa"/>
            <w:vAlign w:val="bottom"/>
            <w:gridSpan w:val="3"/>
          </w:tcPr>
          <w:p>
            <w:pPr>
              <w:jc w:val="center"/>
              <w:ind w:right="427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6100" w:type="dxa"/>
            <w:vAlign w:val="bottom"/>
            <w:gridSpan w:val="4"/>
          </w:tcPr>
          <w:p>
            <w:pPr>
              <w:jc w:val="center"/>
              <w:ind w:right="3230"/>
              <w:spacing w:after="0"/>
              <w:rPr>
                <w:sz w:val="20"/>
                <w:szCs w:val="20"/>
                <w:color w:val="auto"/>
              </w:rPr>
            </w:pPr>
            <w:r>
              <w:rPr>
                <w:rFonts w:ascii="Arial" w:cs="Arial" w:eastAsia="Arial" w:hAnsi="Arial"/>
                <w:sz w:val="18"/>
                <w:szCs w:val="18"/>
                <w:b w:val="1"/>
                <w:bCs w:val="1"/>
                <w:color w:val="auto"/>
                <w:w w:val="90"/>
              </w:rPr>
              <w:t>As of 9/30/2015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w w:val="93"/>
              </w:rPr>
              <w:t>Cash and Balances Due From Depository Institutions</w:t>
            </w:r>
          </w:p>
        </w:tc>
        <w:tc>
          <w:tcPr>
            <w:tcW w:w="6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10,415,443</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104,656,800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Federal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100,570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254,216,913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4,639,396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12,997,753</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23,862,998</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410,889,873</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305,185,303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1,491,858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Demand Notes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1,227,900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45,698,345</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Acceptances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11,782,630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368,536,036</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Surplus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14,266,400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Undivided Profits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27,210,891</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Minority Interest in Subsidiaries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858,346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42,353,837</w:t>
            </w: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410,889,873</w:t>
            </w:r>
          </w:p>
        </w:tc>
        <w:tc>
          <w:tcPr>
            <w:tcW w:w="100" w:type="dxa"/>
            <w:vAlign w:val="bottom"/>
          </w:tcPr>
          <w:p>
            <w:pPr>
              <w:spacing w:after="0"/>
              <w:rPr>
                <w:sz w:val="24"/>
                <w:szCs w:val="24"/>
                <w:color w:val="auto"/>
              </w:rPr>
            </w:pPr>
          </w:p>
        </w:tc>
      </w:tr>
      <w:tr>
        <w:trPr>
          <w:trHeight w:val="365"/>
        </w:trPr>
        <w:tc>
          <w:tcPr>
            <w:tcW w:w="4320" w:type="dxa"/>
            <w:vAlign w:val="bottom"/>
          </w:tcPr>
          <w:p>
            <w:pPr>
              <w:spacing w:after="0"/>
              <w:rPr>
                <w:sz w:val="24"/>
                <w:szCs w:val="24"/>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6</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85" w:name="page486"/>
    <w:bookmarkEnd w:id="485"/>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hanging="452"/>
        <w:spacing w:after="0"/>
        <w:tabs>
          <w:tab w:leader="none" w:pos="460" w:val="left"/>
        </w:tabs>
        <w:numPr>
          <w:ilvl w:val="0"/>
          <w:numId w:val="421"/>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219"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618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4"/>
              </w:rPr>
              <w:t>800 Nicollet Mall</w:t>
            </w:r>
          </w:p>
        </w:tc>
        <w:tc>
          <w:tcPr>
            <w:tcW w:w="1440" w:type="dxa"/>
            <w:vAlign w:val="bottom"/>
          </w:tcPr>
          <w:p>
            <w:pPr>
              <w:spacing w:after="0"/>
              <w:rPr>
                <w:sz w:val="18"/>
                <w:szCs w:val="18"/>
                <w:color w:val="auto"/>
              </w:rPr>
            </w:pPr>
          </w:p>
        </w:tc>
      </w:tr>
      <w:tr>
        <w:trPr>
          <w:trHeight w:val="225"/>
        </w:trPr>
        <w:tc>
          <w:tcPr>
            <w:tcW w:w="618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0"/>
              </w:rPr>
              <w:t>Minneapolis, Minnesota</w:t>
            </w:r>
          </w:p>
        </w:tc>
        <w:tc>
          <w:tcPr>
            <w:tcW w:w="1440" w:type="dxa"/>
            <w:vAlign w:val="bottom"/>
          </w:tcPr>
          <w:p>
            <w:pPr>
              <w:jc w:val="center"/>
              <w:ind w:left="240"/>
              <w:spacing w:after="0"/>
              <w:rPr>
                <w:sz w:val="20"/>
                <w:szCs w:val="20"/>
                <w:color w:val="auto"/>
              </w:rPr>
            </w:pPr>
            <w:r>
              <w:rPr>
                <w:rFonts w:ascii="Arial" w:cs="Arial" w:eastAsia="Arial" w:hAnsi="Arial"/>
                <w:sz w:val="18"/>
                <w:szCs w:val="18"/>
                <w:b w:val="1"/>
                <w:bCs w:val="1"/>
                <w:color w:val="auto"/>
                <w:w w:val="87"/>
              </w:rPr>
              <w:t>55402</w:t>
            </w:r>
          </w:p>
        </w:tc>
      </w:tr>
      <w:tr>
        <w:trPr>
          <w:trHeight w:val="186"/>
        </w:trPr>
        <w:tc>
          <w:tcPr>
            <w:tcW w:w="6180" w:type="dxa"/>
            <w:vAlign w:val="bottom"/>
            <w:gridSpan w:val="3"/>
          </w:tcPr>
          <w:p>
            <w:pPr>
              <w:jc w:val="center"/>
              <w:ind w:right="37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40"/>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284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8"/>
              </w:rPr>
              <w:t>Wally Jones</w:t>
            </w:r>
          </w:p>
        </w:tc>
        <w:tc>
          <w:tcPr>
            <w:tcW w:w="1440" w:type="dxa"/>
            <w:vAlign w:val="bottom"/>
          </w:tcPr>
          <w:p>
            <w:pPr>
              <w:spacing w:after="0"/>
              <w:rPr>
                <w:sz w:val="24"/>
                <w:szCs w:val="24"/>
                <w:color w:val="auto"/>
              </w:rPr>
            </w:pPr>
          </w:p>
        </w:tc>
      </w:tr>
      <w:tr>
        <w:trPr>
          <w:trHeight w:val="216"/>
        </w:trPr>
        <w:tc>
          <w:tcPr>
            <w:tcW w:w="6180" w:type="dxa"/>
            <w:vAlign w:val="bottom"/>
            <w:gridSpan w:val="3"/>
          </w:tcPr>
          <w:p>
            <w:pPr>
              <w:jc w:val="center"/>
              <w:ind w:left="1817"/>
              <w:spacing w:after="0"/>
              <w:rPr>
                <w:sz w:val="20"/>
                <w:szCs w:val="20"/>
                <w:color w:val="auto"/>
              </w:rPr>
            </w:pPr>
            <w:r>
              <w:rPr>
                <w:rFonts w:ascii="Arial" w:cs="Arial" w:eastAsia="Arial" w:hAnsi="Arial"/>
                <w:sz w:val="18"/>
                <w:szCs w:val="18"/>
                <w:b w:val="1"/>
                <w:bCs w:val="1"/>
                <w:color w:val="auto"/>
                <w:w w:val="89"/>
              </w:rPr>
              <w:t>U.S. Bank National Association</w:t>
            </w:r>
          </w:p>
        </w:tc>
        <w:tc>
          <w:tcPr>
            <w:tcW w:w="1440" w:type="dxa"/>
            <w:vAlign w:val="bottom"/>
          </w:tcPr>
          <w:p>
            <w:pPr>
              <w:spacing w:after="0"/>
              <w:rPr>
                <w:sz w:val="18"/>
                <w:szCs w:val="18"/>
                <w:color w:val="auto"/>
              </w:rPr>
            </w:pPr>
          </w:p>
        </w:tc>
      </w:tr>
      <w:tr>
        <w:trPr>
          <w:trHeight w:val="216"/>
        </w:trPr>
        <w:tc>
          <w:tcPr>
            <w:tcW w:w="6180" w:type="dxa"/>
            <w:vAlign w:val="bottom"/>
            <w:gridSpan w:val="3"/>
          </w:tcPr>
          <w:p>
            <w:pPr>
              <w:jc w:val="center"/>
              <w:ind w:left="1817"/>
              <w:spacing w:after="0"/>
              <w:rPr>
                <w:sz w:val="20"/>
                <w:szCs w:val="20"/>
                <w:color w:val="auto"/>
              </w:rPr>
            </w:pPr>
            <w:r>
              <w:rPr>
                <w:rFonts w:ascii="Arial" w:cs="Arial" w:eastAsia="Arial" w:hAnsi="Arial"/>
                <w:sz w:val="18"/>
                <w:szCs w:val="18"/>
                <w:b w:val="1"/>
                <w:bCs w:val="1"/>
                <w:color w:val="auto"/>
                <w:w w:val="89"/>
              </w:rPr>
              <w:t>333 Commerce Street, Suite 800</w:t>
            </w:r>
          </w:p>
        </w:tc>
        <w:tc>
          <w:tcPr>
            <w:tcW w:w="144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1"/>
              </w:rPr>
              <w:t>Nashville, TN 37201</w:t>
            </w:r>
          </w:p>
        </w:tc>
        <w:tc>
          <w:tcPr>
            <w:tcW w:w="1440" w:type="dxa"/>
            <w:vAlign w:val="bottom"/>
          </w:tcPr>
          <w:p>
            <w:pPr>
              <w:spacing w:after="0"/>
              <w:rPr>
                <w:sz w:val="18"/>
                <w:szCs w:val="18"/>
                <w:color w:val="auto"/>
              </w:rPr>
            </w:pPr>
          </w:p>
        </w:tc>
      </w:tr>
      <w:tr>
        <w:trPr>
          <w:trHeight w:val="212"/>
        </w:trPr>
        <w:tc>
          <w:tcPr>
            <w:tcW w:w="5220" w:type="dxa"/>
            <w:vAlign w:val="bottom"/>
            <w:gridSpan w:val="2"/>
          </w:tcPr>
          <w:p>
            <w:pPr>
              <w:jc w:val="center"/>
              <w:ind w:left="2777"/>
              <w:spacing w:after="0"/>
              <w:rPr>
                <w:sz w:val="20"/>
                <w:szCs w:val="20"/>
                <w:color w:val="auto"/>
              </w:rPr>
            </w:pPr>
            <w:r>
              <w:rPr>
                <w:rFonts w:ascii="Arial" w:cs="Arial" w:eastAsia="Arial" w:hAnsi="Arial"/>
                <w:sz w:val="18"/>
                <w:szCs w:val="18"/>
                <w:b w:val="1"/>
                <w:bCs w:val="1"/>
                <w:color w:val="auto"/>
                <w:w w:val="90"/>
              </w:rPr>
              <w:t>(615) 251-0733</w:t>
            </w: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6"/>
        </w:trPr>
        <w:tc>
          <w:tcPr>
            <w:tcW w:w="6180" w:type="dxa"/>
            <w:vAlign w:val="bottom"/>
            <w:gridSpan w:val="3"/>
          </w:tcPr>
          <w:p>
            <w:pPr>
              <w:jc w:val="center"/>
              <w:ind w:left="1797"/>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440" w:type="dxa"/>
            <w:vAlign w:val="bottom"/>
          </w:tcPr>
          <w:p>
            <w:pPr>
              <w:spacing w:after="0"/>
              <w:rPr>
                <w:sz w:val="16"/>
                <w:szCs w:val="16"/>
                <w:color w:val="auto"/>
              </w:rPr>
            </w:pPr>
          </w:p>
        </w:tc>
      </w:tr>
      <w:tr>
        <w:trPr>
          <w:trHeight w:val="336"/>
        </w:trPr>
        <w:tc>
          <w:tcPr>
            <w:tcW w:w="28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3"/>
        </w:trPr>
        <w:tc>
          <w:tcPr>
            <w:tcW w:w="2840" w:type="dxa"/>
            <w:vAlign w:val="bottom"/>
          </w:tcPr>
          <w:p>
            <w:pPr>
              <w:spacing w:after="0"/>
              <w:rPr>
                <w:sz w:val="24"/>
                <w:szCs w:val="24"/>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8"/>
              </w:rPr>
              <w:t>SPECTRUM BRANDS, INC.</w:t>
            </w:r>
            <w:r>
              <w:rPr>
                <w:rFonts w:ascii="Arial" w:cs="Arial" w:eastAsia="Arial" w:hAnsi="Arial"/>
                <w:sz w:val="15"/>
                <w:szCs w:val="15"/>
                <w:b w:val="1"/>
                <w:bCs w:val="1"/>
                <w:color w:val="auto"/>
                <w:w w:val="98"/>
              </w:rPr>
              <w:t>1</w:t>
            </w:r>
          </w:p>
        </w:tc>
        <w:tc>
          <w:tcPr>
            <w:tcW w:w="1440" w:type="dxa"/>
            <w:vAlign w:val="bottom"/>
          </w:tcPr>
          <w:p>
            <w:pPr>
              <w:spacing w:after="0"/>
              <w:rPr>
                <w:sz w:val="24"/>
                <w:szCs w:val="24"/>
                <w:color w:val="auto"/>
              </w:rPr>
            </w:pPr>
          </w:p>
        </w:tc>
      </w:tr>
      <w:tr>
        <w:trPr>
          <w:trHeight w:val="186"/>
        </w:trPr>
        <w:tc>
          <w:tcPr>
            <w:tcW w:w="2840" w:type="dxa"/>
            <w:vAlign w:val="bottom"/>
          </w:tcPr>
          <w:p>
            <w:pPr>
              <w:spacing w:after="0"/>
              <w:rPr>
                <w:sz w:val="16"/>
                <w:szCs w:val="16"/>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(Issuer with respect to the Securities)</w:t>
            </w:r>
          </w:p>
        </w:tc>
        <w:tc>
          <w:tcPr>
            <w:tcW w:w="1440" w:type="dxa"/>
            <w:vAlign w:val="bottom"/>
          </w:tcPr>
          <w:p>
            <w:pPr>
              <w:spacing w:after="0"/>
              <w:rPr>
                <w:sz w:val="16"/>
                <w:szCs w:val="16"/>
                <w:color w:val="auto"/>
              </w:rPr>
            </w:pPr>
          </w:p>
        </w:tc>
      </w:tr>
      <w:tr>
        <w:trPr>
          <w:trHeight w:val="336"/>
        </w:trPr>
        <w:tc>
          <w:tcPr>
            <w:tcW w:w="28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0"/>
        </w:trPr>
        <w:tc>
          <w:tcPr>
            <w:tcW w:w="618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center"/>
              <w:ind w:left="240"/>
              <w:spacing w:after="0"/>
              <w:rPr>
                <w:sz w:val="20"/>
                <w:szCs w:val="20"/>
                <w:color w:val="auto"/>
              </w:rPr>
            </w:pPr>
            <w:r>
              <w:rPr>
                <w:rFonts w:ascii="Arial" w:cs="Arial" w:eastAsia="Arial" w:hAnsi="Arial"/>
                <w:sz w:val="18"/>
                <w:szCs w:val="18"/>
                <w:b w:val="1"/>
                <w:bCs w:val="1"/>
                <w:color w:val="auto"/>
                <w:w w:val="91"/>
              </w:rPr>
              <w:t>22-2423556</w:t>
            </w:r>
          </w:p>
        </w:tc>
      </w:tr>
      <w:tr>
        <w:trPr>
          <w:trHeight w:val="149"/>
        </w:trPr>
        <w:tc>
          <w:tcPr>
            <w:tcW w:w="6180" w:type="dxa"/>
            <w:vAlign w:val="bottom"/>
            <w:gridSpan w:val="3"/>
          </w:tcPr>
          <w:p>
            <w:pPr>
              <w:jc w:val="center"/>
              <w:ind w:right="3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0"/>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618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1"/>
              </w:rPr>
              <w:t>3001 Deming Way</w:t>
            </w:r>
          </w:p>
        </w:tc>
        <w:tc>
          <w:tcPr>
            <w:tcW w:w="1440" w:type="dxa"/>
            <w:vAlign w:val="bottom"/>
          </w:tcPr>
          <w:p>
            <w:pPr>
              <w:spacing w:after="0"/>
              <w:rPr>
                <w:sz w:val="24"/>
                <w:szCs w:val="24"/>
                <w:color w:val="auto"/>
              </w:rPr>
            </w:pPr>
          </w:p>
        </w:tc>
      </w:tr>
      <w:tr>
        <w:trPr>
          <w:trHeight w:val="225"/>
        </w:trPr>
        <w:tc>
          <w:tcPr>
            <w:tcW w:w="618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0"/>
              </w:rPr>
              <w:t>Middleton, Wisconsin</w:t>
            </w:r>
          </w:p>
        </w:tc>
        <w:tc>
          <w:tcPr>
            <w:tcW w:w="1440" w:type="dxa"/>
            <w:vAlign w:val="bottom"/>
          </w:tcPr>
          <w:p>
            <w:pPr>
              <w:jc w:val="center"/>
              <w:ind w:left="240"/>
              <w:spacing w:after="0"/>
              <w:rPr>
                <w:sz w:val="20"/>
                <w:szCs w:val="20"/>
                <w:color w:val="auto"/>
              </w:rPr>
            </w:pPr>
            <w:r>
              <w:rPr>
                <w:rFonts w:ascii="Arial" w:cs="Arial" w:eastAsia="Arial" w:hAnsi="Arial"/>
                <w:sz w:val="18"/>
                <w:szCs w:val="18"/>
                <w:b w:val="1"/>
                <w:bCs w:val="1"/>
                <w:color w:val="auto"/>
                <w:w w:val="87"/>
              </w:rPr>
              <w:t>53562</w:t>
            </w:r>
          </w:p>
        </w:tc>
      </w:tr>
      <w:tr>
        <w:trPr>
          <w:trHeight w:val="186"/>
        </w:trPr>
        <w:tc>
          <w:tcPr>
            <w:tcW w:w="6180" w:type="dxa"/>
            <w:vAlign w:val="bottom"/>
            <w:gridSpan w:val="3"/>
          </w:tcPr>
          <w:p>
            <w:pPr>
              <w:jc w:val="center"/>
              <w:ind w:right="37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40"/>
              <w:spacing w:after="0"/>
              <w:rPr>
                <w:sz w:val="20"/>
                <w:szCs w:val="20"/>
                <w:color w:val="auto"/>
              </w:rPr>
            </w:pPr>
            <w:r>
              <w:rPr>
                <w:rFonts w:ascii="Arial" w:cs="Arial" w:eastAsia="Arial" w:hAnsi="Arial"/>
                <w:sz w:val="14"/>
                <w:szCs w:val="14"/>
                <w:b w:val="1"/>
                <w:bCs w:val="1"/>
                <w:color w:val="auto"/>
                <w:w w:val="98"/>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5.750% Senior Notes due 2025 and Related Guarantees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89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0"/>
          <w:szCs w:val="20"/>
          <w:color w:val="auto"/>
        </w:rPr>
      </w:pPr>
    </w:p>
    <w:p>
      <w:pPr>
        <w:ind w:left="220" w:hanging="212"/>
        <w:spacing w:after="0"/>
        <w:tabs>
          <w:tab w:leader="none" w:pos="220" w:val="left"/>
        </w:tabs>
        <w:numPr>
          <w:ilvl w:val="0"/>
          <w:numId w:val="422"/>
        </w:numPr>
        <w:rPr>
          <w:rFonts w:ascii="Arial" w:cs="Arial" w:eastAsia="Arial" w:hAnsi="Arial"/>
          <w:sz w:val="15"/>
          <w:szCs w:val="15"/>
          <w:color w:val="auto"/>
        </w:rPr>
      </w:pPr>
      <w:r>
        <w:rPr>
          <w:rFonts w:ascii="Arial" w:cs="Arial" w:eastAsia="Arial" w:hAnsi="Arial"/>
          <w:sz w:val="18"/>
          <w:szCs w:val="18"/>
          <w:color w:val="auto"/>
        </w:rPr>
        <w:t>See table of additional obligors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6" w:name="page487"/>
    <w:bookmarkEnd w:id="4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State or Other</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Primary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Standard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Jurisdiction of</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Industrial</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7220" w:type="dxa"/>
            <w:vAlign w:val="bottom"/>
            <w:vMerge w:val="restart"/>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Classification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Identification</w:t>
            </w:r>
          </w:p>
        </w:tc>
        <w:tc>
          <w:tcPr>
            <w:tcW w:w="0" w:type="dxa"/>
            <w:vAlign w:val="bottom"/>
          </w:tcPr>
          <w:p>
            <w:pPr>
              <w:spacing w:after="0"/>
              <w:rPr>
                <w:sz w:val="1"/>
                <w:szCs w:val="1"/>
                <w:color w:val="auto"/>
              </w:rPr>
            </w:pPr>
          </w:p>
        </w:tc>
      </w:tr>
      <w:tr>
        <w:trPr>
          <w:trHeight w:val="178"/>
        </w:trPr>
        <w:tc>
          <w:tcPr>
            <w:tcW w:w="440" w:type="dxa"/>
            <w:vAlign w:val="bottom"/>
            <w:tcBorders>
              <w:bottom w:val="single" w:sz="8" w:color="auto"/>
            </w:tcBorders>
            <w:vMerge w:val="continue"/>
          </w:tcPr>
          <w:p>
            <w:pPr>
              <w:spacing w:after="0"/>
              <w:rPr>
                <w:sz w:val="15"/>
                <w:szCs w:val="15"/>
                <w:color w:val="auto"/>
              </w:rPr>
            </w:pPr>
          </w:p>
        </w:tc>
        <w:tc>
          <w:tcPr>
            <w:tcW w:w="7220" w:type="dxa"/>
            <w:vAlign w:val="bottom"/>
            <w:vMerge w:val="continue"/>
          </w:tcPr>
          <w:p>
            <w:pPr>
              <w:spacing w:after="0"/>
              <w:rPr>
                <w:sz w:val="15"/>
                <w:szCs w:val="15"/>
                <w:color w:val="auto"/>
              </w:rPr>
            </w:pPr>
          </w:p>
        </w:tc>
        <w:tc>
          <w:tcPr>
            <w:tcW w:w="14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Organization</w:t>
            </w:r>
          </w:p>
        </w:tc>
        <w:tc>
          <w:tcPr>
            <w:tcW w:w="13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Code Number</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89"/>
        </w:trPr>
        <w:tc>
          <w:tcPr>
            <w:tcW w:w="7660" w:type="dxa"/>
            <w:vAlign w:val="bottom"/>
            <w:gridSpan w:val="2"/>
          </w:tcPr>
          <w:p>
            <w:pPr>
              <w:spacing w:after="0" w:line="189" w:lineRule="exact"/>
              <w:rPr>
                <w:sz w:val="20"/>
                <w:szCs w:val="20"/>
                <w:color w:val="auto"/>
              </w:rPr>
            </w:pPr>
            <w:r>
              <w:rPr>
                <w:rFonts w:ascii="Arial" w:cs="Arial" w:eastAsia="Arial" w:hAnsi="Arial"/>
                <w:sz w:val="18"/>
                <w:szCs w:val="18"/>
                <w:color w:val="auto"/>
              </w:rPr>
              <w:t>AA Group (U.S.) – A LLC</w:t>
            </w: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Delaware</w:t>
            </w:r>
          </w:p>
        </w:tc>
        <w:tc>
          <w:tcPr>
            <w:tcW w:w="420" w:type="dxa"/>
            <w:vAlign w:val="bottom"/>
          </w:tcPr>
          <w:p>
            <w:pPr>
              <w:spacing w:after="0"/>
              <w:rPr>
                <w:sz w:val="16"/>
                <w:szCs w:val="16"/>
                <w:color w:val="auto"/>
              </w:rPr>
            </w:pPr>
          </w:p>
        </w:tc>
        <w:tc>
          <w:tcPr>
            <w:tcW w:w="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45-4070567</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AA Group (U.S.) – B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45-4070646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Applica Mexico Holdings,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74-3100872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Armored AutoGroup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27-3620112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Armored AutoGroup Sales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27-5136040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National Manufacturing Mexico A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National Manufacturing Mexico B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National Openings, LLC</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Pennsylvania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46-2516338</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ROV Holding,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22-2423555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ROV International Holdings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Salix Animal Health, LLC</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Florida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65-0965477</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SB/RH Holdings,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27-2812840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Schultz Company</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Missouri</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43-0625762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STP Products Manufacturing Company</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06-1408442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The Armor All/STP Products Company</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36-2999270</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United Industries Corporation</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43-1025604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00" w:hanging="452"/>
        <w:spacing w:after="0" w:line="258" w:lineRule="auto"/>
        <w:tabs>
          <w:tab w:leader="none" w:pos="4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address of each additional registrant’s principal executive office is c/o Spectrum Brands, Inc., 3001 Deming Way, Middleton, Wisconsin 53562, (608) 275-3340.</w:t>
      </w:r>
    </w:p>
    <w:p>
      <w:pPr>
        <w:spacing w:after="0" w:line="1" w:lineRule="exact"/>
        <w:rPr>
          <w:sz w:val="20"/>
          <w:szCs w:val="20"/>
          <w:color w:val="auto"/>
        </w:rPr>
      </w:pPr>
    </w:p>
    <w:p>
      <w:pPr>
        <w:ind w:left="460" w:hanging="452"/>
        <w:spacing w:after="0"/>
        <w:tabs>
          <w:tab w:leader="none" w:pos="4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Single member LLC disregarded for U.S. tax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87" w:name="page488"/>
    <w:bookmarkEnd w:id="48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1480" w:hanging="567"/>
        <w:spacing w:after="0"/>
        <w:tabs>
          <w:tab w:leader="none" w:pos="1480" w:val="left"/>
        </w:tabs>
        <w:numPr>
          <w:ilvl w:val="0"/>
          <w:numId w:val="425"/>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40" w:right="5640" w:hanging="1027"/>
        <w:spacing w:after="0" w:line="402" w:lineRule="auto"/>
        <w:tabs>
          <w:tab w:leader="none" w:pos="1472" w:val="left"/>
        </w:tabs>
        <w:numPr>
          <w:ilvl w:val="0"/>
          <w:numId w:val="426"/>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ind w:left="1380" w:right="1960" w:hanging="1483"/>
        <w:spacing w:after="0" w:line="407"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03" w:lineRule="exact"/>
        <w:rPr>
          <w:sz w:val="20"/>
          <w:szCs w:val="20"/>
          <w:color w:val="auto"/>
        </w:rPr>
      </w:pPr>
    </w:p>
    <w:p>
      <w:pPr>
        <w:ind w:left="1380" w:hanging="1363"/>
        <w:spacing w:after="0" w:line="277" w:lineRule="auto"/>
        <w:tabs>
          <w:tab w:leader="none" w:pos="13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480" w:hanging="567"/>
        <w:spacing w:after="0"/>
        <w:tabs>
          <w:tab w:leader="none" w:pos="14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480" w:right="720" w:hanging="567"/>
        <w:spacing w:after="0" w:line="277" w:lineRule="auto"/>
        <w:tabs>
          <w:tab w:leader="none" w:pos="14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2015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60" w:right="980" w:hanging="446"/>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Incorporated by reference to Exhibit 25.1 to registration statement on form S-3ASR, Registration Number 333-199863 filed on November 5, 2014.</w:t>
      </w:r>
    </w:p>
    <w:p>
      <w:pPr>
        <w:sectPr>
          <w:pgSz w:w="11900" w:h="16838" w:orient="portrait"/>
          <w:cols w:equalWidth="0" w:num="1">
            <w:col w:w="11400"/>
          </w:cols>
          <w:pgMar w:left="240" w:top="269" w:right="259" w:bottom="1440" w:gutter="0" w:footer="0" w:header="0"/>
        </w:sectPr>
      </w:pPr>
    </w:p>
    <w:bookmarkStart w:id="488" w:name="page489"/>
    <w:bookmarkEnd w:id="4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Nashville, State of Tennessee on the 15</w:t>
      </w:r>
      <w:r>
        <w:rPr>
          <w:rFonts w:ascii="Arial" w:cs="Arial" w:eastAsia="Arial" w:hAnsi="Arial"/>
          <w:sz w:val="14"/>
          <w:szCs w:val="14"/>
          <w:color w:val="auto"/>
        </w:rPr>
        <w:t>th</w:t>
      </w:r>
      <w:r>
        <w:rPr>
          <w:rFonts w:ascii="Arial" w:cs="Arial" w:eastAsia="Arial" w:hAnsi="Arial"/>
          <w:sz w:val="17"/>
          <w:szCs w:val="17"/>
          <w:color w:val="auto"/>
        </w:rPr>
        <w:t xml:space="preserve"> of January, 2016.</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489" w:name="page490"/>
    <w:bookmarkEnd w:id="489"/>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186690</wp:posOffset>
            </wp:positionV>
            <wp:extent cx="4776470" cy="64319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776470" cy="64319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270" w:right="1440" w:bottom="1440" w:gutter="0" w:footer="0" w:header="0"/>
          <w:type w:val="continuous"/>
        </w:sectPr>
      </w:pPr>
    </w:p>
    <w:bookmarkStart w:id="490" w:name="page491"/>
    <w:bookmarkEnd w:id="490"/>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186690</wp:posOffset>
            </wp:positionV>
            <wp:extent cx="4819650" cy="64319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819650" cy="643191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269" w:right="1440" w:bottom="1440" w:gutter="0" w:footer="0" w:header="0"/>
          <w:type w:val="continuous"/>
        </w:sectPr>
      </w:pPr>
    </w:p>
    <w:bookmarkStart w:id="491" w:name="page492"/>
    <w:bookmarkEnd w:id="491"/>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15,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492" w:name="page493"/>
    <w:bookmarkEnd w:id="492"/>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60" w:type="dxa"/>
            <w:vAlign w:val="bottom"/>
            <w:gridSpan w:val="3"/>
          </w:tcPr>
          <w:p>
            <w:pPr>
              <w:jc w:val="center"/>
              <w:ind w:right="427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6100" w:type="dxa"/>
            <w:vAlign w:val="bottom"/>
            <w:gridSpan w:val="4"/>
          </w:tcPr>
          <w:p>
            <w:pPr>
              <w:jc w:val="center"/>
              <w:ind w:right="3230"/>
              <w:spacing w:after="0"/>
              <w:rPr>
                <w:sz w:val="20"/>
                <w:szCs w:val="20"/>
                <w:color w:val="auto"/>
              </w:rPr>
            </w:pPr>
            <w:r>
              <w:rPr>
                <w:rFonts w:ascii="Arial" w:cs="Arial" w:eastAsia="Arial" w:hAnsi="Arial"/>
                <w:sz w:val="18"/>
                <w:szCs w:val="18"/>
                <w:b w:val="1"/>
                <w:bCs w:val="1"/>
                <w:color w:val="auto"/>
                <w:w w:val="90"/>
              </w:rPr>
              <w:t>As of 9/30/2015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w w:val="93"/>
              </w:rPr>
              <w:t>Cash and Balances Due From Depository Institutions</w:t>
            </w:r>
          </w:p>
        </w:tc>
        <w:tc>
          <w:tcPr>
            <w:tcW w:w="6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10,415,443</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104,656,800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Federal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100,570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254,216,913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4,639,396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12,997,753</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23,862,998</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410,889,873</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305,185,303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1,491,858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Demand Notes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1,227,900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45,698,345</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Acceptances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11,782,630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368,536,036</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Surplus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14,266,400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Undivided Profits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27,210,891</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Minority Interest in Subsidiaries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858,346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42,353,837</w:t>
            </w: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410,889,873</w:t>
            </w:r>
          </w:p>
        </w:tc>
        <w:tc>
          <w:tcPr>
            <w:tcW w:w="100" w:type="dxa"/>
            <w:vAlign w:val="bottom"/>
          </w:tcPr>
          <w:p>
            <w:pPr>
              <w:spacing w:after="0"/>
              <w:rPr>
                <w:sz w:val="24"/>
                <w:szCs w:val="24"/>
                <w:color w:val="auto"/>
              </w:rPr>
            </w:pPr>
          </w:p>
        </w:tc>
      </w:tr>
      <w:tr>
        <w:trPr>
          <w:trHeight w:val="365"/>
        </w:trPr>
        <w:tc>
          <w:tcPr>
            <w:tcW w:w="4320" w:type="dxa"/>
            <w:vAlign w:val="bottom"/>
          </w:tcPr>
          <w:p>
            <w:pPr>
              <w:spacing w:after="0"/>
              <w:rPr>
                <w:sz w:val="24"/>
                <w:szCs w:val="24"/>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6</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93" w:name="page494"/>
    <w:bookmarkEnd w:id="493"/>
    <w:p>
      <w:pPr>
        <w:jc w:val="right"/>
        <w:spacing w:after="0"/>
        <w:rPr>
          <w:sz w:val="20"/>
          <w:szCs w:val="20"/>
          <w:color w:val="auto"/>
        </w:rPr>
      </w:pPr>
      <w:r>
        <w:rPr>
          <w:rFonts w:ascii="Arial" w:cs="Arial" w:eastAsia="Arial" w:hAnsi="Arial"/>
          <w:sz w:val="18"/>
          <w:szCs w:val="18"/>
          <w:b w:val="1"/>
          <w:bCs w:val="1"/>
          <w:color w:val="auto"/>
        </w:rPr>
        <w:t>Exhibit 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hanging="452"/>
        <w:spacing w:after="0"/>
        <w:tabs>
          <w:tab w:leader="none" w:pos="460" w:val="left"/>
        </w:tabs>
        <w:numPr>
          <w:ilvl w:val="0"/>
          <w:numId w:val="429"/>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219"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61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92"/>
              </w:rPr>
              <w:t>800 Nicollet Mall</w:t>
            </w:r>
          </w:p>
        </w:tc>
        <w:tc>
          <w:tcPr>
            <w:tcW w:w="1420" w:type="dxa"/>
            <w:vAlign w:val="bottom"/>
          </w:tcPr>
          <w:p>
            <w:pPr>
              <w:spacing w:after="0"/>
              <w:rPr>
                <w:sz w:val="18"/>
                <w:szCs w:val="18"/>
                <w:color w:val="auto"/>
              </w:rPr>
            </w:pPr>
          </w:p>
        </w:tc>
      </w:tr>
      <w:tr>
        <w:trPr>
          <w:trHeight w:val="225"/>
        </w:trPr>
        <w:tc>
          <w:tcPr>
            <w:tcW w:w="61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91"/>
              </w:rPr>
              <w:t>Minneapolis, Minnesota</w:t>
            </w:r>
          </w:p>
        </w:tc>
        <w:tc>
          <w:tcPr>
            <w:tcW w:w="1420" w:type="dxa"/>
            <w:vAlign w:val="bottom"/>
          </w:tcPr>
          <w:p>
            <w:pPr>
              <w:jc w:val="center"/>
              <w:ind w:left="200"/>
              <w:spacing w:after="0"/>
              <w:rPr>
                <w:sz w:val="20"/>
                <w:szCs w:val="20"/>
                <w:color w:val="auto"/>
              </w:rPr>
            </w:pPr>
            <w:r>
              <w:rPr>
                <w:rFonts w:ascii="Arial" w:cs="Arial" w:eastAsia="Arial" w:hAnsi="Arial"/>
                <w:sz w:val="18"/>
                <w:szCs w:val="18"/>
                <w:b w:val="1"/>
                <w:bCs w:val="1"/>
                <w:color w:val="auto"/>
                <w:w w:val="91"/>
              </w:rPr>
              <w:t>55402</w:t>
            </w:r>
          </w:p>
        </w:tc>
      </w:tr>
      <w:tr>
        <w:trPr>
          <w:trHeight w:val="186"/>
        </w:trPr>
        <w:tc>
          <w:tcPr>
            <w:tcW w:w="6140" w:type="dxa"/>
            <w:vAlign w:val="bottom"/>
            <w:gridSpan w:val="3"/>
          </w:tcPr>
          <w:p>
            <w:pPr>
              <w:jc w:val="center"/>
              <w:ind w:right="36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20" w:type="dxa"/>
            <w:vAlign w:val="bottom"/>
          </w:tcPr>
          <w:p>
            <w:pPr>
              <w:jc w:val="center"/>
              <w:ind w:left="200"/>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2860" w:type="dxa"/>
            <w:vAlign w:val="bottom"/>
          </w:tcPr>
          <w:p>
            <w:pPr>
              <w:spacing w:after="0"/>
              <w:rPr>
                <w:sz w:val="24"/>
                <w:szCs w:val="24"/>
                <w:color w:val="auto"/>
              </w:rPr>
            </w:pPr>
          </w:p>
        </w:tc>
        <w:tc>
          <w:tcPr>
            <w:tcW w:w="32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8"/>
              </w:rPr>
              <w:t>Wally Jones</w:t>
            </w:r>
          </w:p>
        </w:tc>
        <w:tc>
          <w:tcPr>
            <w:tcW w:w="1420" w:type="dxa"/>
            <w:vAlign w:val="bottom"/>
          </w:tcPr>
          <w:p>
            <w:pPr>
              <w:spacing w:after="0"/>
              <w:rPr>
                <w:sz w:val="24"/>
                <w:szCs w:val="24"/>
                <w:color w:val="auto"/>
              </w:rPr>
            </w:pPr>
          </w:p>
        </w:tc>
      </w:tr>
      <w:tr>
        <w:trPr>
          <w:trHeight w:val="216"/>
        </w:trPr>
        <w:tc>
          <w:tcPr>
            <w:tcW w:w="6140" w:type="dxa"/>
            <w:vAlign w:val="bottom"/>
            <w:gridSpan w:val="3"/>
          </w:tcPr>
          <w:p>
            <w:pPr>
              <w:jc w:val="center"/>
              <w:ind w:left="1897"/>
              <w:spacing w:after="0"/>
              <w:rPr>
                <w:sz w:val="20"/>
                <w:szCs w:val="20"/>
                <w:color w:val="auto"/>
              </w:rPr>
            </w:pPr>
            <w:r>
              <w:rPr>
                <w:rFonts w:ascii="Arial" w:cs="Arial" w:eastAsia="Arial" w:hAnsi="Arial"/>
                <w:sz w:val="18"/>
                <w:szCs w:val="18"/>
                <w:b w:val="1"/>
                <w:bCs w:val="1"/>
                <w:color w:val="auto"/>
                <w:w w:val="89"/>
              </w:rPr>
              <w:t>U.S. Bank National Association</w:t>
            </w:r>
          </w:p>
        </w:tc>
        <w:tc>
          <w:tcPr>
            <w:tcW w:w="1420" w:type="dxa"/>
            <w:vAlign w:val="bottom"/>
          </w:tcPr>
          <w:p>
            <w:pPr>
              <w:spacing w:after="0"/>
              <w:rPr>
                <w:sz w:val="18"/>
                <w:szCs w:val="18"/>
                <w:color w:val="auto"/>
              </w:rPr>
            </w:pPr>
          </w:p>
        </w:tc>
      </w:tr>
      <w:tr>
        <w:trPr>
          <w:trHeight w:val="216"/>
        </w:trPr>
        <w:tc>
          <w:tcPr>
            <w:tcW w:w="6140" w:type="dxa"/>
            <w:vAlign w:val="bottom"/>
            <w:gridSpan w:val="3"/>
          </w:tcPr>
          <w:p>
            <w:pPr>
              <w:jc w:val="center"/>
              <w:ind w:left="1897"/>
              <w:spacing w:after="0"/>
              <w:rPr>
                <w:sz w:val="20"/>
                <w:szCs w:val="20"/>
                <w:color w:val="auto"/>
              </w:rPr>
            </w:pPr>
            <w:r>
              <w:rPr>
                <w:rFonts w:ascii="Arial" w:cs="Arial" w:eastAsia="Arial" w:hAnsi="Arial"/>
                <w:sz w:val="18"/>
                <w:szCs w:val="18"/>
                <w:b w:val="1"/>
                <w:bCs w:val="1"/>
                <w:color w:val="auto"/>
                <w:w w:val="89"/>
              </w:rPr>
              <w:t>333 Commerce Street, Suite 800</w:t>
            </w:r>
          </w:p>
        </w:tc>
        <w:tc>
          <w:tcPr>
            <w:tcW w:w="14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Nashville, TN 37201</w:t>
            </w:r>
          </w:p>
        </w:tc>
        <w:tc>
          <w:tcPr>
            <w:tcW w:w="1420" w:type="dxa"/>
            <w:vAlign w:val="bottom"/>
          </w:tcPr>
          <w:p>
            <w:pPr>
              <w:spacing w:after="0"/>
              <w:rPr>
                <w:sz w:val="18"/>
                <w:szCs w:val="18"/>
                <w:color w:val="auto"/>
              </w:rPr>
            </w:pPr>
          </w:p>
        </w:tc>
      </w:tr>
      <w:tr>
        <w:trPr>
          <w:trHeight w:val="212"/>
        </w:trPr>
        <w:tc>
          <w:tcPr>
            <w:tcW w:w="5240" w:type="dxa"/>
            <w:vAlign w:val="bottom"/>
            <w:gridSpan w:val="2"/>
          </w:tcPr>
          <w:p>
            <w:pPr>
              <w:jc w:val="center"/>
              <w:ind w:left="2797"/>
              <w:spacing w:after="0"/>
              <w:rPr>
                <w:sz w:val="20"/>
                <w:szCs w:val="20"/>
                <w:color w:val="auto"/>
              </w:rPr>
            </w:pPr>
            <w:r>
              <w:rPr>
                <w:rFonts w:ascii="Arial" w:cs="Arial" w:eastAsia="Arial" w:hAnsi="Arial"/>
                <w:sz w:val="18"/>
                <w:szCs w:val="18"/>
                <w:b w:val="1"/>
                <w:bCs w:val="1"/>
                <w:color w:val="auto"/>
                <w:w w:val="90"/>
              </w:rPr>
              <w:t>(615) 251-0733</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6"/>
        </w:trPr>
        <w:tc>
          <w:tcPr>
            <w:tcW w:w="6140" w:type="dxa"/>
            <w:vAlign w:val="bottom"/>
            <w:gridSpan w:val="3"/>
          </w:tcPr>
          <w:p>
            <w:pPr>
              <w:jc w:val="center"/>
              <w:ind w:left="1877"/>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420" w:type="dxa"/>
            <w:vAlign w:val="bottom"/>
          </w:tcPr>
          <w:p>
            <w:pPr>
              <w:spacing w:after="0"/>
              <w:rPr>
                <w:sz w:val="16"/>
                <w:szCs w:val="16"/>
                <w:color w:val="auto"/>
              </w:rPr>
            </w:pPr>
          </w:p>
        </w:tc>
      </w:tr>
      <w:tr>
        <w:trPr>
          <w:trHeight w:val="336"/>
        </w:trPr>
        <w:tc>
          <w:tcPr>
            <w:tcW w:w="28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3"/>
        </w:trPr>
        <w:tc>
          <w:tcPr>
            <w:tcW w:w="2860" w:type="dxa"/>
            <w:vAlign w:val="bottom"/>
          </w:tcPr>
          <w:p>
            <w:pPr>
              <w:spacing w:after="0"/>
              <w:rPr>
                <w:sz w:val="24"/>
                <w:szCs w:val="24"/>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8"/>
              </w:rPr>
              <w:t>SPECTRUM BRANDS, INC.</w:t>
            </w:r>
            <w:r>
              <w:rPr>
                <w:rFonts w:ascii="Arial" w:cs="Arial" w:eastAsia="Arial" w:hAnsi="Arial"/>
                <w:sz w:val="15"/>
                <w:szCs w:val="15"/>
                <w:b w:val="1"/>
                <w:bCs w:val="1"/>
                <w:color w:val="auto"/>
                <w:w w:val="98"/>
              </w:rPr>
              <w:t>1</w:t>
            </w:r>
          </w:p>
        </w:tc>
        <w:tc>
          <w:tcPr>
            <w:tcW w:w="1420" w:type="dxa"/>
            <w:vAlign w:val="bottom"/>
          </w:tcPr>
          <w:p>
            <w:pPr>
              <w:spacing w:after="0"/>
              <w:rPr>
                <w:sz w:val="24"/>
                <w:szCs w:val="24"/>
                <w:color w:val="auto"/>
              </w:rPr>
            </w:pPr>
          </w:p>
        </w:tc>
      </w:tr>
      <w:tr>
        <w:trPr>
          <w:trHeight w:val="186"/>
        </w:trPr>
        <w:tc>
          <w:tcPr>
            <w:tcW w:w="2860" w:type="dxa"/>
            <w:vAlign w:val="bottom"/>
          </w:tcPr>
          <w:p>
            <w:pPr>
              <w:spacing w:after="0"/>
              <w:rPr>
                <w:sz w:val="16"/>
                <w:szCs w:val="16"/>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(Issuer with respect to the Securities)</w:t>
            </w:r>
          </w:p>
        </w:tc>
        <w:tc>
          <w:tcPr>
            <w:tcW w:w="1420" w:type="dxa"/>
            <w:vAlign w:val="bottom"/>
          </w:tcPr>
          <w:p>
            <w:pPr>
              <w:spacing w:after="0"/>
              <w:rPr>
                <w:sz w:val="16"/>
                <w:szCs w:val="16"/>
                <w:color w:val="auto"/>
              </w:rPr>
            </w:pPr>
          </w:p>
        </w:tc>
      </w:tr>
      <w:tr>
        <w:trPr>
          <w:trHeight w:val="336"/>
        </w:trPr>
        <w:tc>
          <w:tcPr>
            <w:tcW w:w="28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70"/>
        </w:trPr>
        <w:tc>
          <w:tcPr>
            <w:tcW w:w="61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tcPr>
          <w:p>
            <w:pPr>
              <w:jc w:val="center"/>
              <w:ind w:left="200"/>
              <w:spacing w:after="0"/>
              <w:rPr>
                <w:sz w:val="20"/>
                <w:szCs w:val="20"/>
                <w:color w:val="auto"/>
              </w:rPr>
            </w:pPr>
            <w:r>
              <w:rPr>
                <w:rFonts w:ascii="Arial" w:cs="Arial" w:eastAsia="Arial" w:hAnsi="Arial"/>
                <w:sz w:val="18"/>
                <w:szCs w:val="18"/>
                <w:b w:val="1"/>
                <w:bCs w:val="1"/>
                <w:color w:val="auto"/>
                <w:w w:val="89"/>
              </w:rPr>
              <w:t>22-2423556</w:t>
            </w:r>
          </w:p>
        </w:tc>
      </w:tr>
      <w:tr>
        <w:trPr>
          <w:trHeight w:val="149"/>
        </w:trPr>
        <w:tc>
          <w:tcPr>
            <w:tcW w:w="6140" w:type="dxa"/>
            <w:vAlign w:val="bottom"/>
            <w:gridSpan w:val="3"/>
          </w:tcPr>
          <w:p>
            <w:pPr>
              <w:jc w:val="center"/>
              <w:ind w:right="36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gridSpan w:val="3"/>
          </w:tcPr>
          <w:p>
            <w:pPr>
              <w:jc w:val="center"/>
              <w:ind w:right="3660"/>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00"/>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6140" w:type="dxa"/>
            <w:vAlign w:val="bottom"/>
            <w:gridSpan w:val="3"/>
          </w:tcPr>
          <w:p>
            <w:pPr>
              <w:jc w:val="center"/>
              <w:ind w:right="3660"/>
              <w:spacing w:after="0"/>
              <w:rPr>
                <w:sz w:val="20"/>
                <w:szCs w:val="20"/>
                <w:color w:val="auto"/>
              </w:rPr>
            </w:pPr>
            <w:r>
              <w:rPr>
                <w:rFonts w:ascii="Arial" w:cs="Arial" w:eastAsia="Arial" w:hAnsi="Arial"/>
                <w:sz w:val="18"/>
                <w:szCs w:val="18"/>
                <w:b w:val="1"/>
                <w:bCs w:val="1"/>
                <w:color w:val="auto"/>
                <w:w w:val="91"/>
              </w:rPr>
              <w:t>3001 Deming Way</w:t>
            </w:r>
          </w:p>
        </w:tc>
        <w:tc>
          <w:tcPr>
            <w:tcW w:w="1420" w:type="dxa"/>
            <w:vAlign w:val="bottom"/>
          </w:tcPr>
          <w:p>
            <w:pPr>
              <w:spacing w:after="0"/>
              <w:rPr>
                <w:sz w:val="24"/>
                <w:szCs w:val="24"/>
                <w:color w:val="auto"/>
              </w:rPr>
            </w:pPr>
          </w:p>
        </w:tc>
      </w:tr>
      <w:tr>
        <w:trPr>
          <w:trHeight w:val="225"/>
        </w:trPr>
        <w:tc>
          <w:tcPr>
            <w:tcW w:w="61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89"/>
              </w:rPr>
              <w:t>Middleton, Wisconsin</w:t>
            </w:r>
          </w:p>
        </w:tc>
        <w:tc>
          <w:tcPr>
            <w:tcW w:w="1420" w:type="dxa"/>
            <w:vAlign w:val="bottom"/>
          </w:tcPr>
          <w:p>
            <w:pPr>
              <w:jc w:val="center"/>
              <w:ind w:left="200"/>
              <w:spacing w:after="0"/>
              <w:rPr>
                <w:sz w:val="20"/>
                <w:szCs w:val="20"/>
                <w:color w:val="auto"/>
              </w:rPr>
            </w:pPr>
            <w:r>
              <w:rPr>
                <w:rFonts w:ascii="Arial" w:cs="Arial" w:eastAsia="Arial" w:hAnsi="Arial"/>
                <w:sz w:val="18"/>
                <w:szCs w:val="18"/>
                <w:b w:val="1"/>
                <w:bCs w:val="1"/>
                <w:color w:val="auto"/>
                <w:w w:val="91"/>
              </w:rPr>
              <w:t>53562</w:t>
            </w:r>
          </w:p>
        </w:tc>
      </w:tr>
      <w:tr>
        <w:trPr>
          <w:trHeight w:val="186"/>
        </w:trPr>
        <w:tc>
          <w:tcPr>
            <w:tcW w:w="6140" w:type="dxa"/>
            <w:vAlign w:val="bottom"/>
            <w:gridSpan w:val="3"/>
          </w:tcPr>
          <w:p>
            <w:pPr>
              <w:jc w:val="center"/>
              <w:ind w:right="36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0"/>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6.375% Senior Notes due 2020 and Related Guarantees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6.625% Senior Notes due 2022 and Related Guarantees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89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0"/>
          <w:szCs w:val="20"/>
          <w:color w:val="auto"/>
        </w:rPr>
      </w:pPr>
    </w:p>
    <w:p>
      <w:pPr>
        <w:ind w:left="220" w:hanging="212"/>
        <w:spacing w:after="0"/>
        <w:tabs>
          <w:tab w:leader="none" w:pos="220" w:val="left"/>
        </w:tabs>
        <w:numPr>
          <w:ilvl w:val="0"/>
          <w:numId w:val="430"/>
        </w:numPr>
        <w:rPr>
          <w:rFonts w:ascii="Arial" w:cs="Arial" w:eastAsia="Arial" w:hAnsi="Arial"/>
          <w:sz w:val="15"/>
          <w:szCs w:val="15"/>
          <w:color w:val="auto"/>
        </w:rPr>
      </w:pPr>
      <w:r>
        <w:rPr>
          <w:rFonts w:ascii="Arial" w:cs="Arial" w:eastAsia="Arial" w:hAnsi="Arial"/>
          <w:sz w:val="18"/>
          <w:szCs w:val="18"/>
          <w:color w:val="auto"/>
        </w:rPr>
        <w:t>See table of additional obligors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4" w:name="page495"/>
    <w:bookmarkEnd w:id="4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State or Other</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Primary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Standard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Jurisdiction of</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Industrial</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7220" w:type="dxa"/>
            <w:vAlign w:val="bottom"/>
            <w:vMerge w:val="restart"/>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Classification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Identification</w:t>
            </w:r>
          </w:p>
        </w:tc>
        <w:tc>
          <w:tcPr>
            <w:tcW w:w="0" w:type="dxa"/>
            <w:vAlign w:val="bottom"/>
          </w:tcPr>
          <w:p>
            <w:pPr>
              <w:spacing w:after="0"/>
              <w:rPr>
                <w:sz w:val="1"/>
                <w:szCs w:val="1"/>
                <w:color w:val="auto"/>
              </w:rPr>
            </w:pPr>
          </w:p>
        </w:tc>
      </w:tr>
      <w:tr>
        <w:trPr>
          <w:trHeight w:val="178"/>
        </w:trPr>
        <w:tc>
          <w:tcPr>
            <w:tcW w:w="440" w:type="dxa"/>
            <w:vAlign w:val="bottom"/>
            <w:tcBorders>
              <w:bottom w:val="single" w:sz="8" w:color="auto"/>
            </w:tcBorders>
            <w:vMerge w:val="continue"/>
          </w:tcPr>
          <w:p>
            <w:pPr>
              <w:spacing w:after="0"/>
              <w:rPr>
                <w:sz w:val="15"/>
                <w:szCs w:val="15"/>
                <w:color w:val="auto"/>
              </w:rPr>
            </w:pPr>
          </w:p>
        </w:tc>
        <w:tc>
          <w:tcPr>
            <w:tcW w:w="7220" w:type="dxa"/>
            <w:vAlign w:val="bottom"/>
            <w:vMerge w:val="continue"/>
          </w:tcPr>
          <w:p>
            <w:pPr>
              <w:spacing w:after="0"/>
              <w:rPr>
                <w:sz w:val="15"/>
                <w:szCs w:val="15"/>
                <w:color w:val="auto"/>
              </w:rPr>
            </w:pPr>
          </w:p>
        </w:tc>
        <w:tc>
          <w:tcPr>
            <w:tcW w:w="14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Organization</w:t>
            </w:r>
          </w:p>
        </w:tc>
        <w:tc>
          <w:tcPr>
            <w:tcW w:w="13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Code Number</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89"/>
        </w:trPr>
        <w:tc>
          <w:tcPr>
            <w:tcW w:w="7660" w:type="dxa"/>
            <w:vAlign w:val="bottom"/>
            <w:gridSpan w:val="2"/>
          </w:tcPr>
          <w:p>
            <w:pPr>
              <w:spacing w:after="0" w:line="189" w:lineRule="exact"/>
              <w:rPr>
                <w:sz w:val="20"/>
                <w:szCs w:val="20"/>
                <w:color w:val="auto"/>
              </w:rPr>
            </w:pPr>
            <w:r>
              <w:rPr>
                <w:rFonts w:ascii="Arial" w:cs="Arial" w:eastAsia="Arial" w:hAnsi="Arial"/>
                <w:sz w:val="18"/>
                <w:szCs w:val="18"/>
                <w:color w:val="auto"/>
              </w:rPr>
              <w:t>AA Group (U.S.) – A LLC</w:t>
            </w: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Delaware</w:t>
            </w:r>
          </w:p>
        </w:tc>
        <w:tc>
          <w:tcPr>
            <w:tcW w:w="420" w:type="dxa"/>
            <w:vAlign w:val="bottom"/>
          </w:tcPr>
          <w:p>
            <w:pPr>
              <w:spacing w:after="0"/>
              <w:rPr>
                <w:sz w:val="16"/>
                <w:szCs w:val="16"/>
                <w:color w:val="auto"/>
              </w:rPr>
            </w:pPr>
          </w:p>
        </w:tc>
        <w:tc>
          <w:tcPr>
            <w:tcW w:w="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45-4070567</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AA Group (U.S.) – B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45-4070646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Applica Mexico Holdings,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74-3100872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Armored AutoGroup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27-3620112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Armored AutoGroup Sales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27-5136040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National Manufacturing Mexico A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National Manufacturing Mexico B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National Openings, LLC</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Pennsylvania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46-2516338</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ROV Holding, Inc.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22-2423555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ROV International Holdings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Salix Animal Health, LLC</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Florida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65-0965477</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SB/RH Holdings, LLC</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27-2812840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Schultz Company</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Missouri</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43-0625762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STP Products Manufacturing Company</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06-1408442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The Armor All/STP Products Company</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36-2999270</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United Industries Corporation</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3690</w:t>
            </w:r>
          </w:p>
        </w:tc>
        <w:tc>
          <w:tcPr>
            <w:tcW w:w="4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43-1025604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00" w:hanging="452"/>
        <w:spacing w:after="0" w:line="258" w:lineRule="auto"/>
        <w:tabs>
          <w:tab w:leader="none" w:pos="4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address of each additional registrant’s principal executive office is c/o Spectrum Brands, Inc., 3001 Deming Way, Middleton, Wisconsin 53562, (608) 275-3340.</w:t>
      </w:r>
    </w:p>
    <w:p>
      <w:pPr>
        <w:spacing w:after="0" w:line="1" w:lineRule="exact"/>
        <w:rPr>
          <w:sz w:val="20"/>
          <w:szCs w:val="20"/>
          <w:color w:val="auto"/>
        </w:rPr>
      </w:pPr>
    </w:p>
    <w:p>
      <w:pPr>
        <w:ind w:left="460" w:hanging="452"/>
        <w:spacing w:after="0"/>
        <w:tabs>
          <w:tab w:leader="none" w:pos="4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Single member LLC disregarded for U.S. tax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95" w:name="page496"/>
    <w:bookmarkEnd w:id="49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1480" w:hanging="567"/>
        <w:spacing w:after="0"/>
        <w:tabs>
          <w:tab w:leader="none" w:pos="1480" w:val="left"/>
        </w:tabs>
        <w:numPr>
          <w:ilvl w:val="0"/>
          <w:numId w:val="433"/>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40" w:right="5640" w:hanging="1027"/>
        <w:spacing w:after="0" w:line="402" w:lineRule="auto"/>
        <w:tabs>
          <w:tab w:leader="none" w:pos="1472" w:val="left"/>
        </w:tabs>
        <w:numPr>
          <w:ilvl w:val="0"/>
          <w:numId w:val="434"/>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ind w:left="1380" w:right="1960" w:hanging="1483"/>
        <w:spacing w:after="0" w:line="407"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03" w:lineRule="exact"/>
        <w:rPr>
          <w:sz w:val="20"/>
          <w:szCs w:val="20"/>
          <w:color w:val="auto"/>
        </w:rPr>
      </w:pPr>
    </w:p>
    <w:p>
      <w:pPr>
        <w:ind w:left="1380" w:hanging="1363"/>
        <w:spacing w:after="0" w:line="277" w:lineRule="auto"/>
        <w:tabs>
          <w:tab w:leader="none" w:pos="13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480" w:hanging="567"/>
        <w:spacing w:after="0"/>
        <w:tabs>
          <w:tab w:leader="none" w:pos="14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480" w:right="720" w:hanging="567"/>
        <w:spacing w:after="0" w:line="277" w:lineRule="auto"/>
        <w:tabs>
          <w:tab w:leader="none" w:pos="14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2015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60" w:right="980" w:hanging="446"/>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Incorporated by reference to Exhibit 25.1 to registration statement on form S-3ASR, Registration Number 333-199863 filed on November 5, 2014.</w:t>
      </w:r>
    </w:p>
    <w:p>
      <w:pPr>
        <w:sectPr>
          <w:pgSz w:w="11900" w:h="16838" w:orient="portrait"/>
          <w:cols w:equalWidth="0" w:num="1">
            <w:col w:w="11400"/>
          </w:cols>
          <w:pgMar w:left="240" w:top="270" w:right="259" w:bottom="1440" w:gutter="0" w:footer="0" w:header="0"/>
        </w:sectPr>
      </w:pPr>
    </w:p>
    <w:bookmarkStart w:id="496" w:name="page497"/>
    <w:bookmarkEnd w:id="49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Nashville, State of Tennessee on the 15</w:t>
      </w:r>
      <w:r>
        <w:rPr>
          <w:rFonts w:ascii="Arial" w:cs="Arial" w:eastAsia="Arial" w:hAnsi="Arial"/>
          <w:sz w:val="14"/>
          <w:szCs w:val="14"/>
          <w:color w:val="auto"/>
        </w:rPr>
        <w:t>th</w:t>
      </w:r>
      <w:r>
        <w:rPr>
          <w:rFonts w:ascii="Arial" w:cs="Arial" w:eastAsia="Arial" w:hAnsi="Arial"/>
          <w:sz w:val="17"/>
          <w:szCs w:val="17"/>
          <w:color w:val="auto"/>
        </w:rPr>
        <w:t xml:space="preserve"> of January, 2016.</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9" w:right="259" w:bottom="1440" w:gutter="0" w:footer="0" w:header="0"/>
        </w:sectPr>
      </w:pPr>
    </w:p>
    <w:bookmarkStart w:id="497" w:name="page498"/>
    <w:bookmarkEnd w:id="497"/>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186690</wp:posOffset>
            </wp:positionV>
            <wp:extent cx="4751070" cy="64319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751070" cy="643191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269" w:right="1440" w:bottom="1440" w:gutter="0" w:footer="0" w:header="0"/>
          <w:type w:val="continuous"/>
        </w:sectPr>
      </w:pPr>
    </w:p>
    <w:bookmarkStart w:id="498" w:name="page499"/>
    <w:bookmarkEnd w:id="498"/>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186055</wp:posOffset>
            </wp:positionV>
            <wp:extent cx="4776470" cy="64319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776470" cy="64319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270" w:right="1440" w:bottom="1440" w:gutter="0" w:footer="0" w:header="0"/>
          <w:type w:val="continuous"/>
        </w:sectPr>
      </w:pPr>
    </w:p>
    <w:bookmarkStart w:id="499" w:name="page500"/>
    <w:bookmarkEnd w:id="499"/>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15,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Wally Jones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500" w:name="page501"/>
    <w:bookmarkEnd w:id="500"/>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60" w:type="dxa"/>
            <w:vAlign w:val="bottom"/>
            <w:gridSpan w:val="3"/>
          </w:tcPr>
          <w:p>
            <w:pPr>
              <w:jc w:val="center"/>
              <w:ind w:right="427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6100" w:type="dxa"/>
            <w:vAlign w:val="bottom"/>
            <w:gridSpan w:val="4"/>
          </w:tcPr>
          <w:p>
            <w:pPr>
              <w:jc w:val="center"/>
              <w:ind w:right="3230"/>
              <w:spacing w:after="0"/>
              <w:rPr>
                <w:sz w:val="20"/>
                <w:szCs w:val="20"/>
                <w:color w:val="auto"/>
              </w:rPr>
            </w:pPr>
            <w:r>
              <w:rPr>
                <w:rFonts w:ascii="Arial" w:cs="Arial" w:eastAsia="Arial" w:hAnsi="Arial"/>
                <w:sz w:val="18"/>
                <w:szCs w:val="18"/>
                <w:b w:val="1"/>
                <w:bCs w:val="1"/>
                <w:color w:val="auto"/>
                <w:w w:val="90"/>
              </w:rPr>
              <w:t>As of 9/30/2015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w w:val="93"/>
              </w:rPr>
              <w:t>Cash and Balances Due From Depository Institutions</w:t>
            </w:r>
          </w:p>
        </w:tc>
        <w:tc>
          <w:tcPr>
            <w:tcW w:w="6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10,415,443</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104,656,800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Federal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100,570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254,216,913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4,639,396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12,997,753</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23,862,998</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410,889,873</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305,185,303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1,491,858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Demand Notes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1,227,900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45,698,345</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Acceptances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11,782,630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368,536,036</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Surplus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14,266,400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Undivided Profits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27,210,891</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Minority Interest in Subsidiaries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858,346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42,353,837</w:t>
            </w: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410,889,873</w:t>
            </w:r>
          </w:p>
        </w:tc>
        <w:tc>
          <w:tcPr>
            <w:tcW w:w="100" w:type="dxa"/>
            <w:vAlign w:val="bottom"/>
          </w:tcPr>
          <w:p>
            <w:pPr>
              <w:spacing w:after="0"/>
              <w:rPr>
                <w:sz w:val="24"/>
                <w:szCs w:val="24"/>
                <w:color w:val="auto"/>
              </w:rPr>
            </w:pPr>
          </w:p>
        </w:tc>
      </w:tr>
      <w:tr>
        <w:trPr>
          <w:trHeight w:val="365"/>
        </w:trPr>
        <w:tc>
          <w:tcPr>
            <w:tcW w:w="4320" w:type="dxa"/>
            <w:vAlign w:val="bottom"/>
          </w:tcPr>
          <w:p>
            <w:pPr>
              <w:spacing w:after="0"/>
              <w:rPr>
                <w:sz w:val="24"/>
                <w:szCs w:val="24"/>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6</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58BD17"/>
    <w:multiLevelType w:val="hybridMultilevel"/>
    <w:lvl w:ilvl="0">
      <w:lvlJc w:val="left"/>
      <w:lvlText w:val="(%1)"/>
      <w:numFmt w:val="decimal"/>
      <w:start w:val="1"/>
    </w:lvl>
  </w:abstractNum>
  <w:abstractNum w:abstractNumId="1">
    <w:nsid w:val="4E647FE4"/>
    <w:multiLevelType w:val="hybridMultilevel"/>
    <w:lvl w:ilvl="0">
      <w:lvlJc w:val="left"/>
      <w:lvlText w:val="*"/>
      <w:numFmt w:val="bullet"/>
      <w:start w:val="1"/>
    </w:lvl>
  </w:abstractNum>
  <w:abstractNum w:abstractNumId="2">
    <w:nsid w:val="E0BB885"/>
    <w:multiLevelType w:val="hybridMultilevel"/>
    <w:lvl w:ilvl="0">
      <w:lvlJc w:val="left"/>
      <w:lvlText w:val="•"/>
      <w:numFmt w:val="bullet"/>
      <w:start w:val="1"/>
    </w:lvl>
  </w:abstractNum>
  <w:abstractNum w:abstractNumId="3">
    <w:nsid w:val="565976F1"/>
    <w:multiLevelType w:val="hybridMultilevel"/>
    <w:lvl w:ilvl="0">
      <w:lvlJc w:val="left"/>
      <w:lvlText w:val="(%1)"/>
      <w:numFmt w:val="lowerRoman"/>
      <w:start w:val="3"/>
    </w:lvl>
  </w:abstractNum>
  <w:abstractNum w:abstractNumId="4">
    <w:nsid w:val="64212B8C"/>
    <w:multiLevelType w:val="hybridMultilevel"/>
    <w:lvl w:ilvl="0">
      <w:lvlJc w:val="left"/>
      <w:lvlText w:val="1"/>
      <w:numFmt w:val="bullet"/>
      <w:start w:val="1"/>
    </w:lvl>
  </w:abstractNum>
  <w:abstractNum w:abstractNumId="5">
    <w:nsid w:val="5C17530C"/>
    <w:multiLevelType w:val="hybridMultilevel"/>
    <w:lvl w:ilvl="0">
      <w:lvlJc w:val="left"/>
      <w:lvlText w:val="2"/>
      <w:numFmt w:val="bullet"/>
      <w:start w:val="1"/>
    </w:lvl>
  </w:abstractNum>
  <w:abstractNum w:abstractNumId="6">
    <w:nsid w:val="19A52566"/>
    <w:multiLevelType w:val="hybridMultilevel"/>
    <w:lvl w:ilvl="0">
      <w:lvlJc w:val="left"/>
      <w:lvlText w:val="3"/>
      <w:numFmt w:val="bullet"/>
      <w:start w:val="1"/>
    </w:lvl>
  </w:abstractNum>
  <w:abstractNum w:abstractNumId="7">
    <w:nsid w:val="335A1DF1"/>
    <w:multiLevelType w:val="hybridMultilevel"/>
    <w:lvl w:ilvl="0">
      <w:lvlJc w:val="left"/>
      <w:lvlText w:val="(%1)"/>
      <w:numFmt w:val="decimal"/>
      <w:start w:val="1"/>
    </w:lvl>
  </w:abstractNum>
  <w:abstractNum w:abstractNumId="8">
    <w:nsid w:val="28677B7C"/>
    <w:multiLevelType w:val="hybridMultilevel"/>
    <w:lvl w:ilvl="0">
      <w:lvlJc w:val="left"/>
      <w:lvlText w:val="(%1)"/>
      <w:numFmt w:val="decimal"/>
      <w:start w:val="3"/>
    </w:lvl>
  </w:abstractNum>
  <w:abstractNum w:abstractNumId="9">
    <w:nsid w:val="378D97C0"/>
    <w:multiLevelType w:val="hybridMultilevel"/>
    <w:lvl w:ilvl="0">
      <w:lvlJc w:val="left"/>
      <w:lvlText w:val="•"/>
      <w:numFmt w:val="bullet"/>
      <w:start w:val="1"/>
    </w:lvl>
  </w:abstractNum>
  <w:abstractNum w:abstractNumId="10">
    <w:nsid w:val="1D91467C"/>
    <w:multiLevelType w:val="hybridMultilevel"/>
    <w:lvl w:ilvl="0">
      <w:lvlJc w:val="left"/>
      <w:lvlText w:val="•"/>
      <w:numFmt w:val="bullet"/>
      <w:start w:val="1"/>
    </w:lvl>
  </w:abstractNum>
  <w:abstractNum w:abstractNumId="11">
    <w:nsid w:val="316032BB"/>
    <w:multiLevelType w:val="hybridMultilevel"/>
    <w:lvl w:ilvl="0">
      <w:lvlJc w:val="left"/>
      <w:lvlText w:val="•"/>
      <w:numFmt w:val="bullet"/>
      <w:start w:val="1"/>
    </w:lvl>
  </w:abstractNum>
  <w:abstractNum w:abstractNumId="12">
    <w:nsid w:val="44344C22"/>
    <w:multiLevelType w:val="hybridMultilevel"/>
    <w:lvl w:ilvl="0">
      <w:lvlJc w:val="left"/>
      <w:lvlText w:val="•"/>
      <w:numFmt w:val="bullet"/>
      <w:start w:val="1"/>
    </w:lvl>
  </w:abstractNum>
  <w:abstractNum w:abstractNumId="13">
    <w:nsid w:val="13CDFCFC"/>
    <w:multiLevelType w:val="hybridMultilevel"/>
    <w:lvl w:ilvl="0">
      <w:lvlJc w:val="left"/>
      <w:lvlText w:val="•"/>
      <w:numFmt w:val="bullet"/>
      <w:start w:val="1"/>
    </w:lvl>
  </w:abstractNum>
  <w:abstractNum w:abstractNumId="14">
    <w:nsid w:val="471745E4"/>
    <w:multiLevelType w:val="hybridMultilevel"/>
    <w:lvl w:ilvl="0">
      <w:lvlJc w:val="left"/>
      <w:lvlText w:val="•"/>
      <w:numFmt w:val="bullet"/>
      <w:start w:val="1"/>
    </w:lvl>
  </w:abstractNum>
  <w:abstractNum w:abstractNumId="15">
    <w:nsid w:val="1DDBC66"/>
    <w:multiLevelType w:val="hybridMultilevel"/>
    <w:lvl w:ilvl="0">
      <w:lvlJc w:val="left"/>
      <w:lvlText w:val="•"/>
      <w:numFmt w:val="bullet"/>
      <w:start w:val="1"/>
    </w:lvl>
  </w:abstractNum>
  <w:abstractNum w:abstractNumId="16">
    <w:nsid w:val="30AADFDA"/>
    <w:multiLevelType w:val="hybridMultilevel"/>
    <w:lvl w:ilvl="0">
      <w:lvlJc w:val="left"/>
      <w:lvlText w:val="•"/>
      <w:numFmt w:val="bullet"/>
      <w:start w:val="1"/>
    </w:lvl>
  </w:abstractNum>
  <w:abstractNum w:abstractNumId="17">
    <w:nsid w:val="30EADA61"/>
    <w:multiLevelType w:val="hybridMultilevel"/>
    <w:lvl w:ilvl="0">
      <w:lvlJc w:val="left"/>
      <w:lvlText w:val="•"/>
      <w:numFmt w:val="bullet"/>
      <w:start w:val="1"/>
    </w:lvl>
  </w:abstractNum>
  <w:abstractNum w:abstractNumId="18">
    <w:nsid w:val="27179C0B"/>
    <w:multiLevelType w:val="hybridMultilevel"/>
    <w:lvl w:ilvl="0">
      <w:lvlJc w:val="left"/>
      <w:lvlText w:val="•"/>
      <w:numFmt w:val="bullet"/>
      <w:start w:val="1"/>
    </w:lvl>
  </w:abstractNum>
  <w:abstractNum w:abstractNumId="19">
    <w:nsid w:val="5E636063"/>
    <w:multiLevelType w:val="hybridMultilevel"/>
    <w:lvl w:ilvl="0">
      <w:lvlJc w:val="left"/>
      <w:lvlText w:val="•"/>
      <w:numFmt w:val="bullet"/>
      <w:start w:val="1"/>
    </w:lvl>
  </w:abstractNum>
  <w:abstractNum w:abstractNumId="20">
    <w:nsid w:val="215641AF"/>
    <w:multiLevelType w:val="hybridMultilevel"/>
    <w:lvl w:ilvl="0">
      <w:lvlJc w:val="left"/>
      <w:lvlText w:val="•"/>
      <w:numFmt w:val="bullet"/>
      <w:start w:val="1"/>
    </w:lvl>
  </w:abstractNum>
  <w:abstractNum w:abstractNumId="21">
    <w:nsid w:val="53280662"/>
    <w:multiLevelType w:val="hybridMultilevel"/>
    <w:lvl w:ilvl="0">
      <w:lvlJc w:val="left"/>
      <w:lvlText w:val="•"/>
      <w:numFmt w:val="bullet"/>
      <w:start w:val="1"/>
    </w:lvl>
  </w:abstractNum>
  <w:abstractNum w:abstractNumId="22">
    <w:nsid w:val="46B24DBC"/>
    <w:multiLevelType w:val="hybridMultilevel"/>
    <w:lvl w:ilvl="0">
      <w:lvlJc w:val="left"/>
      <w:lvlText w:val="•"/>
      <w:numFmt w:val="bullet"/>
      <w:start w:val="1"/>
    </w:lvl>
  </w:abstractNum>
  <w:abstractNum w:abstractNumId="23">
    <w:nsid w:val="75B52783"/>
    <w:multiLevelType w:val="hybridMultilevel"/>
    <w:lvl w:ilvl="0">
      <w:lvlJc w:val="left"/>
      <w:lvlText w:val="•"/>
      <w:numFmt w:val="bullet"/>
      <w:start w:val="1"/>
    </w:lvl>
  </w:abstractNum>
  <w:abstractNum w:abstractNumId="24">
    <w:nsid w:val="57CE66B4"/>
    <w:multiLevelType w:val="hybridMultilevel"/>
    <w:lvl w:ilvl="0">
      <w:lvlJc w:val="left"/>
      <w:lvlText w:val="(%1)"/>
      <w:numFmt w:val="decimal"/>
      <w:start w:val="1"/>
    </w:lvl>
  </w:abstractNum>
  <w:abstractNum w:abstractNumId="25">
    <w:nsid w:val="67A70B69"/>
    <w:multiLevelType w:val="hybridMultilevel"/>
    <w:lvl w:ilvl="0">
      <w:lvlJc w:val="left"/>
      <w:lvlText w:val="%1:"/>
      <w:numFmt w:val="decimal"/>
      <w:start w:val="805"/>
    </w:lvl>
  </w:abstractNum>
  <w:abstractNum w:abstractNumId="26">
    <w:nsid w:val="5953172F"/>
    <w:multiLevelType w:val="hybridMultilevel"/>
    <w:lvl w:ilvl="0">
      <w:lvlJc w:val="left"/>
      <w:lvlText w:val="(%1)"/>
      <w:numFmt w:val="decimal"/>
      <w:start w:val="1"/>
    </w:lvl>
  </w:abstractNum>
  <w:abstractNum w:abstractNumId="27">
    <w:nsid w:val="27EDFE3A"/>
    <w:multiLevelType w:val="hybridMultilevel"/>
    <w:lvl w:ilvl="0">
      <w:lvlJc w:val="left"/>
      <w:lvlText w:val="(%1)"/>
      <w:numFmt w:val="upperLetter"/>
      <w:start w:val="1"/>
    </w:lvl>
  </w:abstractNum>
  <w:abstractNum w:abstractNumId="28">
    <w:nsid w:val="52AC7DFF"/>
    <w:multiLevelType w:val="hybridMultilevel"/>
    <w:lvl w:ilvl="0">
      <w:lvlJc w:val="left"/>
      <w:lvlText w:val="(%1)"/>
      <w:numFmt w:val="decimal"/>
      <w:start w:val="2"/>
    </w:lvl>
  </w:abstractNum>
  <w:abstractNum w:abstractNumId="29">
    <w:nsid w:val="C4C3AF"/>
    <w:multiLevelType w:val="hybridMultilevel"/>
    <w:lvl w:ilvl="0">
      <w:lvlJc w:val="left"/>
      <w:lvlText w:val="(%1)"/>
      <w:numFmt w:val="decimal"/>
      <w:start w:val="3"/>
    </w:lvl>
  </w:abstractNum>
  <w:abstractNum w:abstractNumId="30">
    <w:nsid w:val="44380727"/>
    <w:multiLevelType w:val="hybridMultilevel"/>
    <w:lvl w:ilvl="0">
      <w:lvlJc w:val="left"/>
      <w:lvlText w:val="(%1)"/>
      <w:numFmt w:val="decimal"/>
      <w:start w:val="4"/>
    </w:lvl>
  </w:abstractNum>
  <w:abstractNum w:abstractNumId="31">
    <w:nsid w:val="6C053B16"/>
    <w:multiLevelType w:val="hybridMultilevel"/>
    <w:lvl w:ilvl="0">
      <w:lvlJc w:val="left"/>
      <w:lvlText w:val="(%1)"/>
      <w:numFmt w:val="lowerLetter"/>
      <w:start w:val="1"/>
    </w:lvl>
  </w:abstractNum>
  <w:abstractNum w:abstractNumId="32">
    <w:nsid w:val="4F294393"/>
    <w:multiLevelType w:val="hybridMultilevel"/>
    <w:lvl w:ilvl="0">
      <w:lvlJc w:val="left"/>
      <w:lvlText w:val="(%1)"/>
      <w:numFmt w:val="decimal"/>
      <w:start w:val="5"/>
    </w:lvl>
  </w:abstractNum>
  <w:abstractNum w:abstractNumId="33">
    <w:nsid w:val="5243BFAC"/>
    <w:multiLevelType w:val="hybridMultilevel"/>
    <w:lvl w:ilvl="0">
      <w:lvlJc w:val="left"/>
      <w:lvlText w:val="(%1)"/>
      <w:numFmt w:val="decimal"/>
      <w:start w:val="6"/>
    </w:lvl>
  </w:abstractNum>
  <w:abstractNum w:abstractNumId="34">
    <w:nsid w:val="425EB207"/>
    <w:multiLevelType w:val="hybridMultilevel"/>
    <w:lvl w:ilvl="0">
      <w:lvlJc w:val="left"/>
      <w:lvlText w:val="(%1)"/>
      <w:numFmt w:val="upperLetter"/>
      <w:start w:val="1"/>
    </w:lvl>
  </w:abstractNum>
  <w:abstractNum w:abstractNumId="35">
    <w:nsid w:val="334A6F1F"/>
    <w:multiLevelType w:val="hybridMultilevel"/>
    <w:lvl w:ilvl="0">
      <w:lvlJc w:val="left"/>
      <w:lvlText w:val="(%1)"/>
      <w:numFmt w:val="upperLetter"/>
      <w:start w:val="4"/>
    </w:lvl>
  </w:abstractNum>
  <w:abstractNum w:abstractNumId="36">
    <w:nsid w:val="2E5B12B8"/>
    <w:multiLevelType w:val="hybridMultilevel"/>
    <w:lvl w:ilvl="0">
      <w:lvlJc w:val="left"/>
      <w:lvlText w:val="(%1)"/>
      <w:numFmt w:val="upperLetter"/>
      <w:start w:val="5"/>
    </w:lvl>
  </w:abstractNum>
  <w:abstractNum w:abstractNumId="37">
    <w:nsid w:val="5C03D76D"/>
    <w:multiLevelType w:val="hybridMultilevel"/>
    <w:lvl w:ilvl="0">
      <w:lvlJc w:val="left"/>
      <w:lvlText w:val="(%1)"/>
      <w:numFmt w:val="decimal"/>
      <w:start w:val="7"/>
    </w:lvl>
  </w:abstractNum>
  <w:abstractNum w:abstractNumId="38">
    <w:nsid w:val="66A48D11"/>
    <w:multiLevelType w:val="hybridMultilevel"/>
    <w:lvl w:ilvl="0">
      <w:lvlJc w:val="left"/>
      <w:lvlText w:val="(%1)"/>
      <w:numFmt w:val="decimal"/>
      <w:start w:val="1"/>
    </w:lvl>
  </w:abstractNum>
  <w:abstractNum w:abstractNumId="39">
    <w:nsid w:val="56C28E34"/>
    <w:multiLevelType w:val="hybridMultilevel"/>
    <w:lvl w:ilvl="0">
      <w:lvlJc w:val="left"/>
      <w:lvlText w:val="(%1)"/>
      <w:numFmt w:val="decimal"/>
      <w:start w:val="3"/>
    </w:lvl>
  </w:abstractNum>
  <w:abstractNum w:abstractNumId="40">
    <w:nsid w:val="13916F2D"/>
    <w:multiLevelType w:val="hybridMultilevel"/>
    <w:lvl w:ilvl="0">
      <w:lvlJc w:val="left"/>
      <w:lvlText w:val="(%1)"/>
      <w:numFmt w:val="lowerRoman"/>
      <w:start w:val="4"/>
    </w:lvl>
  </w:abstractNum>
  <w:abstractNum w:abstractNumId="41">
    <w:nsid w:val="435D38D"/>
    <w:multiLevelType w:val="hybridMultilevel"/>
    <w:lvl w:ilvl="0">
      <w:lvlJc w:val="left"/>
      <w:lvlText w:val="(%1)"/>
      <w:numFmt w:val="decimal"/>
      <w:start w:val="1"/>
    </w:lvl>
  </w:abstractNum>
  <w:abstractNum w:abstractNumId="42">
    <w:nsid w:val="822C0EF"/>
    <w:multiLevelType w:val="hybridMultilevel"/>
    <w:lvl w:ilvl="0">
      <w:lvlJc w:val="left"/>
      <w:lvlText w:val="(%1)"/>
      <w:numFmt w:val="lowerRoman"/>
      <w:start w:val="2"/>
    </w:lvl>
  </w:abstractNum>
  <w:abstractNum w:abstractNumId="43">
    <w:nsid w:val="57C5BB4F"/>
    <w:multiLevelType w:val="hybridMultilevel"/>
    <w:lvl w:ilvl="0">
      <w:lvlJc w:val="left"/>
      <w:lvlText w:val="(%1)"/>
      <w:numFmt w:val="lowerRoman"/>
      <w:start w:val="4"/>
    </w:lvl>
  </w:abstractNum>
  <w:abstractNum w:abstractNumId="44">
    <w:nsid w:val="1803D089"/>
    <w:multiLevelType w:val="hybridMultilevel"/>
    <w:lvl w:ilvl="0">
      <w:lvlJc w:val="left"/>
      <w:lvlText w:val="(%1)"/>
      <w:numFmt w:val="lowerRoman"/>
      <w:start w:val="4"/>
    </w:lvl>
  </w:abstractNum>
  <w:abstractNum w:abstractNumId="45">
    <w:nsid w:val="4F3A06D4"/>
    <w:multiLevelType w:val="hybridMultilevel"/>
    <w:lvl w:ilvl="0">
      <w:lvlJc w:val="left"/>
      <w:lvlText w:val="(%1)"/>
      <w:numFmt w:val="lowerRoman"/>
      <w:start w:val="6"/>
    </w:lvl>
  </w:abstractNum>
  <w:abstractNum w:abstractNumId="46">
    <w:nsid w:val="59A377B6"/>
    <w:multiLevelType w:val="hybridMultilevel"/>
    <w:lvl w:ilvl="0">
      <w:lvlJc w:val="left"/>
      <w:lvlText w:val="(%1)"/>
      <w:numFmt w:val="decimal"/>
      <w:start w:val="1"/>
    </w:lvl>
  </w:abstractNum>
  <w:abstractNum w:abstractNumId="47">
    <w:nsid w:val="48AEB063"/>
    <w:multiLevelType w:val="hybridMultilevel"/>
    <w:lvl w:ilvl="0">
      <w:lvlJc w:val="left"/>
      <w:lvlText w:val="(%1)"/>
      <w:numFmt w:val="decimal"/>
      <w:start w:val="1"/>
    </w:lvl>
  </w:abstractNum>
  <w:abstractNum w:abstractNumId="48">
    <w:nsid w:val="24E135"/>
    <w:multiLevelType w:val="hybridMultilevel"/>
    <w:lvl w:ilvl="0">
      <w:lvlJc w:val="left"/>
      <w:lvlText w:val="(%1)"/>
      <w:numFmt w:val="lowerRoman"/>
      <w:start w:val="1"/>
    </w:lvl>
  </w:abstractNum>
  <w:abstractNum w:abstractNumId="49">
    <w:nsid w:val="BB13C1"/>
    <w:multiLevelType w:val="hybridMultilevel"/>
    <w:lvl w:ilvl="0">
      <w:lvlJc w:val="left"/>
      <w:lvlText w:val="•"/>
      <w:numFmt w:val="bullet"/>
      <w:start w:val="1"/>
    </w:lvl>
  </w:abstractNum>
  <w:abstractNum w:abstractNumId="50">
    <w:nsid w:val="271210C7"/>
    <w:multiLevelType w:val="hybridMultilevel"/>
    <w:lvl w:ilvl="0">
      <w:lvlJc w:val="left"/>
      <w:lvlText w:val="•"/>
      <w:numFmt w:val="bullet"/>
      <w:start w:val="1"/>
    </w:lvl>
  </w:abstractNum>
  <w:abstractNum w:abstractNumId="51">
    <w:nsid w:val="217B22E4"/>
    <w:multiLevelType w:val="hybridMultilevel"/>
    <w:lvl w:ilvl="0">
      <w:lvlJc w:val="left"/>
      <w:lvlText w:val="•"/>
      <w:numFmt w:val="bullet"/>
      <w:start w:val="1"/>
    </w:lvl>
  </w:abstractNum>
  <w:abstractNum w:abstractNumId="52">
    <w:nsid w:val="53E31A24"/>
    <w:multiLevelType w:val="hybridMultilevel"/>
    <w:lvl w:ilvl="0">
      <w:lvlJc w:val="left"/>
      <w:lvlText w:val="•"/>
      <w:numFmt w:val="bullet"/>
      <w:start w:val="1"/>
    </w:lvl>
  </w:abstractNum>
  <w:abstractNum w:abstractNumId="53">
    <w:nsid w:val="6DC45E83"/>
    <w:multiLevelType w:val="hybridMultilevel"/>
    <w:lvl w:ilvl="0">
      <w:lvlJc w:val="left"/>
      <w:lvlText w:val="(%1)"/>
      <w:numFmt w:val="lowerRoman"/>
      <w:start w:val="6"/>
    </w:lvl>
  </w:abstractNum>
  <w:abstractNum w:abstractNumId="54">
    <w:nsid w:val="17304A67"/>
    <w:multiLevelType w:val="hybridMultilevel"/>
    <w:lvl w:ilvl="0">
      <w:lvlJc w:val="left"/>
      <w:lvlText w:val="•"/>
      <w:numFmt w:val="bullet"/>
      <w:start w:val="1"/>
    </w:lvl>
  </w:abstractNum>
  <w:abstractNum w:abstractNumId="55">
    <w:nsid w:val="2BB180D8"/>
    <w:multiLevelType w:val="hybridMultilevel"/>
    <w:lvl w:ilvl="0">
      <w:lvlJc w:val="left"/>
      <w:lvlText w:val="•"/>
      <w:numFmt w:val="bullet"/>
      <w:start w:val="1"/>
    </w:lvl>
  </w:abstractNum>
  <w:abstractNum w:abstractNumId="56">
    <w:nsid w:val="556B69ED"/>
    <w:multiLevelType w:val="hybridMultilevel"/>
    <w:lvl w:ilvl="0">
      <w:lvlJc w:val="left"/>
      <w:lvlText w:val="*"/>
      <w:numFmt w:val="bullet"/>
      <w:start w:val="1"/>
    </w:lvl>
  </w:abstractNum>
  <w:abstractNum w:abstractNumId="57">
    <w:nsid w:val="70836196"/>
    <w:multiLevelType w:val="hybridMultilevel"/>
    <w:lvl w:ilvl="0">
      <w:lvlJc w:val="left"/>
      <w:lvlText w:val="(%1)"/>
      <w:numFmt w:val="decimal"/>
      <w:start w:val="1"/>
    </w:lvl>
  </w:abstractNum>
  <w:abstractNum w:abstractNumId="58">
    <w:nsid w:val="539F7F12"/>
    <w:multiLevelType w:val="hybridMultilevel"/>
    <w:lvl w:ilvl="0">
      <w:lvlJc w:val="left"/>
      <w:lvlText w:val="(%1)"/>
      <w:numFmt w:val="decimal"/>
      <w:start w:val="2"/>
    </w:lvl>
  </w:abstractNum>
  <w:abstractNum w:abstractNumId="59">
    <w:nsid w:val="2817E7EC"/>
    <w:multiLevelType w:val="hybridMultilevel"/>
    <w:lvl w:ilvl="0">
      <w:lvlJc w:val="left"/>
      <w:lvlText w:val="*"/>
      <w:numFmt w:val="bullet"/>
      <w:start w:val="1"/>
    </w:lvl>
  </w:abstractNum>
  <w:abstractNum w:abstractNumId="60">
    <w:nsid w:val="71482545"/>
    <w:multiLevelType w:val="hybridMultilevel"/>
    <w:lvl w:ilvl="0">
      <w:lvlJc w:val="left"/>
      <w:lvlText w:val="(%1)"/>
      <w:numFmt w:val="decimal"/>
      <w:start w:val="2"/>
    </w:lvl>
  </w:abstractNum>
  <w:abstractNum w:abstractNumId="61">
    <w:nsid w:val="17D78639"/>
    <w:multiLevelType w:val="hybridMultilevel"/>
    <w:lvl w:ilvl="0">
      <w:lvlJc w:val="left"/>
      <w:lvlText w:val="(%1)"/>
      <w:numFmt w:val="decimal"/>
      <w:start w:val="2"/>
    </w:lvl>
  </w:abstractNum>
  <w:abstractNum w:abstractNumId="62">
    <w:nsid w:val="141D2302"/>
    <w:multiLevelType w:val="hybridMultilevel"/>
    <w:lvl w:ilvl="0">
      <w:lvlJc w:val="left"/>
      <w:lvlText w:val="*"/>
      <w:numFmt w:val="bullet"/>
      <w:start w:val="1"/>
    </w:lvl>
  </w:abstractNum>
  <w:abstractNum w:abstractNumId="63">
    <w:nsid w:val="407168D8"/>
    <w:multiLevelType w:val="hybridMultilevel"/>
    <w:lvl w:ilvl="0">
      <w:lvlJc w:val="left"/>
      <w:lvlText w:val="(%1)"/>
      <w:numFmt w:val="decimal"/>
      <w:start w:val="1"/>
    </w:lvl>
  </w:abstractNum>
  <w:abstractNum w:abstractNumId="64">
    <w:nsid w:val="6A1B45E5"/>
    <w:multiLevelType w:val="hybridMultilevel"/>
    <w:lvl w:ilvl="0">
      <w:lvlJc w:val="left"/>
      <w:lvlText w:val="(%1)"/>
      <w:numFmt w:val="decimal"/>
      <w:start w:val="3"/>
    </w:lvl>
  </w:abstractNum>
  <w:abstractNum w:abstractNumId="65">
    <w:nsid w:val="567BD50A"/>
    <w:multiLevelType w:val="hybridMultilevel"/>
    <w:lvl w:ilvl="0">
      <w:lvlJc w:val="left"/>
      <w:lvlText w:val="(%1)"/>
      <w:numFmt w:val="decimal"/>
      <w:start w:val="1"/>
    </w:lvl>
  </w:abstractNum>
  <w:abstractNum w:abstractNumId="66">
    <w:nsid w:val="73BBD7F8"/>
    <w:multiLevelType w:val="hybridMultilevel"/>
    <w:lvl w:ilvl="0">
      <w:lvlJc w:val="left"/>
      <w:lvlText w:val="(%1)"/>
      <w:numFmt w:val="decimal"/>
      <w:start w:val="5"/>
    </w:lvl>
  </w:abstractNum>
  <w:abstractNum w:abstractNumId="67">
    <w:nsid w:val="1876589D"/>
    <w:multiLevelType w:val="hybridMultilevel"/>
    <w:lvl w:ilvl="0">
      <w:lvlJc w:val="left"/>
      <w:lvlText w:val="(%1)"/>
      <w:numFmt w:val="decimal"/>
      <w:start w:val="8"/>
    </w:lvl>
  </w:abstractNum>
  <w:abstractNum w:abstractNumId="68">
    <w:nsid w:val="327FAC77"/>
    <w:multiLevelType w:val="hybridMultilevel"/>
    <w:lvl w:ilvl="0">
      <w:lvlJc w:val="left"/>
      <w:lvlText w:val="(%1)"/>
      <w:numFmt w:val="decimal"/>
      <w:start w:val="1"/>
    </w:lvl>
  </w:abstractNum>
  <w:abstractNum w:abstractNumId="69">
    <w:nsid w:val="5A606509"/>
    <w:multiLevelType w:val="hybridMultilevel"/>
    <w:lvl w:ilvl="0">
      <w:lvlJc w:val="left"/>
      <w:lvlText w:val="(%1)"/>
      <w:numFmt w:val="decimal"/>
      <w:start w:val="1"/>
    </w:lvl>
  </w:abstractNum>
  <w:abstractNum w:abstractNumId="70">
    <w:nsid w:val="6F38E6D1"/>
    <w:multiLevelType w:val="hybridMultilevel"/>
    <w:lvl w:ilvl="0">
      <w:lvlJc w:val="left"/>
      <w:lvlText w:val="(%1)"/>
      <w:numFmt w:val="decimal"/>
      <w:start w:val="6"/>
    </w:lvl>
  </w:abstractNum>
  <w:abstractNum w:abstractNumId="71">
    <w:nsid w:val="46111BA5"/>
    <w:multiLevelType w:val="hybridMultilevel"/>
    <w:lvl w:ilvl="0">
      <w:lvlJc w:val="left"/>
      <w:lvlText w:val="(%1)"/>
      <w:numFmt w:val="decimal"/>
      <w:start w:val="1"/>
    </w:lvl>
  </w:abstractNum>
  <w:abstractNum w:abstractNumId="72">
    <w:nsid w:val="5E963896"/>
    <w:multiLevelType w:val="hybridMultilevel"/>
    <w:lvl w:ilvl="0">
      <w:lvlJc w:val="left"/>
      <w:lvlText w:val="(%1)"/>
      <w:numFmt w:val="decimal"/>
      <w:start w:val="3"/>
    </w:lvl>
  </w:abstractNum>
  <w:abstractNum w:abstractNumId="73">
    <w:nsid w:val="775BA7C1"/>
    <w:multiLevelType w:val="hybridMultilevel"/>
    <w:lvl w:ilvl="0">
      <w:lvlJc w:val="left"/>
      <w:lvlText w:val="(%1)"/>
      <w:numFmt w:val="lowerRoman"/>
      <w:start w:val="1"/>
    </w:lvl>
  </w:abstractNum>
  <w:abstractNum w:abstractNumId="74">
    <w:nsid w:val="1DD6D6F4"/>
    <w:multiLevelType w:val="hybridMultilevel"/>
    <w:lvl w:ilvl="0">
      <w:lvlJc w:val="left"/>
      <w:lvlText w:val="(%1)"/>
      <w:numFmt w:val="lowerRoman"/>
      <w:start w:val="2"/>
    </w:lvl>
  </w:abstractNum>
  <w:abstractNum w:abstractNumId="75">
    <w:nsid w:val="769A091F"/>
    <w:multiLevelType w:val="hybridMultilevel"/>
    <w:lvl w:ilvl="0">
      <w:lvlJc w:val="left"/>
      <w:lvlText w:val="(%1)"/>
      <w:numFmt w:val="lowerRoman"/>
      <w:start w:val="1"/>
    </w:lvl>
  </w:abstractNum>
  <w:abstractNum w:abstractNumId="76">
    <w:nsid w:val="4695AE95"/>
    <w:multiLevelType w:val="hybridMultilevel"/>
    <w:lvl w:ilvl="0">
      <w:lvlJc w:val="left"/>
      <w:lvlText w:val="•"/>
      <w:numFmt w:val="bullet"/>
      <w:start w:val="1"/>
    </w:lvl>
  </w:abstractNum>
  <w:abstractNum w:abstractNumId="77">
    <w:nsid w:val="777A4EAA"/>
    <w:multiLevelType w:val="hybridMultilevel"/>
    <w:lvl w:ilvl="0">
      <w:lvlJc w:val="left"/>
      <w:lvlText w:val="•"/>
      <w:numFmt w:val="bullet"/>
      <w:start w:val="1"/>
    </w:lvl>
  </w:abstractNum>
  <w:abstractNum w:abstractNumId="78">
    <w:nsid w:val="3F48B982"/>
    <w:multiLevelType w:val="hybridMultilevel"/>
    <w:lvl w:ilvl="0">
      <w:lvlJc w:val="left"/>
      <w:lvlText w:val="•"/>
      <w:numFmt w:val="bullet"/>
      <w:start w:val="1"/>
    </w:lvl>
  </w:abstractNum>
  <w:abstractNum w:abstractNumId="79">
    <w:nsid w:val="46BA8FCA"/>
    <w:multiLevelType w:val="hybridMultilevel"/>
    <w:lvl w:ilvl="0">
      <w:lvlJc w:val="left"/>
      <w:lvlText w:val="•"/>
      <w:numFmt w:val="bullet"/>
      <w:start w:val="1"/>
    </w:lvl>
  </w:abstractNum>
  <w:abstractNum w:abstractNumId="80">
    <w:nsid w:val="7835626C"/>
    <w:multiLevelType w:val="hybridMultilevel"/>
    <w:lvl w:ilvl="0">
      <w:lvlJc w:val="left"/>
      <w:lvlText w:val="•"/>
      <w:numFmt w:val="bullet"/>
      <w:start w:val="1"/>
    </w:lvl>
  </w:abstractNum>
  <w:abstractNum w:abstractNumId="81">
    <w:nsid w:val="665ACA49"/>
    <w:multiLevelType w:val="hybridMultilevel"/>
    <w:lvl w:ilvl="0">
      <w:lvlJc w:val="left"/>
      <w:lvlText w:val="(%1)"/>
      <w:numFmt w:val="lowerRoman"/>
      <w:start w:val="3"/>
    </w:lvl>
  </w:abstractNum>
  <w:abstractNum w:abstractNumId="82">
    <w:nsid w:val="6835B2AE"/>
    <w:multiLevelType w:val="hybridMultilevel"/>
    <w:lvl w:ilvl="0">
      <w:lvlJc w:val="left"/>
      <w:lvlText w:val="(%1)"/>
      <w:numFmt w:val="decimal"/>
      <w:start w:val="1"/>
    </w:lvl>
  </w:abstractNum>
  <w:abstractNum w:abstractNumId="83">
    <w:nsid w:val="4C187C90"/>
    <w:multiLevelType w:val="hybridMultilevel"/>
    <w:lvl w:ilvl="0">
      <w:lvlJc w:val="left"/>
      <w:lvlText w:val="(%1)"/>
      <w:numFmt w:val="decimal"/>
      <w:start w:val="1"/>
    </w:lvl>
  </w:abstractNum>
  <w:abstractNum w:abstractNumId="84">
    <w:nsid w:val="541F28CD"/>
    <w:multiLevelType w:val="hybridMultilevel"/>
    <w:lvl w:ilvl="0">
      <w:lvlJc w:val="left"/>
      <w:lvlText w:val="(%1)"/>
      <w:numFmt w:val="decimal"/>
      <w:start w:val="1"/>
    </w:lvl>
  </w:abstractNum>
  <w:abstractNum w:abstractNumId="85">
    <w:nsid w:val="7F65FD16"/>
    <w:multiLevelType w:val="hybridMultilevel"/>
    <w:lvl w:ilvl="0">
      <w:lvlJc w:val="left"/>
      <w:lvlText w:val="(%1)"/>
      <w:numFmt w:val="decimal"/>
      <w:start w:val="3"/>
    </w:lvl>
  </w:abstractNum>
  <w:abstractNum w:abstractNumId="86">
    <w:nsid w:val="77C9FD68"/>
    <w:multiLevelType w:val="hybridMultilevel"/>
    <w:lvl w:ilvl="0">
      <w:lvlJc w:val="left"/>
      <w:lvlText w:val="(%1)"/>
      <w:numFmt w:val="decimal"/>
      <w:start w:val="1"/>
    </w:lvl>
  </w:abstractNum>
  <w:abstractNum w:abstractNumId="87">
    <w:nsid w:val="298A92BA"/>
    <w:multiLevelType w:val="hybridMultilevel"/>
    <w:lvl w:ilvl="0">
      <w:lvlJc w:val="left"/>
      <w:lvlText w:val="(%1)"/>
      <w:numFmt w:val="decimal"/>
      <w:start w:val="1"/>
    </w:lvl>
  </w:abstractNum>
  <w:abstractNum w:abstractNumId="88">
    <w:nsid w:val="6FE95EAC"/>
    <w:multiLevelType w:val="hybridMultilevel"/>
    <w:lvl w:ilvl="0">
      <w:lvlJc w:val="left"/>
      <w:lvlText w:val="(%1)"/>
      <w:numFmt w:val="decimal"/>
      <w:start w:val="1"/>
    </w:lvl>
  </w:abstractNum>
  <w:abstractNum w:abstractNumId="89">
    <w:nsid w:val="4B697C7A"/>
    <w:multiLevelType w:val="hybridMultilevel"/>
    <w:lvl w:ilvl="0">
      <w:lvlJc w:val="left"/>
      <w:lvlText w:val="(%1)"/>
      <w:numFmt w:val="decimal"/>
      <w:start w:val="1"/>
    </w:lvl>
  </w:abstractNum>
  <w:abstractNum w:abstractNumId="90">
    <w:nsid w:val="51A27AA6"/>
    <w:multiLevelType w:val="hybridMultilevel"/>
    <w:lvl w:ilvl="0">
      <w:lvlJc w:val="left"/>
      <w:lvlText w:val="(%1)"/>
      <w:numFmt w:val="decimal"/>
      <w:start w:val="2"/>
    </w:lvl>
  </w:abstractNum>
  <w:abstractNum w:abstractNumId="91">
    <w:nsid w:val="613183F2"/>
    <w:multiLevelType w:val="hybridMultilevel"/>
    <w:lvl w:ilvl="0">
      <w:lvlJc w:val="left"/>
      <w:lvlText w:val="(%1)"/>
      <w:numFmt w:val="decimal"/>
      <w:start w:val="15"/>
    </w:lvl>
  </w:abstractNum>
  <w:abstractNum w:abstractNumId="92">
    <w:nsid w:val="634102B4"/>
    <w:multiLevelType w:val="hybridMultilevel"/>
    <w:lvl w:ilvl="0">
      <w:lvlJc w:val="left"/>
      <w:lvlText w:val="•"/>
      <w:numFmt w:val="bullet"/>
      <w:start w:val="1"/>
    </w:lvl>
  </w:abstractNum>
  <w:abstractNum w:abstractNumId="93">
    <w:nsid w:val="65BF9DA8"/>
    <w:multiLevelType w:val="hybridMultilevel"/>
    <w:lvl w:ilvl="0">
      <w:lvlJc w:val="left"/>
      <w:lvlText w:val="•"/>
      <w:numFmt w:val="bullet"/>
      <w:start w:val="1"/>
    </w:lvl>
  </w:abstractNum>
  <w:abstractNum w:abstractNumId="94">
    <w:nsid w:val="21A2ECCA"/>
    <w:multiLevelType w:val="hybridMultilevel"/>
    <w:lvl w:ilvl="0">
      <w:lvlJc w:val="left"/>
      <w:lvlText w:val="(%1)"/>
      <w:numFmt w:val="lowerRoman"/>
      <w:start w:val="1"/>
    </w:lvl>
  </w:abstractNum>
  <w:abstractNum w:abstractNumId="95">
    <w:nsid w:val="4D5C4899"/>
    <w:multiLevelType w:val="hybridMultilevel"/>
    <w:lvl w:ilvl="0">
      <w:lvlJc w:val="left"/>
      <w:lvlText w:val="•"/>
      <w:numFmt w:val="bullet"/>
      <w:start w:val="1"/>
    </w:lvl>
  </w:abstractNum>
  <w:abstractNum w:abstractNumId="96">
    <w:nsid w:val="3C3B72B2"/>
    <w:multiLevelType w:val="hybridMultilevel"/>
    <w:lvl w:ilvl="0">
      <w:lvlJc w:val="left"/>
      <w:lvlText w:val="•"/>
      <w:numFmt w:val="bullet"/>
      <w:start w:val="1"/>
    </w:lvl>
  </w:abstractNum>
  <w:abstractNum w:abstractNumId="97">
    <w:nsid w:val="155EC4C2"/>
    <w:multiLevelType w:val="hybridMultilevel"/>
    <w:lvl w:ilvl="0">
      <w:lvlJc w:val="left"/>
      <w:lvlText w:val="(%1)"/>
      <w:numFmt w:val="decimal"/>
      <w:start w:val="1"/>
    </w:lvl>
  </w:abstractNum>
  <w:abstractNum w:abstractNumId="98">
    <w:nsid w:val="65D2A137"/>
    <w:multiLevelType w:val="hybridMultilevel"/>
    <w:lvl w:ilvl="0">
      <w:lvlJc w:val="left"/>
      <w:lvlText w:val="(%1)"/>
      <w:numFmt w:val="decimal"/>
      <w:start w:val="1"/>
    </w:lvl>
  </w:abstractNum>
  <w:abstractNum w:abstractNumId="99">
    <w:nsid w:val="6EBB1F2A"/>
    <w:multiLevelType w:val="hybridMultilevel"/>
    <w:lvl w:ilvl="0">
      <w:lvlJc w:val="left"/>
      <w:lvlText w:val="(%1)"/>
      <w:numFmt w:val="decimal"/>
      <w:start w:val="1"/>
    </w:lvl>
    <w:lvl w:ilvl="1">
      <w:lvlJc w:val="left"/>
      <w:lvlText w:val="(%2)"/>
      <w:numFmt w:val="lowerLetter"/>
      <w:start w:val="1"/>
    </w:lvl>
  </w:abstractNum>
  <w:abstractNum w:abstractNumId="100">
    <w:nsid w:val="6FBF29CB"/>
    <w:multiLevelType w:val="hybridMultilevel"/>
    <w:lvl w:ilvl="0">
      <w:lvlJc w:val="left"/>
      <w:lvlText w:val="(%1)"/>
      <w:numFmt w:val="lowerLetter"/>
      <w:start w:val="2"/>
    </w:lvl>
  </w:abstractNum>
  <w:abstractNum w:abstractNumId="101">
    <w:nsid w:val="550B8808"/>
    <w:multiLevelType w:val="hybridMultilevel"/>
    <w:lvl w:ilvl="0">
      <w:lvlJc w:val="left"/>
      <w:lvlText w:val="(%1)"/>
      <w:numFmt w:val="decimal"/>
      <w:start w:val="1"/>
    </w:lvl>
  </w:abstractNum>
  <w:abstractNum w:abstractNumId="102">
    <w:nsid w:val="34CC3ACF"/>
    <w:multiLevelType w:val="hybridMultilevel"/>
    <w:lvl w:ilvl="0">
      <w:lvlJc w:val="left"/>
      <w:lvlText w:val="(%1)"/>
      <w:numFmt w:val="decimal"/>
      <w:start w:val="1"/>
    </w:lvl>
  </w:abstractNum>
  <w:abstractNum w:abstractNumId="103">
    <w:nsid w:val="4E556261"/>
    <w:multiLevelType w:val="hybridMultilevel"/>
    <w:lvl w:ilvl="0">
      <w:lvlJc w:val="left"/>
      <w:lvlText w:val="(%1)"/>
      <w:numFmt w:val="upperLetter"/>
      <w:start w:val="1"/>
    </w:lvl>
    <w:lvl w:ilvl="1">
      <w:lvlJc w:val="left"/>
      <w:lvlText w:val="(%2)"/>
      <w:numFmt w:val="decimal"/>
      <w:start w:val="1"/>
    </w:lvl>
  </w:abstractNum>
  <w:abstractNum w:abstractNumId="104">
    <w:nsid w:val="4C672FC9"/>
    <w:multiLevelType w:val="hybridMultilevel"/>
    <w:lvl w:ilvl="0">
      <w:lvlJc w:val="left"/>
      <w:lvlText w:val="(%1)"/>
      <w:numFmt w:val="decimal"/>
      <w:start w:val="1"/>
    </w:lvl>
    <w:lvl w:ilvl="1">
      <w:lvlJc w:val="left"/>
      <w:lvlText w:val="(%2)"/>
      <w:numFmt w:val="lowerLetter"/>
      <w:start w:val="1"/>
    </w:lvl>
  </w:abstractNum>
  <w:abstractNum w:abstractNumId="105">
    <w:nsid w:val="52A311C3"/>
    <w:multiLevelType w:val="hybridMultilevel"/>
    <w:lvl w:ilvl="0">
      <w:lvlJc w:val="left"/>
      <w:lvlText w:val="(%1)"/>
      <w:numFmt w:val="upperLetter"/>
      <w:start w:val="2"/>
    </w:lvl>
  </w:abstractNum>
  <w:abstractNum w:abstractNumId="106">
    <w:nsid w:val="44EF6B80"/>
    <w:multiLevelType w:val="hybridMultilevel"/>
    <w:lvl w:ilvl="0">
      <w:lvlJc w:val="left"/>
      <w:lvlText w:val="(%1)"/>
      <w:numFmt w:val="decimal"/>
      <w:start w:val="1"/>
    </w:lvl>
  </w:abstractNum>
  <w:abstractNum w:abstractNumId="107">
    <w:nsid w:val="12FCDE5E"/>
    <w:multiLevelType w:val="hybridMultilevel"/>
    <w:lvl w:ilvl="0">
      <w:lvlJc w:val="left"/>
      <w:lvlText w:val="(%1)"/>
      <w:numFmt w:val="decimal"/>
      <w:start w:val="3"/>
    </w:lvl>
    <w:lvl w:ilvl="1">
      <w:lvlJc w:val="left"/>
      <w:lvlText w:val="(%2)"/>
      <w:numFmt w:val="lowerLetter"/>
      <w:start w:val="1"/>
    </w:lvl>
  </w:abstractNum>
  <w:abstractNum w:abstractNumId="108">
    <w:nsid w:val="4A1D606E"/>
    <w:multiLevelType w:val="hybridMultilevel"/>
    <w:lvl w:ilvl="0">
      <w:lvlJc w:val="left"/>
      <w:lvlText w:val="(%1)"/>
      <w:numFmt w:val="decimal"/>
      <w:start w:val="8"/>
    </w:lvl>
  </w:abstractNum>
  <w:abstractNum w:abstractNumId="109">
    <w:nsid w:val="4382503"/>
    <w:multiLevelType w:val="hybridMultilevel"/>
    <w:lvl w:ilvl="0">
      <w:lvlJc w:val="left"/>
      <w:lvlText w:val="(%1)"/>
      <w:numFmt w:val="decimal"/>
      <w:start w:val="10"/>
    </w:lvl>
  </w:abstractNum>
  <w:abstractNum w:abstractNumId="110">
    <w:nsid w:val="59B76E28"/>
    <w:multiLevelType w:val="hybridMultilevel"/>
    <w:lvl w:ilvl="0">
      <w:lvlJc w:val="left"/>
      <w:lvlText w:val="(%1)"/>
      <w:numFmt w:val="lowerRoman"/>
      <w:start w:val="1"/>
    </w:lvl>
  </w:abstractNum>
  <w:abstractNum w:abstractNumId="111">
    <w:nsid w:val="4252C2DA"/>
    <w:multiLevelType w:val="hybridMultilevel"/>
    <w:lvl w:ilvl="0">
      <w:lvlJc w:val="left"/>
      <w:lvlText w:val="(%1)"/>
      <w:numFmt w:val="lowerLetter"/>
      <w:start w:val="2"/>
    </w:lvl>
    <w:lvl w:ilvl="1">
      <w:lvlJc w:val="left"/>
      <w:lvlText w:val="(%2)"/>
      <w:numFmt w:val="decimal"/>
      <w:start w:val="13"/>
    </w:lvl>
  </w:abstractNum>
  <w:abstractNum w:abstractNumId="112">
    <w:nsid w:val="6A92EF4C"/>
    <w:multiLevelType w:val="hybridMultilevel"/>
    <w:lvl w:ilvl="0">
      <w:lvlJc w:val="left"/>
      <w:lvlText w:val="(%1)"/>
      <w:numFmt w:val="lowerLetter"/>
      <w:start w:val="1"/>
    </w:lvl>
    <w:lvl w:ilvl="1">
      <w:lvlJc w:val="left"/>
      <w:lvlText w:val="(%2)"/>
      <w:numFmt w:val="lowerLetter"/>
      <w:start w:val="2"/>
    </w:lvl>
  </w:abstractNum>
  <w:abstractNum w:abstractNumId="113">
    <w:nsid w:val="41ED20D7"/>
    <w:multiLevelType w:val="hybridMultilevel"/>
    <w:lvl w:ilvl="0">
      <w:lvlJc w:val="left"/>
      <w:lvlText w:val="(%1)"/>
      <w:numFmt w:val="decimal"/>
      <w:start w:val="1"/>
    </w:lvl>
  </w:abstractNum>
  <w:abstractNum w:abstractNumId="114">
    <w:nsid w:val="E6B3F6A"/>
    <w:multiLevelType w:val="hybridMultilevel"/>
    <w:lvl w:ilvl="0">
      <w:lvlJc w:val="left"/>
      <w:lvlText w:val="(%1)"/>
      <w:numFmt w:val="decimal"/>
      <w:start w:val="5"/>
    </w:lvl>
    <w:lvl w:ilvl="1">
      <w:lvlJc w:val="left"/>
      <w:lvlText w:val="(%2)"/>
      <w:numFmt w:val="lowerLetter"/>
      <w:start w:val="1"/>
    </w:lvl>
  </w:abstractNum>
  <w:abstractNum w:abstractNumId="115">
    <w:nsid w:val="3EB21819"/>
    <w:multiLevelType w:val="hybridMultilevel"/>
    <w:lvl w:ilvl="0">
      <w:lvlJc w:val="left"/>
      <w:lvlText w:val="(%1)"/>
      <w:numFmt w:val="decimal"/>
      <w:start w:val="13"/>
    </w:lvl>
  </w:abstractNum>
  <w:abstractNum w:abstractNumId="116">
    <w:nsid w:val="41531DED"/>
    <w:multiLevelType w:val="hybridMultilevel"/>
    <w:lvl w:ilvl="0">
      <w:lvlJc w:val="left"/>
      <w:lvlText w:val="(%1)"/>
      <w:numFmt w:val="decimal"/>
      <w:start w:val="1"/>
    </w:lvl>
  </w:abstractNum>
  <w:abstractNum w:abstractNumId="117">
    <w:nsid w:val="6353CD2"/>
    <w:multiLevelType w:val="hybridMultilevel"/>
    <w:lvl w:ilvl="0">
      <w:lvlJc w:val="left"/>
      <w:lvlText w:val="(%1)"/>
      <w:numFmt w:val="decimal"/>
      <w:start w:val="1"/>
    </w:lvl>
  </w:abstractNum>
  <w:abstractNum w:abstractNumId="118">
    <w:nsid w:val="683CAAD3"/>
    <w:multiLevelType w:val="hybridMultilevel"/>
    <w:lvl w:ilvl="0">
      <w:lvlJc w:val="left"/>
      <w:lvlText w:val="(%1)"/>
      <w:numFmt w:val="decimal"/>
      <w:start w:val="3"/>
    </w:lvl>
    <w:lvl w:ilvl="1">
      <w:lvlJc w:val="left"/>
      <w:lvlText w:val="(%2)"/>
      <w:numFmt w:val="lowerLetter"/>
      <w:start w:val="1"/>
    </w:lvl>
  </w:abstractNum>
  <w:abstractNum w:abstractNumId="119">
    <w:nsid w:val="313C7C99"/>
    <w:multiLevelType w:val="hybridMultilevel"/>
    <w:lvl w:ilvl="0">
      <w:lvlJc w:val="left"/>
      <w:lvlText w:val="(%1)"/>
      <w:numFmt w:val="decimal"/>
      <w:start w:val="13"/>
    </w:lvl>
  </w:abstractNum>
  <w:abstractNum w:abstractNumId="120">
    <w:nsid w:val="519EB94C"/>
    <w:multiLevelType w:val="hybridMultilevel"/>
    <w:lvl w:ilvl="0">
      <w:lvlJc w:val="left"/>
      <w:lvlText w:val="(%1)"/>
      <w:numFmt w:val="decimal"/>
      <w:start w:val="1"/>
    </w:lvl>
  </w:abstractNum>
  <w:abstractNum w:abstractNumId="121">
    <w:nsid w:val="39DF2579"/>
    <w:multiLevelType w:val="hybridMultilevel"/>
    <w:lvl w:ilvl="0">
      <w:lvlJc w:val="left"/>
      <w:lvlText w:val="(%1)"/>
      <w:numFmt w:val="decimal"/>
      <w:start w:val="1"/>
    </w:lvl>
  </w:abstractNum>
  <w:abstractNum w:abstractNumId="122">
    <w:nsid w:val="126E008B"/>
    <w:multiLevelType w:val="hybridMultilevel"/>
    <w:lvl w:ilvl="0">
      <w:lvlJc w:val="left"/>
      <w:lvlText w:val="(%1)"/>
      <w:numFmt w:val="decimal"/>
      <w:start w:val="1"/>
    </w:lvl>
  </w:abstractNum>
  <w:abstractNum w:abstractNumId="123">
    <w:nsid w:val="34DFBC00"/>
    <w:multiLevelType w:val="hybridMultilevel"/>
    <w:lvl w:ilvl="0">
      <w:lvlJc w:val="left"/>
      <w:lvlText w:val="(%1)"/>
      <w:numFmt w:val="decimal"/>
      <w:start w:val="11"/>
    </w:lvl>
  </w:abstractNum>
  <w:abstractNum w:abstractNumId="124">
    <w:nsid w:val="1F9EC322"/>
    <w:multiLevelType w:val="hybridMultilevel"/>
    <w:lvl w:ilvl="0">
      <w:lvlJc w:val="left"/>
      <w:lvlText w:val="(%1)"/>
      <w:numFmt w:val="decimal"/>
      <w:start w:val="1"/>
    </w:lvl>
    <w:lvl w:ilvl="1">
      <w:lvlJc w:val="left"/>
      <w:lvlText w:val="(%2)"/>
      <w:numFmt w:val="lowerLetter"/>
      <w:start w:val="1"/>
    </w:lvl>
  </w:abstractNum>
  <w:abstractNum w:abstractNumId="125">
    <w:nsid w:val="3410ED56"/>
    <w:multiLevelType w:val="hybridMultilevel"/>
    <w:lvl w:ilvl="0">
      <w:lvlJc w:val="left"/>
      <w:lvlText w:val="(%1)"/>
      <w:numFmt w:val="decimal"/>
      <w:start w:val="1"/>
    </w:lvl>
  </w:abstractNum>
  <w:abstractNum w:abstractNumId="126">
    <w:nsid w:val="23C049A"/>
    <w:multiLevelType w:val="hybridMultilevel"/>
    <w:lvl w:ilvl="0">
      <w:lvlJc w:val="left"/>
      <w:lvlText w:val="(%1)"/>
      <w:numFmt w:val="decimal"/>
      <w:start w:val="1"/>
    </w:lvl>
    <w:lvl w:ilvl="1">
      <w:lvlJc w:val="left"/>
      <w:lvlText w:val="(%2)"/>
      <w:numFmt w:val="lowerLetter"/>
      <w:start w:val="1"/>
    </w:lvl>
  </w:abstractNum>
  <w:abstractNum w:abstractNumId="127">
    <w:nsid w:val="5BDA35D4"/>
    <w:multiLevelType w:val="hybridMultilevel"/>
    <w:lvl w:ilvl="0">
      <w:lvlJc w:val="left"/>
      <w:lvlText w:val="(%1)"/>
      <w:numFmt w:val="decimal"/>
      <w:start w:val="1"/>
    </w:lvl>
  </w:abstractNum>
  <w:abstractNum w:abstractNumId="128">
    <w:nsid w:val="496FB218"/>
    <w:multiLevelType w:val="hybridMultilevel"/>
    <w:lvl w:ilvl="0">
      <w:lvlJc w:val="left"/>
      <w:lvlText w:val="(%1)"/>
      <w:numFmt w:val="decimal"/>
      <w:start w:val="3"/>
    </w:lvl>
  </w:abstractNum>
  <w:abstractNum w:abstractNumId="129">
    <w:nsid w:val="680EA5D1"/>
    <w:multiLevelType w:val="hybridMultilevel"/>
    <w:lvl w:ilvl="0">
      <w:lvlJc w:val="left"/>
      <w:lvlText w:val="(%1)"/>
      <w:numFmt w:val="decimal"/>
      <w:start w:val="1"/>
    </w:lvl>
  </w:abstractNum>
  <w:abstractNum w:abstractNumId="130">
    <w:nsid w:val="4A9554FE"/>
    <w:multiLevelType w:val="hybridMultilevel"/>
    <w:lvl w:ilvl="0">
      <w:lvlJc w:val="left"/>
      <w:lvlText w:val="(%1)"/>
      <w:numFmt w:val="decimal"/>
      <w:start w:val="1"/>
    </w:lvl>
    <w:lvl w:ilvl="1">
      <w:lvlJc w:val="left"/>
      <w:lvlText w:val="(%2)"/>
      <w:numFmt w:val="lowerLetter"/>
      <w:start w:val="1"/>
    </w:lvl>
  </w:abstractNum>
  <w:abstractNum w:abstractNumId="131">
    <w:nsid w:val="392EDBE4"/>
    <w:multiLevelType w:val="hybridMultilevel"/>
    <w:lvl w:ilvl="0">
      <w:lvlJc w:val="left"/>
      <w:lvlText w:val="(%1)"/>
      <w:numFmt w:val="decimal"/>
      <w:start w:val="6"/>
    </w:lvl>
  </w:abstractNum>
  <w:abstractNum w:abstractNumId="132">
    <w:nsid w:val="3D1A2DD9"/>
    <w:multiLevelType w:val="hybridMultilevel"/>
    <w:lvl w:ilvl="0">
      <w:lvlJc w:val="left"/>
      <w:lvlText w:val="(%1)"/>
      <w:numFmt w:val="decimal"/>
      <w:start w:val="1"/>
    </w:lvl>
  </w:abstractNum>
  <w:abstractNum w:abstractNumId="133">
    <w:nsid w:val="7F618FCD"/>
    <w:multiLevelType w:val="hybridMultilevel"/>
    <w:lvl w:ilvl="0">
      <w:lvlJc w:val="left"/>
      <w:lvlText w:val="(%1)"/>
      <w:numFmt w:val="decimal"/>
      <w:start w:val="1"/>
    </w:lvl>
  </w:abstractNum>
  <w:abstractNum w:abstractNumId="134">
    <w:nsid w:val="7843E45"/>
    <w:multiLevelType w:val="hybridMultilevel"/>
    <w:lvl w:ilvl="0">
      <w:lvlJc w:val="left"/>
      <w:lvlText w:val="(%1)"/>
      <w:numFmt w:val="decimal"/>
      <w:start w:val="1"/>
    </w:lvl>
  </w:abstractNum>
  <w:abstractNum w:abstractNumId="135">
    <w:nsid w:val="9815DA3"/>
    <w:multiLevelType w:val="hybridMultilevel"/>
    <w:lvl w:ilvl="0">
      <w:lvlJc w:val="left"/>
      <w:lvlText w:val="(%1)"/>
      <w:numFmt w:val="decimal"/>
      <w:start w:val="5"/>
    </w:lvl>
  </w:abstractNum>
  <w:abstractNum w:abstractNumId="136">
    <w:nsid w:val="5204A191"/>
    <w:multiLevelType w:val="hybridMultilevel"/>
    <w:lvl w:ilvl="0">
      <w:lvlJc w:val="left"/>
      <w:lvlText w:val="(%1)"/>
      <w:numFmt w:val="decimal"/>
      <w:start w:val="1"/>
    </w:lvl>
  </w:abstractNum>
  <w:abstractNum w:abstractNumId="137">
    <w:nsid w:val="4C73A9C6"/>
    <w:multiLevelType w:val="hybridMultilevel"/>
    <w:lvl w:ilvl="0">
      <w:lvlJc w:val="left"/>
      <w:lvlText w:val="(%1)"/>
      <w:numFmt w:val="decimal"/>
      <w:start w:val="9"/>
    </w:lvl>
  </w:abstractNum>
  <w:abstractNum w:abstractNumId="138">
    <w:nsid w:val="1C7E3C01"/>
    <w:multiLevelType w:val="hybridMultilevel"/>
    <w:lvl w:ilvl="0">
      <w:lvlJc w:val="left"/>
      <w:lvlText w:val="(%1)"/>
      <w:numFmt w:val="decimal"/>
      <w:start w:val="1"/>
    </w:lvl>
  </w:abstractNum>
  <w:abstractNum w:abstractNumId="139">
    <w:nsid w:val="1C2201FF"/>
    <w:multiLevelType w:val="hybridMultilevel"/>
    <w:lvl w:ilvl="0">
      <w:lvlJc w:val="left"/>
      <w:lvlText w:val="(%1)"/>
      <w:numFmt w:val="decimal"/>
      <w:start w:val="1"/>
    </w:lvl>
    <w:lvl w:ilvl="1">
      <w:lvlJc w:val="left"/>
      <w:lvlText w:val="(%2)"/>
      <w:numFmt w:val="lowerLetter"/>
      <w:start w:val="1"/>
    </w:lvl>
  </w:abstractNum>
  <w:abstractNum w:abstractNumId="140">
    <w:nsid w:val="50ABCEC9"/>
    <w:multiLevelType w:val="hybridMultilevel"/>
    <w:lvl w:ilvl="0">
      <w:lvlJc w:val="left"/>
      <w:lvlText w:val="(%1)"/>
      <w:numFmt w:val="decimal"/>
      <w:start w:val="2"/>
    </w:lvl>
  </w:abstractNum>
  <w:abstractNum w:abstractNumId="141">
    <w:nsid w:val="7635AA2A"/>
    <w:multiLevelType w:val="hybridMultilevel"/>
    <w:lvl w:ilvl="0">
      <w:lvlJc w:val="left"/>
      <w:lvlText w:val="(%1)"/>
      <w:numFmt w:val="decimal"/>
      <w:start w:val="1"/>
    </w:lvl>
  </w:abstractNum>
  <w:abstractNum w:abstractNumId="142">
    <w:nsid w:val="5E74C4D9"/>
    <w:multiLevelType w:val="hybridMultilevel"/>
    <w:lvl w:ilvl="0">
      <w:lvlJc w:val="left"/>
      <w:lvlText w:val="(%1)"/>
      <w:numFmt w:val="lowerRoman"/>
      <w:start w:val="1"/>
    </w:lvl>
    <w:lvl w:ilvl="1">
      <w:lvlJc w:val="left"/>
      <w:lvlText w:val="(%2)"/>
      <w:numFmt w:val="lowerLetter"/>
      <w:start w:val="34"/>
    </w:lvl>
    <w:lvl w:ilvl="2">
      <w:lvlJc w:val="left"/>
      <w:lvlText w:val="(%3)"/>
      <w:numFmt w:val="lowerLetter"/>
      <w:start w:val="1"/>
    </w:lvl>
  </w:abstractNum>
  <w:abstractNum w:abstractNumId="143">
    <w:nsid w:val="3B3EBE1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144">
    <w:nsid w:val="3822CB01"/>
    <w:multiLevelType w:val="hybridMultilevel"/>
    <w:lvl w:ilvl="0">
      <w:lvlJc w:val="left"/>
      <w:lvlText w:val="(%1)"/>
      <w:numFmt w:val="decimal"/>
      <w:start w:val="1"/>
    </w:lvl>
  </w:abstractNum>
  <w:abstractNum w:abstractNumId="145">
    <w:nsid w:val="6CE00443"/>
    <w:multiLevelType w:val="hybridMultilevel"/>
    <w:lvl w:ilvl="0">
      <w:lvlJc w:val="left"/>
      <w:lvlText w:val="(%1)"/>
      <w:numFmt w:val="decimal"/>
      <w:start w:val="1"/>
    </w:lvl>
  </w:abstractNum>
  <w:abstractNum w:abstractNumId="146">
    <w:nsid w:val="79F0D62F"/>
    <w:multiLevelType w:val="hybridMultilevel"/>
    <w:lvl w:ilvl="0">
      <w:lvlJc w:val="left"/>
      <w:lvlText w:val="(%1)"/>
      <w:numFmt w:val="decimal"/>
      <w:start w:val="4"/>
    </w:lvl>
  </w:abstractNum>
  <w:abstractNum w:abstractNumId="147">
    <w:nsid w:val="7975E8EE"/>
    <w:multiLevelType w:val="hybridMultilevel"/>
    <w:lvl w:ilvl="0">
      <w:lvlJc w:val="left"/>
      <w:lvlText w:val="(%1)"/>
      <w:numFmt w:val="decimal"/>
      <w:start w:val="1"/>
    </w:lvl>
  </w:abstractNum>
  <w:abstractNum w:abstractNumId="148">
    <w:nsid w:val="73154115"/>
    <w:multiLevelType w:val="hybridMultilevel"/>
    <w:lvl w:ilvl="0">
      <w:lvlJc w:val="left"/>
      <w:lvlText w:val="(%1)"/>
      <w:numFmt w:val="decimal"/>
      <w:start w:val="1"/>
    </w:lvl>
  </w:abstractNum>
  <w:abstractNum w:abstractNumId="149">
    <w:nsid w:val="622D8102"/>
    <w:multiLevelType w:val="hybridMultilevel"/>
    <w:lvl w:ilvl="0">
      <w:lvlJc w:val="left"/>
      <w:lvlText w:val="(%1)"/>
      <w:numFmt w:val="lowerLetter"/>
      <w:start w:val="2"/>
    </w:lvl>
  </w:abstractNum>
  <w:abstractNum w:abstractNumId="150">
    <w:nsid w:val="2AB26587"/>
    <w:multiLevelType w:val="hybridMultilevel"/>
    <w:lvl w:ilvl="0">
      <w:lvlJc w:val="left"/>
      <w:lvlText w:val="(%1)"/>
      <w:numFmt w:val="lowerLetter"/>
      <w:start w:val="4"/>
    </w:lvl>
  </w:abstractNum>
  <w:abstractNum w:abstractNumId="151">
    <w:nsid w:val="44B3FA61"/>
    <w:multiLevelType w:val="hybridMultilevel"/>
    <w:lvl w:ilvl="0">
      <w:lvlJc w:val="left"/>
      <w:lvlText w:val="(%1)"/>
      <w:numFmt w:val="decimal"/>
      <w:start w:val="1"/>
    </w:lvl>
  </w:abstractNum>
  <w:abstractNum w:abstractNumId="152">
    <w:nsid w:val="1C0CA67C"/>
    <w:multiLevelType w:val="hybridMultilevel"/>
    <w:lvl w:ilvl="0">
      <w:lvlJc w:val="left"/>
      <w:lvlText w:val="(%1)"/>
      <w:numFmt w:val="decimal"/>
      <w:start w:val="2"/>
    </w:lvl>
  </w:abstractNum>
  <w:abstractNum w:abstractNumId="153">
    <w:nsid w:val="3D206613"/>
    <w:multiLevelType w:val="hybridMultilevel"/>
    <w:lvl w:ilvl="0">
      <w:lvlJc w:val="left"/>
      <w:lvlText w:val="%1"/>
      <w:numFmt w:val="lowerLetter"/>
      <w:start w:val="1"/>
    </w:lvl>
    <w:lvl w:ilvl="1">
      <w:lvlJc w:val="left"/>
      <w:lvlText w:val="(%2)"/>
      <w:numFmt w:val="lowerLetter"/>
      <w:start w:val="1"/>
    </w:lvl>
  </w:abstractNum>
  <w:abstractNum w:abstractNumId="154">
    <w:nsid w:val="7993B662"/>
    <w:multiLevelType w:val="hybridMultilevel"/>
    <w:lvl w:ilvl="0">
      <w:lvlJc w:val="left"/>
      <w:lvlText w:val="(%1)"/>
      <w:numFmt w:val="lowerLetter"/>
      <w:start w:val="22"/>
    </w:lvl>
    <w:lvl w:ilvl="1">
      <w:lvlJc w:val="left"/>
      <w:lvlText w:val="%2"/>
      <w:numFmt w:val="lowerLetter"/>
      <w:start w:val="1"/>
    </w:lvl>
  </w:abstractNum>
  <w:abstractNum w:abstractNumId="155">
    <w:nsid w:val="3BAB699E"/>
    <w:multiLevelType w:val="hybridMultilevel"/>
    <w:lvl w:ilvl="0">
      <w:lvlJc w:val="left"/>
      <w:lvlText w:val="(%1)"/>
      <w:numFmt w:val="lowerLetter"/>
      <w:start w:val="5"/>
    </w:lvl>
  </w:abstractNum>
  <w:abstractNum w:abstractNumId="156">
    <w:nsid w:val="71315369"/>
    <w:multiLevelType w:val="hybridMultilevel"/>
    <w:lvl w:ilvl="0">
      <w:lvlJc w:val="left"/>
      <w:lvlText w:val="(%1)"/>
      <w:numFmt w:val="decimal"/>
      <w:start w:val="1"/>
    </w:lvl>
  </w:abstractNum>
  <w:abstractNum w:abstractNumId="157">
    <w:nsid w:val="7BCFBAFC"/>
    <w:multiLevelType w:val="hybridMultilevel"/>
    <w:lvl w:ilvl="0">
      <w:lvlJc w:val="left"/>
      <w:lvlText w:val="(%1)"/>
      <w:numFmt w:val="decimal"/>
      <w:start w:val="7"/>
    </w:lvl>
  </w:abstractNum>
  <w:abstractNum w:abstractNumId="158">
    <w:nsid w:val="17859F72"/>
    <w:multiLevelType w:val="hybridMultilevel"/>
    <w:lvl w:ilvl="0">
      <w:lvlJc w:val="left"/>
      <w:lvlText w:val="(%1)"/>
      <w:numFmt w:val="decimal"/>
      <w:start w:val="9"/>
    </w:lvl>
  </w:abstractNum>
  <w:abstractNum w:abstractNumId="159">
    <w:nsid w:val="3AA10581"/>
    <w:multiLevelType w:val="hybridMultilevel"/>
    <w:lvl w:ilvl="0">
      <w:lvlJc w:val="left"/>
      <w:lvlText w:val="(%1)"/>
      <w:numFmt w:val="decimal"/>
      <w:start w:val="11"/>
    </w:lvl>
  </w:abstractNum>
  <w:abstractNum w:abstractNumId="160">
    <w:nsid w:val="63DE60CD"/>
    <w:multiLevelType w:val="hybridMultilevel"/>
    <w:lvl w:ilvl="0">
      <w:lvlJc w:val="left"/>
      <w:lvlText w:val="(%1)"/>
      <w:numFmt w:val="decimal"/>
      <w:start w:val="1"/>
    </w:lvl>
  </w:abstractNum>
  <w:abstractNum w:abstractNumId="161">
    <w:nsid w:val="621AF471"/>
    <w:multiLevelType w:val="hybridMultilevel"/>
    <w:lvl w:ilvl="0">
      <w:lvlJc w:val="left"/>
      <w:lvlText w:val="(%1)"/>
      <w:numFmt w:val="decimal"/>
      <w:start w:val="1"/>
    </w:lvl>
  </w:abstractNum>
  <w:abstractNum w:abstractNumId="162">
    <w:nsid w:val="73CFE165"/>
    <w:multiLevelType w:val="hybridMultilevel"/>
    <w:lvl w:ilvl="0">
      <w:lvlJc w:val="left"/>
      <w:lvlText w:val="(%1)"/>
      <w:numFmt w:val="decimal"/>
      <w:start w:val="1"/>
    </w:lvl>
  </w:abstractNum>
  <w:abstractNum w:abstractNumId="163">
    <w:nsid w:val="20F88EA6"/>
    <w:multiLevelType w:val="hybridMultilevel"/>
    <w:lvl w:ilvl="0">
      <w:lvlJc w:val="left"/>
      <w:lvlText w:val="(%1)"/>
      <w:numFmt w:val="decimal"/>
      <w:start w:val="1"/>
    </w:lvl>
  </w:abstractNum>
  <w:abstractNum w:abstractNumId="164">
    <w:nsid w:val="617C843E"/>
    <w:multiLevelType w:val="hybridMultilevel"/>
    <w:lvl w:ilvl="0">
      <w:lvlJc w:val="left"/>
      <w:lvlText w:val="(%1)"/>
      <w:numFmt w:val="decimal"/>
      <w:start w:val="2"/>
    </w:lvl>
  </w:abstractNum>
  <w:abstractNum w:abstractNumId="165">
    <w:nsid w:val="7B541FAB"/>
    <w:multiLevelType w:val="hybridMultilevel"/>
    <w:lvl w:ilvl="0">
      <w:lvlJc w:val="left"/>
      <w:lvlText w:val="(%1)"/>
      <w:numFmt w:val="decimal"/>
      <w:start w:val="1"/>
    </w:lvl>
  </w:abstractNum>
  <w:abstractNum w:abstractNumId="166">
    <w:nsid w:val="2A79EC49"/>
    <w:multiLevelType w:val="hybridMultilevel"/>
    <w:lvl w:ilvl="0">
      <w:lvlJc w:val="left"/>
      <w:lvlText w:val="(%1)"/>
      <w:numFmt w:val="decimal"/>
      <w:start w:val="1"/>
    </w:lvl>
  </w:abstractNum>
  <w:abstractNum w:abstractNumId="167">
    <w:nsid w:val="338125CF"/>
    <w:multiLevelType w:val="hybridMultilevel"/>
    <w:lvl w:ilvl="0">
      <w:lvlJc w:val="left"/>
      <w:lvlText w:val="(%1)"/>
      <w:numFmt w:val="decimal"/>
      <w:start w:val="1"/>
    </w:lvl>
  </w:abstractNum>
  <w:abstractNum w:abstractNumId="168">
    <w:nsid w:val="47C7C971"/>
    <w:multiLevelType w:val="hybridMultilevel"/>
    <w:lvl w:ilvl="0">
      <w:lvlJc w:val="left"/>
      <w:lvlText w:val="(%1)"/>
      <w:numFmt w:val="decimal"/>
      <w:start w:val="1"/>
    </w:lvl>
  </w:abstractNum>
  <w:abstractNum w:abstractNumId="169">
    <w:nsid w:val="46F8284B"/>
    <w:multiLevelType w:val="hybridMultilevel"/>
    <w:lvl w:ilvl="0">
      <w:lvlJc w:val="left"/>
      <w:lvlText w:val="(%1)"/>
      <w:numFmt w:val="decimal"/>
      <w:start w:val="1"/>
    </w:lvl>
  </w:abstractNum>
  <w:abstractNum w:abstractNumId="170">
    <w:nsid w:val="4FA327CE"/>
    <w:multiLevelType w:val="hybridMultilevel"/>
    <w:lvl w:ilvl="0">
      <w:lvlJc w:val="left"/>
      <w:lvlText w:val="(%1)"/>
      <w:numFmt w:val="lowerRoman"/>
      <w:start w:val="1"/>
    </w:lvl>
  </w:abstractNum>
  <w:abstractNum w:abstractNumId="171">
    <w:nsid w:val="1873983A"/>
    <w:multiLevelType w:val="hybridMultilevel"/>
    <w:lvl w:ilvl="0">
      <w:lvlJc w:val="left"/>
      <w:lvlText w:val="(%1)"/>
      <w:numFmt w:val="decimal"/>
      <w:start w:val="1"/>
    </w:lvl>
  </w:abstractNum>
  <w:abstractNum w:abstractNumId="172">
    <w:nsid w:val="3D2DD275"/>
    <w:multiLevelType w:val="hybridMultilevel"/>
    <w:lvl w:ilvl="0">
      <w:lvlJc w:val="left"/>
      <w:lvlText w:val="(%1)"/>
      <w:numFmt w:val="decimal"/>
      <w:start w:val="1"/>
    </w:lvl>
  </w:abstractNum>
  <w:abstractNum w:abstractNumId="173">
    <w:nsid w:val="2E17ECA7"/>
    <w:multiLevelType w:val="hybridMultilevel"/>
    <w:lvl w:ilvl="0">
      <w:lvlJc w:val="left"/>
      <w:lvlText w:val="(%1)"/>
      <w:numFmt w:val="decimal"/>
      <w:start w:val="1"/>
    </w:lvl>
    <w:lvl w:ilvl="1">
      <w:lvlJc w:val="left"/>
      <w:lvlText w:val="(%2)"/>
      <w:numFmt w:val="lowerLetter"/>
      <w:start w:val="1"/>
    </w:lvl>
  </w:abstractNum>
  <w:abstractNum w:abstractNumId="174">
    <w:nsid w:val="53B2564F"/>
    <w:multiLevelType w:val="hybridMultilevel"/>
    <w:lvl w:ilvl="0">
      <w:lvlJc w:val="left"/>
      <w:lvlText w:val="%1"/>
      <w:numFmt w:val="decimal"/>
      <w:start w:val="1"/>
    </w:lvl>
    <w:lvl w:ilvl="1">
      <w:lvlJc w:val="left"/>
      <w:lvlText w:val="(%2)"/>
      <w:numFmt w:val="lowerLetter"/>
      <w:start w:val="2"/>
    </w:lvl>
  </w:abstractNum>
  <w:abstractNum w:abstractNumId="175">
    <w:nsid w:val="75509D76"/>
    <w:multiLevelType w:val="hybridMultilevel"/>
    <w:lvl w:ilvl="0">
      <w:lvlJc w:val="left"/>
      <w:lvlText w:val="(%1)"/>
      <w:numFmt w:val="decimal"/>
      <w:start w:val="4"/>
    </w:lvl>
    <w:lvl w:ilvl="1">
      <w:lvlJc w:val="left"/>
      <w:lvlText w:val="%2"/>
      <w:numFmt w:val="lowerLetter"/>
      <w:start w:val="1"/>
    </w:lvl>
  </w:abstractNum>
  <w:abstractNum w:abstractNumId="176">
    <w:nsid w:val="1AF7F0EA"/>
    <w:multiLevelType w:val="hybridMultilevel"/>
    <w:lvl w:ilvl="0">
      <w:lvlJc w:val="left"/>
      <w:lvlText w:val="(%1)"/>
      <w:numFmt w:val="decimal"/>
      <w:start w:val="15"/>
    </w:lvl>
  </w:abstractNum>
  <w:abstractNum w:abstractNumId="177">
    <w:nsid w:val="4DA32C7E"/>
    <w:multiLevelType w:val="hybridMultilevel"/>
    <w:lvl w:ilvl="0">
      <w:lvlJc w:val="left"/>
      <w:lvlText w:val="(%1)"/>
      <w:numFmt w:val="decimal"/>
      <w:start w:val="1"/>
    </w:lvl>
  </w:abstractNum>
  <w:abstractNum w:abstractNumId="178">
    <w:nsid w:val="6EC68664"/>
    <w:multiLevelType w:val="hybridMultilevel"/>
    <w:lvl w:ilvl="0">
      <w:lvlJc w:val="left"/>
      <w:lvlText w:val="%1"/>
      <w:numFmt w:val="lowerRoman"/>
      <w:start w:val="1"/>
    </w:lvl>
    <w:lvl w:ilvl="1">
      <w:lvlJc w:val="left"/>
      <w:lvlText w:val="(%2)"/>
      <w:numFmt w:val="decimal"/>
      <w:start w:val="14"/>
    </w:lvl>
  </w:abstractNum>
  <w:abstractNum w:abstractNumId="179">
    <w:nsid w:val="E0D31FF"/>
    <w:multiLevelType w:val="hybridMultilevel"/>
    <w:lvl w:ilvl="0">
      <w:lvlJc w:val="left"/>
      <w:lvlText w:val="(%1)"/>
      <w:numFmt w:val="lowerRoman"/>
      <w:start w:val="3"/>
    </w:lvl>
    <w:lvl w:ilvl="1">
      <w:lvlJc w:val="left"/>
      <w:lvlText w:val="(%2)"/>
      <w:numFmt w:val="decimal"/>
      <w:start w:val="24"/>
    </w:lvl>
  </w:abstractNum>
  <w:abstractNum w:abstractNumId="180">
    <w:nsid w:val="2FD0AD81"/>
    <w:multiLevelType w:val="hybridMultilevel"/>
    <w:lvl w:ilvl="0">
      <w:lvlJc w:val="left"/>
      <w:lvlText w:val="(%1)"/>
      <w:numFmt w:val="decimal"/>
      <w:start w:val="1"/>
    </w:lvl>
  </w:abstractNum>
  <w:abstractNum w:abstractNumId="181">
    <w:nsid w:val="1978EBEB"/>
    <w:multiLevelType w:val="hybridMultilevel"/>
    <w:lvl w:ilvl="0">
      <w:lvlJc w:val="left"/>
      <w:lvlText w:val="(%1)"/>
      <w:numFmt w:val="decimal"/>
      <w:start w:val="1"/>
    </w:lvl>
  </w:abstractNum>
  <w:abstractNum w:abstractNumId="182">
    <w:nsid w:val="52C12C61"/>
    <w:multiLevelType w:val="hybridMultilevel"/>
    <w:lvl w:ilvl="0">
      <w:lvlJc w:val="left"/>
      <w:lvlText w:val="(%1)"/>
      <w:numFmt w:val="decimal"/>
      <w:start w:val="1"/>
    </w:lvl>
  </w:abstractNum>
  <w:abstractNum w:abstractNumId="183">
    <w:nsid w:val="4BDD53FD"/>
    <w:multiLevelType w:val="hybridMultilevel"/>
    <w:lvl w:ilvl="0">
      <w:lvlJc w:val="left"/>
      <w:lvlText w:val="•"/>
      <w:numFmt w:val="bullet"/>
      <w:start w:val="1"/>
    </w:lvl>
  </w:abstractNum>
  <w:abstractNum w:abstractNumId="184">
    <w:nsid w:val="569951FE"/>
    <w:multiLevelType w:val="hybridMultilevel"/>
    <w:lvl w:ilvl="0">
      <w:lvlJc w:val="left"/>
      <w:lvlText w:val="•"/>
      <w:numFmt w:val="bullet"/>
      <w:start w:val="1"/>
    </w:lvl>
  </w:abstractNum>
  <w:abstractNum w:abstractNumId="185">
    <w:nsid w:val="4C54E2C3"/>
    <w:multiLevelType w:val="hybridMultilevel"/>
    <w:lvl w:ilvl="0">
      <w:lvlJc w:val="left"/>
      <w:lvlText w:val="(%1)"/>
      <w:numFmt w:val="decimal"/>
      <w:start w:val="1"/>
    </w:lvl>
  </w:abstractNum>
  <w:abstractNum w:abstractNumId="186">
    <w:nsid w:val="788BD9B"/>
    <w:multiLevelType w:val="hybridMultilevel"/>
    <w:lvl w:ilvl="0">
      <w:lvlJc w:val="left"/>
      <w:lvlText w:val="(%1)"/>
      <w:numFmt w:val="decimal"/>
      <w:start w:val="1"/>
    </w:lvl>
  </w:abstractNum>
  <w:abstractNum w:abstractNumId="187">
    <w:nsid w:val="47CAA567"/>
    <w:multiLevelType w:val="hybridMultilevel"/>
    <w:lvl w:ilvl="0">
      <w:lvlJc w:val="left"/>
      <w:lvlText w:val="(%1)"/>
      <w:numFmt w:val="decimal"/>
      <w:start w:val="1"/>
    </w:lvl>
  </w:abstractNum>
  <w:abstractNum w:abstractNumId="188">
    <w:nsid w:val="48249DBF"/>
    <w:multiLevelType w:val="hybridMultilevel"/>
    <w:lvl w:ilvl="0">
      <w:lvlJc w:val="left"/>
      <w:lvlText w:val="(%1)"/>
      <w:numFmt w:val="decimal"/>
      <w:start w:val="3"/>
    </w:lvl>
  </w:abstractNum>
  <w:abstractNum w:abstractNumId="189">
    <w:nsid w:val="1F0E5D0D"/>
    <w:multiLevelType w:val="hybridMultilevel"/>
    <w:lvl w:ilvl="0">
      <w:lvlJc w:val="left"/>
      <w:lvlText w:val="(%1)"/>
      <w:numFmt w:val="decimal"/>
      <w:start w:val="1"/>
    </w:lvl>
  </w:abstractNum>
  <w:abstractNum w:abstractNumId="190">
    <w:nsid w:val="26BAAE9"/>
    <w:multiLevelType w:val="hybridMultilevel"/>
    <w:lvl w:ilvl="0">
      <w:lvlJc w:val="left"/>
      <w:lvlText w:val="%1"/>
      <w:numFmt w:val="upperLetter"/>
      <w:start w:val="1"/>
    </w:lvl>
    <w:lvl w:ilvl="1">
      <w:lvlJc w:val="left"/>
      <w:lvlText w:val="(%2)"/>
      <w:numFmt w:val="decimal"/>
      <w:start w:val="1"/>
    </w:lvl>
  </w:abstractNum>
  <w:abstractNum w:abstractNumId="191">
    <w:nsid w:val="2C02FE8C"/>
    <w:multiLevelType w:val="hybridMultilevel"/>
    <w:lvl w:ilvl="0">
      <w:lvlJc w:val="left"/>
      <w:lvlText w:val="(%1)"/>
      <w:numFmt w:val="upperLetter"/>
      <w:start w:val="1"/>
    </w:lvl>
    <w:lvl w:ilvl="1">
      <w:lvlJc w:val="left"/>
      <w:lvlText w:val="(%2)"/>
      <w:numFmt w:val="decimal"/>
      <w:start w:val="2"/>
    </w:lvl>
  </w:abstractNum>
  <w:abstractNum w:abstractNumId="192">
    <w:nsid w:val="129517E"/>
    <w:multiLevelType w:val="hybridMultilevel"/>
    <w:lvl w:ilvl="0">
      <w:lvlJc w:val="left"/>
      <w:lvlText w:val="(%1)"/>
      <w:numFmt w:val="decimal"/>
      <w:start w:val="1"/>
    </w:lvl>
    <w:lvl w:ilvl="1">
      <w:lvlJc w:val="left"/>
      <w:lvlText w:val="(%2)"/>
      <w:numFmt w:val="lowerLetter"/>
      <w:start w:val="1"/>
    </w:lvl>
  </w:abstractNum>
  <w:abstractNum w:abstractNumId="193">
    <w:nsid w:val="763B8C4E"/>
    <w:multiLevelType w:val="hybridMultilevel"/>
    <w:lvl w:ilvl="0">
      <w:lvlJc w:val="left"/>
      <w:lvlText w:val="(%1)"/>
      <w:numFmt w:val="upperLetter"/>
      <w:start w:val="2"/>
    </w:lvl>
  </w:abstractNum>
  <w:abstractNum w:abstractNumId="194">
    <w:nsid w:val="4CFB8D32"/>
    <w:multiLevelType w:val="hybridMultilevel"/>
    <w:lvl w:ilvl="0">
      <w:lvlJc w:val="left"/>
      <w:lvlText w:val="(%1)"/>
      <w:numFmt w:val="decimal"/>
      <w:start w:val="1"/>
    </w:lvl>
  </w:abstractNum>
  <w:abstractNum w:abstractNumId="195">
    <w:nsid w:val="62A5D5BD"/>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96">
    <w:nsid w:val="718FABF9"/>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197">
    <w:nsid w:val="7775797C"/>
    <w:multiLevelType w:val="hybridMultilevel"/>
    <w:lvl w:ilvl="0">
      <w:lvlJc w:val="left"/>
      <w:lvlText w:val="(%1)"/>
      <w:numFmt w:val="decimal"/>
      <w:start w:val="8"/>
    </w:lvl>
  </w:abstractNum>
  <w:abstractNum w:abstractNumId="198">
    <w:nsid w:val="1626FB8C"/>
    <w:multiLevelType w:val="hybridMultilevel"/>
    <w:lvl w:ilvl="0">
      <w:lvlJc w:val="left"/>
      <w:lvlText w:val="%1"/>
      <w:numFmt w:val="decimal"/>
      <w:start w:val="1"/>
    </w:lvl>
    <w:lvl w:ilvl="1">
      <w:lvlJc w:val="left"/>
      <w:lvlText w:val="(%2)"/>
      <w:numFmt w:val="decimal"/>
      <w:start w:val="11"/>
    </w:lvl>
  </w:abstractNum>
  <w:abstractNum w:abstractNumId="199">
    <w:nsid w:val="3957756A"/>
    <w:multiLevelType w:val="hybridMultilevel"/>
    <w:lvl w:ilvl="0">
      <w:lvlJc w:val="left"/>
      <w:lvlText w:val="(%1)"/>
      <w:numFmt w:val="decimal"/>
      <w:start w:val="3"/>
    </w:lvl>
    <w:lvl w:ilvl="1">
      <w:lvlJc w:val="left"/>
      <w:lvlText w:val="(%2)"/>
      <w:numFmt w:val="decimal"/>
      <w:start w:val="12"/>
    </w:lvl>
  </w:abstractNum>
  <w:abstractNum w:abstractNumId="200">
    <w:nsid w:val="3E6DA1C7"/>
    <w:multiLevelType w:val="hybridMultilevel"/>
    <w:lvl w:ilvl="0">
      <w:lvlJc w:val="left"/>
      <w:lvlText w:val="(%1)"/>
      <w:numFmt w:val="lowerLetter"/>
      <w:start w:val="1"/>
    </w:lvl>
  </w:abstractNum>
  <w:abstractNum w:abstractNumId="201">
    <w:nsid w:val="65CA235B"/>
    <w:multiLevelType w:val="hybridMultilevel"/>
    <w:lvl w:ilvl="0">
      <w:lvlJc w:val="left"/>
      <w:lvlText w:val="%1"/>
      <w:numFmt w:val="lowerRoman"/>
      <w:start w:val="1"/>
    </w:lvl>
    <w:lvl w:ilvl="1">
      <w:lvlJc w:val="left"/>
      <w:lvlText w:val="(%2)"/>
      <w:numFmt w:val="decimal"/>
      <w:start w:val="1"/>
    </w:lvl>
  </w:abstractNum>
  <w:abstractNum w:abstractNumId="202">
    <w:nsid w:val="51CB0DA4"/>
    <w:multiLevelType w:val="hybridMultilevel"/>
    <w:lvl w:ilvl="0">
      <w:lvlJc w:val="left"/>
      <w:lvlText w:val="(%1)"/>
      <w:numFmt w:val="lowerRoman"/>
      <w:start w:val="10"/>
    </w:lvl>
    <w:lvl w:ilvl="1">
      <w:lvlJc w:val="left"/>
      <w:lvlText w:val="%2"/>
      <w:numFmt w:val="decimal"/>
      <w:start w:val="1"/>
    </w:lvl>
  </w:abstractNum>
  <w:abstractNum w:abstractNumId="203">
    <w:nsid w:val="7B9B743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04">
    <w:nsid w:val="13E21002"/>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05">
    <w:nsid w:val="257D63F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06">
    <w:nsid w:val="70EC11B2"/>
    <w:multiLevelType w:val="hybridMultilevel"/>
    <w:lvl w:ilvl="0">
      <w:lvlJc w:val="left"/>
      <w:lvlText w:val="(%1)"/>
      <w:numFmt w:val="decimal"/>
      <w:start w:val="9"/>
    </w:lvl>
  </w:abstractNum>
  <w:abstractNum w:abstractNumId="207">
    <w:nsid w:val="2EDA00ED"/>
    <w:multiLevelType w:val="hybridMultilevel"/>
    <w:lvl w:ilvl="0">
      <w:lvlJc w:val="left"/>
      <w:lvlText w:val="(%1)"/>
      <w:numFmt w:val="decimal"/>
      <w:start w:val="1"/>
    </w:lvl>
  </w:abstractNum>
  <w:abstractNum w:abstractNumId="208">
    <w:nsid w:val="73209072"/>
    <w:multiLevelType w:val="hybridMultilevel"/>
    <w:lvl w:ilvl="0">
      <w:lvlJc w:val="left"/>
      <w:lvlText w:val="(%1)"/>
      <w:numFmt w:val="decimal"/>
      <w:start w:val="1"/>
    </w:lvl>
    <w:lvl w:ilvl="1">
      <w:lvlJc w:val="left"/>
      <w:lvlText w:val="(%2)"/>
      <w:numFmt w:val="lowerLetter"/>
      <w:start w:val="1"/>
    </w:lvl>
  </w:abstractNum>
  <w:abstractNum w:abstractNumId="209">
    <w:nsid w:val="5FB29816"/>
    <w:multiLevelType w:val="hybridMultilevel"/>
    <w:lvl w:ilvl="0">
      <w:lvlJc w:val="left"/>
      <w:lvlText w:val="(%1)"/>
      <w:numFmt w:val="decimal"/>
      <w:start w:val="5"/>
    </w:lvl>
  </w:abstractNum>
  <w:abstractNum w:abstractNumId="210">
    <w:nsid w:val="3CE732EC"/>
    <w:multiLevelType w:val="hybridMultilevel"/>
    <w:lvl w:ilvl="0">
      <w:lvlJc w:val="left"/>
      <w:lvlText w:val="(%1)"/>
      <w:numFmt w:val="decimal"/>
      <w:start w:val="1"/>
    </w:lvl>
  </w:abstractNum>
  <w:abstractNum w:abstractNumId="211">
    <w:nsid w:val="22F13DF3"/>
    <w:multiLevelType w:val="hybridMultilevel"/>
    <w:lvl w:ilvl="0">
      <w:lvlJc w:val="left"/>
      <w:lvlText w:val="(%1)"/>
      <w:numFmt w:val="decimal"/>
      <w:start w:val="1"/>
    </w:lvl>
  </w:abstractNum>
  <w:abstractNum w:abstractNumId="212">
    <w:nsid w:val="792B8401"/>
    <w:multiLevelType w:val="hybridMultilevel"/>
    <w:lvl w:ilvl="0">
      <w:lvlJc w:val="left"/>
      <w:lvlText w:val="(%1)"/>
      <w:numFmt w:val="decimal"/>
      <w:start w:val="1"/>
    </w:lvl>
  </w:abstractNum>
  <w:abstractNum w:abstractNumId="213">
    <w:nsid w:val="FA85F4D"/>
    <w:multiLevelType w:val="hybridMultilevel"/>
    <w:lvl w:ilvl="0">
      <w:lvlJc w:val="left"/>
      <w:lvlText w:val="(%1)"/>
      <w:numFmt w:val="decimal"/>
      <w:start w:val="13"/>
    </w:lvl>
  </w:abstractNum>
  <w:abstractNum w:abstractNumId="214">
    <w:nsid w:val="6ECE91F0"/>
    <w:multiLevelType w:val="hybridMultilevel"/>
    <w:lvl w:ilvl="0">
      <w:lvlJc w:val="left"/>
      <w:lvlText w:val="(%1)"/>
      <w:numFmt w:val="decimal"/>
      <w:start w:val="1"/>
    </w:lvl>
    <w:lvl w:ilvl="1">
      <w:lvlJc w:val="left"/>
      <w:lvlText w:val="(%2)"/>
      <w:numFmt w:val="lowerLetter"/>
      <w:start w:val="1"/>
    </w:lvl>
  </w:abstractNum>
  <w:abstractNum w:abstractNumId="215">
    <w:nsid w:val="4FC4D600"/>
    <w:multiLevelType w:val="hybridMultilevel"/>
    <w:lvl w:ilvl="0">
      <w:lvlJc w:val="left"/>
      <w:lvlText w:val="(%1)"/>
      <w:numFmt w:val="decimal"/>
      <w:start w:val="1"/>
    </w:lvl>
  </w:abstractNum>
  <w:abstractNum w:abstractNumId="216">
    <w:nsid w:val="5BFD4210"/>
    <w:multiLevelType w:val="hybridMultilevel"/>
    <w:lvl w:ilvl="0">
      <w:lvlJc w:val="left"/>
      <w:lvlText w:val="(%1)"/>
      <w:numFmt w:val="decimal"/>
      <w:start w:val="1"/>
    </w:lvl>
    <w:lvl w:ilvl="1">
      <w:lvlJc w:val="left"/>
      <w:lvlText w:val="(%2)"/>
      <w:numFmt w:val="lowerLetter"/>
      <w:start w:val="1"/>
    </w:lvl>
  </w:abstractNum>
  <w:abstractNum w:abstractNumId="217">
    <w:nsid w:val="76574F8B"/>
    <w:multiLevelType w:val="hybridMultilevel"/>
    <w:lvl w:ilvl="0">
      <w:lvlJc w:val="left"/>
      <w:lvlText w:val="(%1)"/>
      <w:numFmt w:val="decimal"/>
      <w:start w:val="1"/>
    </w:lvl>
  </w:abstractNum>
  <w:abstractNum w:abstractNumId="218">
    <w:nsid w:val="178F7B67"/>
    <w:multiLevelType w:val="hybridMultilevel"/>
    <w:lvl w:ilvl="0">
      <w:lvlJc w:val="left"/>
      <w:lvlText w:val="(%1)"/>
      <w:numFmt w:val="decimal"/>
      <w:start w:val="2"/>
    </w:lvl>
  </w:abstractNum>
  <w:abstractNum w:abstractNumId="219">
    <w:nsid w:val="2421DFCF"/>
    <w:multiLevelType w:val="hybridMultilevel"/>
    <w:lvl w:ilvl="0">
      <w:lvlJc w:val="left"/>
      <w:lvlText w:val="(%1)"/>
      <w:numFmt w:val="decimal"/>
      <w:start w:val="1"/>
    </w:lvl>
    <w:lvl w:ilvl="1">
      <w:lvlJc w:val="left"/>
      <w:lvlText w:val="(%2)"/>
      <w:numFmt w:val="lowerLetter"/>
      <w:start w:val="1"/>
    </w:lvl>
  </w:abstractNum>
  <w:abstractNum w:abstractNumId="220">
    <w:nsid w:val="1565AC99"/>
    <w:multiLevelType w:val="hybridMultilevel"/>
    <w:lvl w:ilvl="0">
      <w:lvlJc w:val="left"/>
      <w:lvlText w:val="(%1)"/>
      <w:numFmt w:val="decimal"/>
      <w:start w:val="1"/>
    </w:lvl>
  </w:abstractNum>
  <w:abstractNum w:abstractNumId="221">
    <w:nsid w:val="19FB2650"/>
    <w:multiLevelType w:val="hybridMultilevel"/>
    <w:lvl w:ilvl="0">
      <w:lvlJc w:val="left"/>
      <w:lvlText w:val="(%1)"/>
      <w:numFmt w:val="decimal"/>
      <w:start w:val="1"/>
    </w:lvl>
  </w:abstractNum>
  <w:abstractNum w:abstractNumId="222">
    <w:nsid w:val="5024DE5B"/>
    <w:multiLevelType w:val="hybridMultilevel"/>
    <w:lvl w:ilvl="0">
      <w:lvlJc w:val="left"/>
      <w:lvlText w:val="(%1)"/>
      <w:numFmt w:val="lowerRoman"/>
      <w:start w:val="2"/>
    </w:lvl>
  </w:abstractNum>
  <w:abstractNum w:abstractNumId="223">
    <w:nsid w:val="168EFE17"/>
    <w:multiLevelType w:val="hybridMultilevel"/>
    <w:lvl w:ilvl="0">
      <w:lvlJc w:val="left"/>
      <w:lvlText w:val="(%1)"/>
      <w:numFmt w:val="decimal"/>
      <w:start w:val="1"/>
    </w:lvl>
  </w:abstractNum>
  <w:abstractNum w:abstractNumId="224">
    <w:nsid w:val="1036B29F"/>
    <w:multiLevelType w:val="hybridMultilevel"/>
    <w:lvl w:ilvl="0">
      <w:lvlJc w:val="left"/>
      <w:lvlText w:val="(%1)"/>
      <w:numFmt w:val="decimal"/>
      <w:start w:val="3"/>
    </w:lvl>
    <w:lvl w:ilvl="1">
      <w:lvlJc w:val="left"/>
      <w:lvlText w:val="(%2)"/>
      <w:numFmt w:val="lowerLetter"/>
      <w:start w:val="1"/>
    </w:lvl>
  </w:abstractNum>
  <w:abstractNum w:abstractNumId="225">
    <w:nsid w:val="1D206B8E"/>
    <w:multiLevelType w:val="hybridMultilevel"/>
    <w:lvl w:ilvl="0">
      <w:lvlJc w:val="left"/>
      <w:lvlText w:val="(%1)"/>
      <w:numFmt w:val="decimal"/>
      <w:start w:val="6"/>
    </w:lvl>
  </w:abstractNum>
  <w:abstractNum w:abstractNumId="226">
    <w:nsid w:val="7934D3D4"/>
    <w:multiLevelType w:val="hybridMultilevel"/>
    <w:lvl w:ilvl="0">
      <w:lvlJc w:val="left"/>
      <w:lvlText w:val="(%1)"/>
      <w:numFmt w:val="decimal"/>
      <w:start w:val="1"/>
    </w:lvl>
  </w:abstractNum>
  <w:abstractNum w:abstractNumId="227">
    <w:nsid w:val="1C65E98"/>
    <w:multiLevelType w:val="hybridMultilevel"/>
    <w:lvl w:ilvl="0">
      <w:lvlJc w:val="left"/>
      <w:lvlText w:val="(%1)"/>
      <w:numFmt w:val="decimal"/>
      <w:start w:val="1"/>
    </w:lvl>
    <w:lvl w:ilvl="1">
      <w:lvlJc w:val="left"/>
      <w:lvlText w:val="(%2)"/>
      <w:numFmt w:val="lowerLetter"/>
      <w:start w:val="1"/>
    </w:lvl>
  </w:abstractNum>
  <w:abstractNum w:abstractNumId="228">
    <w:nsid w:val="1495E50A"/>
    <w:multiLevelType w:val="hybridMultilevel"/>
    <w:lvl w:ilvl="0">
      <w:lvlJc w:val="left"/>
      <w:lvlText w:val="(%1)"/>
      <w:numFmt w:val="decimal"/>
      <w:start w:val="1"/>
    </w:lvl>
  </w:abstractNum>
  <w:abstractNum w:abstractNumId="229">
    <w:nsid w:val="F5BCF61"/>
    <w:multiLevelType w:val="hybridMultilevel"/>
    <w:lvl w:ilvl="0">
      <w:lvlJc w:val="left"/>
      <w:lvlText w:val="(%1)"/>
      <w:numFmt w:val="decimal"/>
      <w:start w:val="2"/>
    </w:lvl>
  </w:abstractNum>
  <w:abstractNum w:abstractNumId="230">
    <w:nsid w:val="3B1DD403"/>
    <w:multiLevelType w:val="hybridMultilevel"/>
    <w:lvl w:ilvl="0">
      <w:lvlJc w:val="left"/>
      <w:lvlText w:val="(%1)"/>
      <w:numFmt w:val="decimal"/>
      <w:start w:val="1"/>
    </w:lvl>
  </w:abstractNum>
  <w:abstractNum w:abstractNumId="231">
    <w:nsid w:val="530386D1"/>
    <w:multiLevelType w:val="hybridMultilevel"/>
    <w:lvl w:ilvl="0">
      <w:lvlJc w:val="left"/>
      <w:lvlText w:val="(%1)"/>
      <w:numFmt w:val="decimal"/>
      <w:start w:val="7"/>
    </w:lvl>
  </w:abstractNum>
  <w:abstractNum w:abstractNumId="232">
    <w:nsid w:val="7525F2BC"/>
    <w:multiLevelType w:val="hybridMultilevel"/>
    <w:lvl w:ilvl="0">
      <w:lvlJc w:val="left"/>
      <w:lvlText w:val="(%1)"/>
      <w:numFmt w:val="decimal"/>
      <w:start w:val="1"/>
    </w:lvl>
  </w:abstractNum>
  <w:abstractNum w:abstractNumId="233">
    <w:nsid w:val="CE8E1A7"/>
    <w:multiLevelType w:val="hybridMultilevel"/>
    <w:lvl w:ilvl="0">
      <w:lvlJc w:val="left"/>
      <w:lvlText w:val="(%1)"/>
      <w:numFmt w:val="decimal"/>
      <w:start w:val="8"/>
    </w:lvl>
  </w:abstractNum>
  <w:abstractNum w:abstractNumId="234">
    <w:nsid w:val="4E9EFB0D"/>
    <w:multiLevelType w:val="hybridMultilevel"/>
    <w:lvl w:ilvl="0">
      <w:lvlJc w:val="left"/>
      <w:lvlText w:val="(%1)"/>
      <w:numFmt w:val="decimal"/>
      <w:start w:val="1"/>
    </w:lvl>
  </w:abstractNum>
  <w:abstractNum w:abstractNumId="235">
    <w:nsid w:val="90802BE"/>
    <w:multiLevelType w:val="hybridMultilevel"/>
    <w:lvl w:ilvl="0">
      <w:lvlJc w:val="left"/>
      <w:lvlText w:val="(%1)"/>
      <w:numFmt w:val="decimal"/>
      <w:start w:val="1"/>
    </w:lvl>
  </w:abstractNum>
  <w:abstractNum w:abstractNumId="236">
    <w:nsid w:val="3266459B"/>
    <w:multiLevelType w:val="hybridMultilevel"/>
    <w:lvl w:ilvl="0">
      <w:lvlJc w:val="left"/>
      <w:lvlText w:val="(%1)"/>
      <w:numFmt w:val="lowerRoman"/>
      <w:start w:val="1"/>
    </w:lvl>
    <w:lvl w:ilvl="1">
      <w:lvlJc w:val="left"/>
      <w:lvlText w:val="(%2)"/>
      <w:numFmt w:val="lowerLetter"/>
      <w:start w:val="1"/>
    </w:lvl>
  </w:abstractNum>
  <w:abstractNum w:abstractNumId="237">
    <w:nsid w:val="3F8B0CBF"/>
    <w:multiLevelType w:val="hybridMultilevel"/>
    <w:lvl w:ilvl="0">
      <w:lvlJc w:val="left"/>
      <w:lvlText w:val="(%1)"/>
      <w:numFmt w:val="decimal"/>
      <w:start w:val="1"/>
    </w:lvl>
  </w:abstractNum>
  <w:abstractNum w:abstractNumId="238">
    <w:nsid w:val="37E203AB"/>
    <w:multiLevelType w:val="hybridMultilevel"/>
    <w:lvl w:ilvl="0">
      <w:lvlJc w:val="left"/>
      <w:lvlText w:val="(%1)"/>
      <w:numFmt w:val="decimal"/>
      <w:start w:val="2"/>
    </w:lvl>
  </w:abstractNum>
  <w:abstractNum w:abstractNumId="239">
    <w:nsid w:val="2586D60E"/>
    <w:multiLevelType w:val="hybridMultilevel"/>
    <w:lvl w:ilvl="0">
      <w:lvlJc w:val="left"/>
      <w:lvlText w:val="(%1)"/>
      <w:numFmt w:val="decimal"/>
      <w:start w:val="1"/>
    </w:lvl>
  </w:abstractNum>
  <w:abstractNum w:abstractNumId="240">
    <w:nsid w:val="1F3DA4D5"/>
    <w:multiLevelType w:val="hybridMultilevel"/>
    <w:lvl w:ilvl="0">
      <w:lvlJc w:val="left"/>
      <w:lvlText w:val="(%1)"/>
      <w:numFmt w:val="decimal"/>
      <w:start w:val="1"/>
    </w:lvl>
  </w:abstractNum>
  <w:abstractNum w:abstractNumId="241">
    <w:nsid w:val="74C93698"/>
    <w:multiLevelType w:val="hybridMultilevel"/>
    <w:lvl w:ilvl="0">
      <w:lvlJc w:val="left"/>
      <w:lvlText w:val="(%1)"/>
      <w:numFmt w:val="upperLetter"/>
      <w:start w:val="2"/>
    </w:lvl>
  </w:abstractNum>
  <w:abstractNum w:abstractNumId="242">
    <w:nsid w:val="48781401"/>
    <w:multiLevelType w:val="hybridMultilevel"/>
    <w:lvl w:ilvl="0">
      <w:lvlJc w:val="left"/>
      <w:lvlText w:val="(%1)"/>
      <w:numFmt w:val="decimal"/>
      <w:start w:val="1"/>
    </w:lvl>
  </w:abstractNum>
  <w:abstractNum w:abstractNumId="243">
    <w:nsid w:val="186928D6"/>
    <w:multiLevelType w:val="hybridMultilevel"/>
    <w:lvl w:ilvl="0">
      <w:lvlJc w:val="left"/>
      <w:lvlText w:val="(%1)"/>
      <w:numFmt w:val="lowerLetter"/>
      <w:start w:val="2"/>
    </w:lvl>
  </w:abstractNum>
  <w:abstractNum w:abstractNumId="244">
    <w:nsid w:val="47195E5"/>
    <w:multiLevelType w:val="hybridMultilevel"/>
    <w:lvl w:ilvl="0">
      <w:lvlJc w:val="left"/>
      <w:lvlText w:val="(%1)"/>
      <w:numFmt w:val="lowerLetter"/>
      <w:start w:val="4"/>
    </w:lvl>
  </w:abstractNum>
  <w:abstractNum w:abstractNumId="245">
    <w:nsid w:val="3746A5F2"/>
    <w:multiLevelType w:val="hybridMultilevel"/>
    <w:lvl w:ilvl="0">
      <w:lvlJc w:val="left"/>
      <w:lvlText w:val="(%1)"/>
      <w:numFmt w:val="decimal"/>
      <w:start w:val="1"/>
    </w:lvl>
  </w:abstractNum>
  <w:abstractNum w:abstractNumId="246">
    <w:nsid w:val="682DFED6"/>
    <w:multiLevelType w:val="hybridMultilevel"/>
    <w:lvl w:ilvl="0">
      <w:lvlJc w:val="left"/>
      <w:lvlText w:val="(%1)"/>
      <w:numFmt w:val="lowerLetter"/>
      <w:start w:val="1"/>
    </w:lvl>
  </w:abstractNum>
  <w:abstractNum w:abstractNumId="247">
    <w:nsid w:val="606ED7F6"/>
    <w:multiLevelType w:val="hybridMultilevel"/>
    <w:lvl w:ilvl="0">
      <w:lvlJc w:val="left"/>
      <w:lvlText w:val="(%1)"/>
      <w:numFmt w:val="decimal"/>
      <w:start w:val="1"/>
    </w:lvl>
  </w:abstractNum>
  <w:abstractNum w:abstractNumId="248">
    <w:nsid w:val="2D9DF57D"/>
    <w:multiLevelType w:val="hybridMultilevel"/>
    <w:lvl w:ilvl="0">
      <w:lvlJc w:val="left"/>
      <w:lvlText w:val="(%1)"/>
      <w:numFmt w:val="decimal"/>
      <w:start w:val="3"/>
    </w:lvl>
  </w:abstractNum>
  <w:abstractNum w:abstractNumId="249">
    <w:nsid w:val="7FBD7A3E"/>
    <w:multiLevelType w:val="hybridMultilevel"/>
    <w:lvl w:ilvl="0">
      <w:lvlJc w:val="left"/>
      <w:lvlText w:val="(%1)"/>
      <w:numFmt w:val="decimal"/>
      <w:start w:val="1"/>
    </w:lvl>
  </w:abstractNum>
  <w:abstractNum w:abstractNumId="250">
    <w:nsid w:val="490B7C5"/>
    <w:multiLevelType w:val="hybridMultilevel"/>
    <w:lvl w:ilvl="0">
      <w:lvlJc w:val="left"/>
      <w:lvlText w:val="(%1)"/>
      <w:numFmt w:val="decimal"/>
      <w:start w:val="1"/>
    </w:lvl>
  </w:abstractNum>
  <w:abstractNum w:abstractNumId="251">
    <w:nsid w:val="4303A216"/>
    <w:multiLevelType w:val="hybridMultilevel"/>
    <w:lvl w:ilvl="0">
      <w:lvlJc w:val="left"/>
      <w:lvlText w:val="(%1)"/>
      <w:numFmt w:val="decimal"/>
      <w:start w:val="1"/>
    </w:lvl>
  </w:abstractNum>
  <w:abstractNum w:abstractNumId="252">
    <w:nsid w:val="19B8A08E"/>
    <w:multiLevelType w:val="hybridMultilevel"/>
    <w:lvl w:ilvl="0">
      <w:lvlJc w:val="left"/>
      <w:lvlText w:val="(%1)"/>
      <w:numFmt w:val="decimal"/>
      <w:start w:val="1"/>
    </w:lvl>
  </w:abstractNum>
  <w:abstractNum w:abstractNumId="253">
    <w:nsid w:val="54B59621"/>
    <w:multiLevelType w:val="hybridMultilevel"/>
    <w:lvl w:ilvl="0">
      <w:lvlJc w:val="left"/>
      <w:lvlText w:val="(%1)"/>
      <w:numFmt w:val="decimal"/>
      <w:start w:val="1"/>
    </w:lvl>
  </w:abstractNum>
  <w:abstractNum w:abstractNumId="254">
    <w:nsid w:val="5992A02E"/>
    <w:multiLevelType w:val="hybridMultilevel"/>
    <w:lvl w:ilvl="0">
      <w:lvlJc w:val="left"/>
      <w:lvlText w:val="(%1)"/>
      <w:numFmt w:val="decimal"/>
      <w:start w:val="1"/>
    </w:lvl>
  </w:abstractNum>
  <w:abstractNum w:abstractNumId="255">
    <w:nsid w:val="29EF532D"/>
    <w:multiLevelType w:val="hybridMultilevel"/>
    <w:lvl w:ilvl="0">
      <w:lvlJc w:val="left"/>
      <w:lvlText w:val="(%1)"/>
      <w:numFmt w:val="decimal"/>
      <w:start w:val="1"/>
    </w:lvl>
  </w:abstractNum>
  <w:abstractNum w:abstractNumId="256">
    <w:nsid w:val="71D601AF"/>
    <w:multiLevelType w:val="hybridMultilevel"/>
    <w:lvl w:ilvl="0">
      <w:lvlJc w:val="left"/>
      <w:lvlText w:val="(%1)"/>
      <w:numFmt w:val="decimal"/>
      <w:start w:val="1"/>
    </w:lvl>
  </w:abstractNum>
  <w:abstractNum w:abstractNumId="257">
    <w:nsid w:val="52C77402"/>
    <w:multiLevelType w:val="hybridMultilevel"/>
    <w:lvl w:ilvl="0">
      <w:lvlJc w:val="left"/>
      <w:lvlText w:val="(%1)"/>
      <w:numFmt w:val="lowerRoman"/>
      <w:start w:val="1"/>
    </w:lvl>
  </w:abstractNum>
  <w:abstractNum w:abstractNumId="258">
    <w:nsid w:val="2BB5B1C6"/>
    <w:multiLevelType w:val="hybridMultilevel"/>
    <w:lvl w:ilvl="0">
      <w:lvlJc w:val="left"/>
      <w:lvlText w:val="(%1)"/>
      <w:numFmt w:val="decimal"/>
      <w:start w:val="1"/>
    </w:lvl>
  </w:abstractNum>
  <w:abstractNum w:abstractNumId="259">
    <w:nsid w:val="66BE6B9"/>
    <w:multiLevelType w:val="hybridMultilevel"/>
    <w:lvl w:ilvl="0">
      <w:lvlJc w:val="left"/>
      <w:lvlText w:val="(%1)"/>
      <w:numFmt w:val="decimal"/>
      <w:start w:val="1"/>
    </w:lvl>
  </w:abstractNum>
  <w:abstractNum w:abstractNumId="260">
    <w:nsid w:val="62234363"/>
    <w:multiLevelType w:val="hybridMultilevel"/>
    <w:lvl w:ilvl="0">
      <w:lvlJc w:val="left"/>
      <w:lvlText w:val="(%1)"/>
      <w:numFmt w:val="decimal"/>
      <w:start w:val="1"/>
    </w:lvl>
    <w:lvl w:ilvl="1">
      <w:lvlJc w:val="left"/>
      <w:lvlText w:val="(%2)"/>
      <w:numFmt w:val="lowerLetter"/>
      <w:start w:val="1"/>
    </w:lvl>
  </w:abstractNum>
  <w:abstractNum w:abstractNumId="261">
    <w:nsid w:val="66D385C9"/>
    <w:multiLevelType w:val="hybridMultilevel"/>
    <w:lvl w:ilvl="0">
      <w:lvlJc w:val="left"/>
      <w:lvlText w:val="(%1)"/>
      <w:numFmt w:val="decimal"/>
      <w:start w:val="6"/>
    </w:lvl>
  </w:abstractNum>
  <w:abstractNum w:abstractNumId="262">
    <w:nsid w:val="596F6D8A"/>
    <w:multiLevelType w:val="hybridMultilevel"/>
    <w:lvl w:ilvl="0">
      <w:lvlJc w:val="left"/>
      <w:lvlText w:val="(%1)"/>
      <w:numFmt w:val="decimal"/>
      <w:start w:val="1"/>
    </w:lvl>
  </w:abstractNum>
  <w:abstractNum w:abstractNumId="263">
    <w:nsid w:val="5749361F"/>
    <w:multiLevelType w:val="hybridMultilevel"/>
    <w:lvl w:ilvl="0">
      <w:lvlJc w:val="left"/>
      <w:lvlText w:val="(%1)"/>
      <w:numFmt w:val="decimal"/>
      <w:start w:val="14"/>
    </w:lvl>
  </w:abstractNum>
  <w:abstractNum w:abstractNumId="264">
    <w:nsid w:val="73BC6770"/>
    <w:multiLevelType w:val="hybridMultilevel"/>
    <w:lvl w:ilvl="0">
      <w:lvlJc w:val="left"/>
      <w:lvlText w:val="(%1)"/>
      <w:numFmt w:val="decimal"/>
      <w:start w:val="1"/>
    </w:lvl>
  </w:abstractNum>
  <w:abstractNum w:abstractNumId="265">
    <w:nsid w:val="280E6897"/>
    <w:multiLevelType w:val="hybridMultilevel"/>
    <w:lvl w:ilvl="0">
      <w:lvlJc w:val="left"/>
      <w:lvlText w:val="(%1)"/>
      <w:numFmt w:val="decimal"/>
      <w:start w:val="1"/>
    </w:lvl>
  </w:abstractNum>
  <w:abstractNum w:abstractNumId="266">
    <w:nsid w:val="605138DE"/>
    <w:multiLevelType w:val="hybridMultilevel"/>
    <w:lvl w:ilvl="0">
      <w:lvlJc w:val="left"/>
      <w:lvlText w:val="(%1)"/>
      <w:numFmt w:val="decimal"/>
      <w:start w:val="1"/>
    </w:lvl>
  </w:abstractNum>
  <w:abstractNum w:abstractNumId="267">
    <w:nsid w:val="2622AD0C"/>
    <w:multiLevelType w:val="hybridMultilevel"/>
    <w:lvl w:ilvl="0">
      <w:lvlJc w:val="left"/>
      <w:lvlText w:val="•"/>
      <w:numFmt w:val="bullet"/>
      <w:start w:val="1"/>
    </w:lvl>
  </w:abstractNum>
  <w:abstractNum w:abstractNumId="268">
    <w:nsid w:val="67997556"/>
    <w:multiLevelType w:val="hybridMultilevel"/>
    <w:lvl w:ilvl="0">
      <w:lvlJc w:val="left"/>
      <w:lvlText w:val="•"/>
      <w:numFmt w:val="bullet"/>
      <w:start w:val="1"/>
    </w:lvl>
  </w:abstractNum>
  <w:abstractNum w:abstractNumId="269">
    <w:nsid w:val="18333C89"/>
    <w:multiLevelType w:val="hybridMultilevel"/>
    <w:lvl w:ilvl="0">
      <w:lvlJc w:val="left"/>
      <w:lvlText w:val="(%1)"/>
      <w:numFmt w:val="decimal"/>
      <w:start w:val="1"/>
    </w:lvl>
  </w:abstractNum>
  <w:abstractNum w:abstractNumId="270">
    <w:nsid w:val="4BA9831A"/>
    <w:multiLevelType w:val="hybridMultilevel"/>
    <w:lvl w:ilvl="0">
      <w:lvlJc w:val="left"/>
      <w:lvlText w:val="(%1)"/>
      <w:numFmt w:val="decimal"/>
      <w:start w:val="1"/>
    </w:lvl>
  </w:abstractNum>
  <w:abstractNum w:abstractNumId="271">
    <w:nsid w:val="6D71A2B"/>
    <w:multiLevelType w:val="hybridMultilevel"/>
    <w:lvl w:ilvl="0">
      <w:lvlJc w:val="left"/>
      <w:lvlText w:val="(%1)"/>
      <w:numFmt w:val="decimal"/>
      <w:start w:val="1"/>
    </w:lvl>
  </w:abstractNum>
  <w:abstractNum w:abstractNumId="272">
    <w:nsid w:val="CFC7321"/>
    <w:multiLevelType w:val="hybridMultilevel"/>
    <w:lvl w:ilvl="0">
      <w:lvlJc w:val="left"/>
      <w:lvlText w:val="(%1)"/>
      <w:numFmt w:val="decimal"/>
      <w:start w:val="3"/>
    </w:lvl>
  </w:abstractNum>
  <w:abstractNum w:abstractNumId="273">
    <w:nsid w:val="1421971B"/>
    <w:multiLevelType w:val="hybridMultilevel"/>
    <w:lvl w:ilvl="0">
      <w:lvlJc w:val="left"/>
      <w:lvlText w:val="(%1)"/>
      <w:numFmt w:val="decimal"/>
      <w:start w:val="1"/>
    </w:lvl>
  </w:abstractNum>
  <w:abstractNum w:abstractNumId="274">
    <w:nsid w:val="1F404301"/>
    <w:multiLevelType w:val="hybridMultilevel"/>
    <w:lvl w:ilvl="0">
      <w:lvlJc w:val="left"/>
      <w:lvlText w:val="%1"/>
      <w:numFmt w:val="upperLetter"/>
      <w:start w:val="1"/>
    </w:lvl>
    <w:lvl w:ilvl="1">
      <w:lvlJc w:val="left"/>
      <w:lvlText w:val="(%2)"/>
      <w:numFmt w:val="decimal"/>
      <w:start w:val="1"/>
    </w:lvl>
  </w:abstractNum>
  <w:abstractNum w:abstractNumId="275">
    <w:nsid w:val="116E0907"/>
    <w:multiLevelType w:val="hybridMultilevel"/>
    <w:lvl w:ilvl="0">
      <w:lvlJc w:val="left"/>
      <w:lvlText w:val="(%1)"/>
      <w:numFmt w:val="upperLetter"/>
      <w:start w:val="1"/>
    </w:lvl>
    <w:lvl w:ilvl="1">
      <w:lvlJc w:val="left"/>
      <w:lvlText w:val="(%2)"/>
      <w:numFmt w:val="decimal"/>
      <w:start w:val="2"/>
    </w:lvl>
  </w:abstractNum>
  <w:abstractNum w:abstractNumId="276">
    <w:nsid w:val="4B683D0D"/>
    <w:multiLevelType w:val="hybridMultilevel"/>
    <w:lvl w:ilvl="0">
      <w:lvlJc w:val="left"/>
      <w:lvlText w:val="(%1)"/>
      <w:numFmt w:val="lowerLetter"/>
      <w:start w:val="3"/>
    </w:lvl>
    <w:lvl w:ilvl="1">
      <w:lvlJc w:val="left"/>
      <w:lvlText w:val="(%2)"/>
      <w:numFmt w:val="decimal"/>
      <w:start w:val="4"/>
    </w:lvl>
  </w:abstractNum>
  <w:abstractNum w:abstractNumId="277">
    <w:nsid w:val="76E41D8"/>
    <w:multiLevelType w:val="hybridMultilevel"/>
    <w:lvl w:ilvl="0">
      <w:lvlJc w:val="left"/>
      <w:lvlText w:val="(%1)"/>
      <w:numFmt w:val="decimal"/>
      <w:start w:val="1"/>
    </w:lvl>
    <w:lvl w:ilvl="1">
      <w:lvlJc w:val="left"/>
      <w:lvlText w:val="(%2)"/>
      <w:numFmt w:val="lowerLetter"/>
      <w:start w:val="1"/>
    </w:lvl>
  </w:abstractNum>
  <w:abstractNum w:abstractNumId="278">
    <w:nsid w:val="71DCE0FD"/>
    <w:multiLevelType w:val="hybridMultilevel"/>
    <w:lvl w:ilvl="0">
      <w:lvlJc w:val="left"/>
      <w:lvlText w:val="(%1)"/>
      <w:numFmt w:val="upperLetter"/>
      <w:start w:val="2"/>
    </w:lvl>
  </w:abstractNum>
  <w:abstractNum w:abstractNumId="279">
    <w:nsid w:val="7906328B"/>
    <w:multiLevelType w:val="hybridMultilevel"/>
    <w:lvl w:ilvl="0">
      <w:lvlJc w:val="left"/>
      <w:lvlText w:val="(%1)"/>
      <w:numFmt w:val="decimal"/>
      <w:start w:val="1"/>
    </w:lvl>
  </w:abstractNum>
  <w:abstractNum w:abstractNumId="280">
    <w:nsid w:val="72BBC16"/>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81">
    <w:nsid w:val="766D98C2"/>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282">
    <w:nsid w:val="3C09D4A1"/>
    <w:multiLevelType w:val="hybridMultilevel"/>
    <w:lvl w:ilvl="0">
      <w:lvlJc w:val="left"/>
      <w:lvlText w:val="(%1)"/>
      <w:numFmt w:val="decimal"/>
      <w:start w:val="8"/>
    </w:lvl>
  </w:abstractNum>
  <w:abstractNum w:abstractNumId="283">
    <w:nsid w:val="20E45CA4"/>
    <w:multiLevelType w:val="hybridMultilevel"/>
    <w:lvl w:ilvl="0">
      <w:lvlJc w:val="left"/>
      <w:lvlText w:val="%1"/>
      <w:numFmt w:val="decimal"/>
      <w:start w:val="1"/>
    </w:lvl>
    <w:lvl w:ilvl="1">
      <w:lvlJc w:val="left"/>
      <w:lvlText w:val="(%2)"/>
      <w:numFmt w:val="decimal"/>
      <w:start w:val="11"/>
    </w:lvl>
  </w:abstractNum>
  <w:abstractNum w:abstractNumId="284">
    <w:nsid w:val="4B232EE3"/>
    <w:multiLevelType w:val="hybridMultilevel"/>
    <w:lvl w:ilvl="0">
      <w:lvlJc w:val="left"/>
      <w:lvlText w:val="(%1)"/>
      <w:numFmt w:val="decimal"/>
      <w:start w:val="3"/>
    </w:lvl>
    <w:lvl w:ilvl="1">
      <w:lvlJc w:val="left"/>
      <w:lvlText w:val="(%2)"/>
      <w:numFmt w:val="decimal"/>
      <w:start w:val="12"/>
    </w:lvl>
  </w:abstractNum>
  <w:abstractNum w:abstractNumId="285">
    <w:nsid w:val="159C74CF"/>
    <w:multiLevelType w:val="hybridMultilevel"/>
    <w:lvl w:ilvl="0">
      <w:lvlJc w:val="left"/>
      <w:lvlText w:val="(%1)"/>
      <w:numFmt w:val="decimal"/>
      <w:start w:val="14"/>
    </w:lvl>
  </w:abstractNum>
  <w:abstractNum w:abstractNumId="286">
    <w:nsid w:val="4AD3AFD2"/>
    <w:multiLevelType w:val="hybridMultilevel"/>
    <w:lvl w:ilvl="0">
      <w:lvlJc w:val="left"/>
      <w:lvlText w:val="(%1)"/>
      <w:numFmt w:val="lowerLetter"/>
      <w:start w:val="1"/>
    </w:lvl>
  </w:abstractNum>
  <w:abstractNum w:abstractNumId="287">
    <w:nsid w:val="3CF93092"/>
    <w:multiLevelType w:val="hybridMultilevel"/>
    <w:lvl w:ilvl="0">
      <w:lvlJc w:val="left"/>
      <w:lvlText w:val="(%1)"/>
      <w:numFmt w:val="decimal"/>
      <w:start w:val="1"/>
    </w:lvl>
  </w:abstractNum>
  <w:abstractNum w:abstractNumId="288">
    <w:nsid w:val="6863E8D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89">
    <w:nsid w:val="76896198"/>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90">
    <w:nsid w:val="4365174B"/>
    <w:multiLevelType w:val="hybridMultilevel"/>
    <w:lvl w:ilvl="0">
      <w:lvlJc w:val="left"/>
      <w:lvlText w:val="%1"/>
      <w:numFmt w:val="lowerLetter"/>
      <w:start w:val="1"/>
    </w:lvl>
    <w:lvl w:ilvl="1">
      <w:lvlJc w:val="left"/>
      <w:lvlText w:val="(%2)"/>
      <w:numFmt w:val="decimal"/>
      <w:start w:val="8"/>
    </w:lvl>
  </w:abstractNum>
  <w:abstractNum w:abstractNumId="291">
    <w:nsid w:val="4A872C35"/>
    <w:multiLevelType w:val="hybridMultilevel"/>
    <w:lvl w:ilvl="0">
      <w:lvlJc w:val="left"/>
      <w:lvlText w:val="(%1)"/>
      <w:numFmt w:val="lowerLetter"/>
      <w:start w:val="1"/>
    </w:lvl>
    <w:lvl w:ilvl="1">
      <w:lvlJc w:val="left"/>
      <w:lvlText w:val="(%2)"/>
      <w:numFmt w:val="decimal"/>
      <w:start w:val="9"/>
    </w:lvl>
  </w:abstractNum>
  <w:abstractNum w:abstractNumId="292">
    <w:nsid w:val="5D5CE761"/>
    <w:multiLevelType w:val="hybridMultilevel"/>
    <w:lvl w:ilvl="0">
      <w:lvlJc w:val="left"/>
      <w:lvlText w:val="(%1)"/>
      <w:numFmt w:val="decimal"/>
      <w:start w:val="1"/>
    </w:lvl>
  </w:abstractNum>
  <w:abstractNum w:abstractNumId="293">
    <w:nsid w:val="1CD484D5"/>
    <w:multiLevelType w:val="hybridMultilevel"/>
    <w:lvl w:ilvl="0">
      <w:lvlJc w:val="left"/>
      <w:lvlText w:val="(%1)"/>
      <w:numFmt w:val="decimal"/>
      <w:start w:val="1"/>
    </w:lvl>
    <w:lvl w:ilvl="1">
      <w:lvlJc w:val="left"/>
      <w:lvlText w:val="(%2)"/>
      <w:numFmt w:val="lowerLetter"/>
      <w:start w:val="1"/>
    </w:lvl>
  </w:abstractNum>
  <w:abstractNum w:abstractNumId="294">
    <w:nsid w:val="21D06255"/>
    <w:multiLevelType w:val="hybridMultilevel"/>
    <w:lvl w:ilvl="0">
      <w:lvlJc w:val="left"/>
      <w:lvlText w:val="%1"/>
      <w:numFmt w:val="decimal"/>
      <w:start w:val="1"/>
    </w:lvl>
    <w:lvl w:ilvl="1">
      <w:lvlJc w:val="left"/>
      <w:lvlText w:val="(%2)"/>
      <w:numFmt w:val="lowerLetter"/>
      <w:start w:val="2"/>
    </w:lvl>
  </w:abstractNum>
  <w:abstractNum w:abstractNumId="295">
    <w:nsid w:val="51194ED1"/>
    <w:multiLevelType w:val="hybridMultilevel"/>
    <w:lvl w:ilvl="0">
      <w:lvlJc w:val="left"/>
      <w:lvlText w:val="(%1)"/>
      <w:numFmt w:val="decimal"/>
      <w:start w:val="5"/>
    </w:lvl>
    <w:lvl w:ilvl="1">
      <w:lvlJc w:val="left"/>
      <w:lvlText w:val="%2"/>
      <w:numFmt w:val="lowerLetter"/>
      <w:start w:val="1"/>
    </w:lvl>
  </w:abstractNum>
  <w:abstractNum w:abstractNumId="296">
    <w:nsid w:val="44E2ED6C"/>
    <w:multiLevelType w:val="hybridMultilevel"/>
    <w:lvl w:ilvl="0">
      <w:lvlJc w:val="left"/>
      <w:lvlText w:val="(%1)"/>
      <w:numFmt w:val="decimal"/>
      <w:start w:val="14"/>
    </w:lvl>
  </w:abstractNum>
  <w:abstractNum w:abstractNumId="297">
    <w:nsid w:val="2219B33"/>
    <w:multiLevelType w:val="hybridMultilevel"/>
    <w:lvl w:ilvl="0">
      <w:lvlJc w:val="left"/>
      <w:lvlText w:val="(%1)"/>
      <w:numFmt w:val="decimal"/>
      <w:start w:val="1"/>
    </w:lvl>
  </w:abstractNum>
  <w:abstractNum w:abstractNumId="298">
    <w:nsid w:val="773BFBDD"/>
    <w:multiLevelType w:val="hybridMultilevel"/>
    <w:lvl w:ilvl="0">
      <w:lvlJc w:val="left"/>
      <w:lvlText w:val="(%1)"/>
      <w:numFmt w:val="decimal"/>
      <w:start w:val="1"/>
    </w:lvl>
  </w:abstractNum>
  <w:abstractNum w:abstractNumId="299">
    <w:nsid w:val="2C7C62C2"/>
    <w:multiLevelType w:val="hybridMultilevel"/>
    <w:lvl w:ilvl="0">
      <w:lvlJc w:val="left"/>
      <w:lvlText w:val="(%1)"/>
      <w:numFmt w:val="decimal"/>
      <w:start w:val="1"/>
    </w:lvl>
  </w:abstractNum>
  <w:abstractNum w:abstractNumId="300">
    <w:nsid w:val="1A54D7BC"/>
    <w:multiLevelType w:val="hybridMultilevel"/>
    <w:lvl w:ilvl="0">
      <w:lvlJc w:val="left"/>
      <w:lvlText w:val="(%1)"/>
      <w:numFmt w:val="decimal"/>
      <w:start w:val="9"/>
    </w:lvl>
  </w:abstractNum>
  <w:abstractNum w:abstractNumId="301">
    <w:nsid w:val="42E57EF7"/>
    <w:multiLevelType w:val="hybridMultilevel"/>
    <w:lvl w:ilvl="0">
      <w:lvlJc w:val="left"/>
      <w:lvlText w:val="(%1)"/>
      <w:numFmt w:val="decimal"/>
      <w:start w:val="14"/>
    </w:lvl>
  </w:abstractNum>
  <w:abstractNum w:abstractNumId="302">
    <w:nsid w:val="33537CED"/>
    <w:multiLevelType w:val="hybridMultilevel"/>
    <w:lvl w:ilvl="0">
      <w:lvlJc w:val="left"/>
      <w:lvlText w:val="(%1)"/>
      <w:numFmt w:val="decimal"/>
      <w:start w:val="1"/>
    </w:lvl>
    <w:lvl w:ilvl="1">
      <w:lvlJc w:val="left"/>
      <w:lvlText w:val="(%2)"/>
      <w:numFmt w:val="lowerLetter"/>
      <w:start w:val="1"/>
    </w:lvl>
  </w:abstractNum>
  <w:abstractNum w:abstractNumId="303">
    <w:nsid w:val="27514ADE"/>
    <w:multiLevelType w:val="hybridMultilevel"/>
    <w:lvl w:ilvl="0">
      <w:lvlJc w:val="left"/>
      <w:lvlText w:val="(%1)"/>
      <w:numFmt w:val="lowerLetter"/>
      <w:start w:val="2"/>
    </w:lvl>
  </w:abstractNum>
  <w:abstractNum w:abstractNumId="304">
    <w:nsid w:val="57071613"/>
    <w:multiLevelType w:val="hybridMultilevel"/>
    <w:lvl w:ilvl="0">
      <w:lvlJc w:val="left"/>
      <w:lvlText w:val="(%1)"/>
      <w:numFmt w:val="decimal"/>
      <w:start w:val="1"/>
    </w:lvl>
  </w:abstractNum>
  <w:abstractNum w:abstractNumId="305">
    <w:nsid w:val="5293BFEF"/>
    <w:multiLevelType w:val="hybridMultilevel"/>
    <w:lvl w:ilvl="0">
      <w:lvlJc w:val="left"/>
      <w:lvlText w:val="(%1)"/>
      <w:numFmt w:val="decimal"/>
      <w:start w:val="1"/>
    </w:lvl>
  </w:abstractNum>
  <w:abstractNum w:abstractNumId="306">
    <w:nsid w:val="38BF53E5"/>
    <w:multiLevelType w:val="hybridMultilevel"/>
    <w:lvl w:ilvl="0">
      <w:lvlJc w:val="left"/>
      <w:lvlText w:val="(%1)"/>
      <w:numFmt w:val="decimal"/>
      <w:start w:val="4"/>
    </w:lvl>
    <w:lvl w:ilvl="1">
      <w:lvlJc w:val="left"/>
      <w:lvlText w:val="(%2)"/>
      <w:numFmt w:val="lowerLetter"/>
      <w:start w:val="1"/>
    </w:lvl>
  </w:abstractNum>
  <w:abstractNum w:abstractNumId="307">
    <w:nsid w:val="226F5320"/>
    <w:multiLevelType w:val="hybridMultilevel"/>
    <w:lvl w:ilvl="0">
      <w:lvlJc w:val="left"/>
      <w:lvlText w:val="(%1)"/>
      <w:numFmt w:val="decimal"/>
      <w:start w:val="1"/>
    </w:lvl>
  </w:abstractNum>
  <w:abstractNum w:abstractNumId="308">
    <w:nsid w:val="5A0201C7"/>
    <w:multiLevelType w:val="hybridMultilevel"/>
    <w:lvl w:ilvl="0">
      <w:lvlJc w:val="left"/>
      <w:lvlText w:val="(%1)"/>
      <w:numFmt w:val="decimal"/>
      <w:start w:val="1"/>
    </w:lvl>
    <w:lvl w:ilvl="1">
      <w:lvlJc w:val="left"/>
      <w:lvlText w:val="(%2)"/>
      <w:numFmt w:val="lowerLetter"/>
      <w:start w:val="1"/>
    </w:lvl>
  </w:abstractNum>
  <w:abstractNum w:abstractNumId="309">
    <w:nsid w:val="2A9C34E2"/>
    <w:multiLevelType w:val="hybridMultilevel"/>
    <w:lvl w:ilvl="0">
      <w:lvlJc w:val="left"/>
      <w:lvlText w:val="(%1)"/>
      <w:numFmt w:val="lowerLetter"/>
      <w:start w:val="2"/>
    </w:lvl>
  </w:abstractNum>
  <w:abstractNum w:abstractNumId="310">
    <w:nsid w:val="1B7585AB"/>
    <w:multiLevelType w:val="hybridMultilevel"/>
    <w:lvl w:ilvl="0">
      <w:lvlJc w:val="left"/>
      <w:lvlText w:val="(%1)"/>
      <w:numFmt w:val="decimal"/>
      <w:start w:val="1"/>
    </w:lvl>
  </w:abstractNum>
  <w:abstractNum w:abstractNumId="311">
    <w:nsid w:val="612DBDDD"/>
    <w:multiLevelType w:val="hybridMultilevel"/>
    <w:lvl w:ilvl="0">
      <w:lvlJc w:val="left"/>
      <w:lvlText w:val="(%1)"/>
      <w:numFmt w:val="decimal"/>
      <w:start w:val="1"/>
    </w:lvl>
  </w:abstractNum>
  <w:abstractNum w:abstractNumId="312">
    <w:nsid w:val="2109CDA4"/>
    <w:multiLevelType w:val="hybridMultilevel"/>
    <w:lvl w:ilvl="0">
      <w:lvlJc w:val="left"/>
      <w:lvlText w:val="(%1)"/>
      <w:numFmt w:val="decimal"/>
      <w:start w:val="1"/>
    </w:lvl>
  </w:abstractNum>
  <w:abstractNum w:abstractNumId="313">
    <w:nsid w:val="577F5A4D"/>
    <w:multiLevelType w:val="hybridMultilevel"/>
    <w:lvl w:ilvl="0">
      <w:lvlJc w:val="left"/>
      <w:lvlText w:val="(%1)"/>
      <w:numFmt w:val="decimal"/>
      <w:start w:val="3"/>
    </w:lvl>
    <w:lvl w:ilvl="1">
      <w:lvlJc w:val="left"/>
      <w:lvlText w:val="(%2)"/>
      <w:numFmt w:val="lowerLetter"/>
      <w:start w:val="1"/>
    </w:lvl>
  </w:abstractNum>
  <w:abstractNum w:abstractNumId="314">
    <w:nsid w:val="2121A81"/>
    <w:multiLevelType w:val="hybridMultilevel"/>
    <w:lvl w:ilvl="0">
      <w:lvlJc w:val="left"/>
      <w:lvlText w:val="(%1)"/>
      <w:numFmt w:val="decimal"/>
      <w:start w:val="6"/>
    </w:lvl>
  </w:abstractNum>
  <w:abstractNum w:abstractNumId="315">
    <w:nsid w:val="6C2CFC88"/>
    <w:multiLevelType w:val="hybridMultilevel"/>
    <w:lvl w:ilvl="0">
      <w:lvlJc w:val="left"/>
      <w:lvlText w:val="(%1)"/>
      <w:numFmt w:val="decimal"/>
      <w:start w:val="1"/>
    </w:lvl>
  </w:abstractNum>
  <w:abstractNum w:abstractNumId="316">
    <w:nsid w:val="6D1BCF1C"/>
    <w:multiLevelType w:val="hybridMultilevel"/>
    <w:lvl w:ilvl="0">
      <w:lvlJc w:val="left"/>
      <w:lvlText w:val="(%1)"/>
      <w:numFmt w:val="decimal"/>
      <w:start w:val="4"/>
    </w:lvl>
  </w:abstractNum>
  <w:abstractNum w:abstractNumId="317">
    <w:nsid w:val="4CE5CA53"/>
    <w:multiLevelType w:val="hybridMultilevel"/>
    <w:lvl w:ilvl="0">
      <w:lvlJc w:val="left"/>
      <w:lvlText w:val="(%1)"/>
      <w:numFmt w:val="decimal"/>
      <w:start w:val="1"/>
    </w:lvl>
    <w:lvl w:ilvl="1">
      <w:lvlJc w:val="left"/>
      <w:lvlText w:val="(%2)"/>
      <w:numFmt w:val="lowerLetter"/>
      <w:start w:val="1"/>
    </w:lvl>
  </w:abstractNum>
  <w:abstractNum w:abstractNumId="318">
    <w:nsid w:val="29262D1A"/>
    <w:multiLevelType w:val="hybridMultilevel"/>
    <w:lvl w:ilvl="0">
      <w:lvlJc w:val="left"/>
      <w:lvlText w:val="(%1)"/>
      <w:numFmt w:val="decimal"/>
      <w:start w:val="4"/>
    </w:lvl>
  </w:abstractNum>
  <w:abstractNum w:abstractNumId="319">
    <w:nsid w:val="557FB7EE"/>
    <w:multiLevelType w:val="hybridMultilevel"/>
    <w:lvl w:ilvl="0">
      <w:lvlJc w:val="left"/>
      <w:lvlText w:val="(%1)"/>
      <w:numFmt w:val="decimal"/>
      <w:start w:val="1"/>
    </w:lvl>
  </w:abstractNum>
  <w:abstractNum w:abstractNumId="320">
    <w:nsid w:val="436F2BEB"/>
    <w:multiLevelType w:val="hybridMultilevel"/>
    <w:lvl w:ilvl="0">
      <w:lvlJc w:val="left"/>
      <w:lvlText w:val="(%1)"/>
      <w:numFmt w:val="decimal"/>
      <w:start w:val="1"/>
    </w:lvl>
  </w:abstractNum>
  <w:abstractNum w:abstractNumId="321">
    <w:nsid w:val="6C8B4466"/>
    <w:multiLevelType w:val="hybridMultilevel"/>
    <w:lvl w:ilvl="0">
      <w:lvlJc w:val="left"/>
      <w:lvlText w:val="(%1)"/>
      <w:numFmt w:val="decimal"/>
      <w:start w:val="2"/>
    </w:lvl>
  </w:abstractNum>
  <w:abstractNum w:abstractNumId="322">
    <w:nsid w:val="2006E424"/>
    <w:multiLevelType w:val="hybridMultilevel"/>
    <w:lvl w:ilvl="0">
      <w:lvlJc w:val="left"/>
      <w:lvlText w:val="(%1)"/>
      <w:numFmt w:val="decimal"/>
      <w:start w:val="1"/>
    </w:lvl>
  </w:abstractNum>
  <w:abstractNum w:abstractNumId="323">
    <w:nsid w:val="20CC134C"/>
    <w:multiLevelType w:val="hybridMultilevel"/>
    <w:lvl w:ilvl="0">
      <w:lvlJc w:val="left"/>
      <w:lvlText w:val="(%1)"/>
      <w:numFmt w:val="decimal"/>
      <w:start w:val="1"/>
    </w:lvl>
  </w:abstractNum>
  <w:abstractNum w:abstractNumId="324">
    <w:nsid w:val="95FC93B"/>
    <w:multiLevelType w:val="hybridMultilevel"/>
    <w:lvl w:ilvl="0">
      <w:lvlJc w:val="left"/>
      <w:lvlText w:val="(%1)"/>
      <w:numFmt w:val="decimal"/>
      <w:start w:val="4"/>
    </w:lvl>
  </w:abstractNum>
  <w:abstractNum w:abstractNumId="325">
    <w:nsid w:val="41D74679"/>
    <w:multiLevelType w:val="hybridMultilevel"/>
    <w:lvl w:ilvl="0">
      <w:lvlJc w:val="left"/>
      <w:lvlText w:val="(%1)"/>
      <w:numFmt w:val="decimal"/>
      <w:start w:val="1"/>
    </w:lvl>
  </w:abstractNum>
  <w:abstractNum w:abstractNumId="326">
    <w:nsid w:val="71E5621E"/>
    <w:multiLevelType w:val="hybridMultilevel"/>
    <w:lvl w:ilvl="0">
      <w:lvlJc w:val="left"/>
      <w:lvlText w:val="(%1)"/>
      <w:numFmt w:val="lowerLetter"/>
      <w:start w:val="1"/>
    </w:lvl>
  </w:abstractNum>
  <w:abstractNum w:abstractNumId="327">
    <w:nsid w:val="4E42B6A8"/>
    <w:multiLevelType w:val="hybridMultilevel"/>
    <w:lvl w:ilvl="0">
      <w:lvlJc w:val="left"/>
      <w:lvlText w:val="(%1)"/>
      <w:numFmt w:val="decimal"/>
      <w:start w:val="1"/>
    </w:lvl>
  </w:abstractNum>
  <w:abstractNum w:abstractNumId="328">
    <w:nsid w:val="43F8E1AC"/>
    <w:multiLevelType w:val="hybridMultilevel"/>
    <w:lvl w:ilvl="0">
      <w:lvlJc w:val="left"/>
      <w:lvlText w:val="(%1)"/>
      <w:numFmt w:val="decimal"/>
      <w:start w:val="1"/>
    </w:lvl>
  </w:abstractNum>
  <w:abstractNum w:abstractNumId="329">
    <w:nsid w:val="69215DFB"/>
    <w:multiLevelType w:val="hybridMultilevel"/>
    <w:lvl w:ilvl="0">
      <w:lvlJc w:val="left"/>
      <w:lvlText w:val="(%1)"/>
      <w:numFmt w:val="decimal"/>
      <w:start w:val="5"/>
    </w:lvl>
  </w:abstractNum>
  <w:abstractNum w:abstractNumId="330">
    <w:nsid w:val="7ABF196A"/>
    <w:multiLevelType w:val="hybridMultilevel"/>
    <w:lvl w:ilvl="0">
      <w:lvlJc w:val="left"/>
      <w:lvlText w:val="(%1)"/>
      <w:numFmt w:val="decimal"/>
      <w:start w:val="1"/>
    </w:lvl>
  </w:abstractNum>
  <w:abstractNum w:abstractNumId="331">
    <w:nsid w:val="5E4DB968"/>
    <w:multiLevelType w:val="hybridMultilevel"/>
    <w:lvl w:ilvl="0">
      <w:lvlJc w:val="left"/>
      <w:lvlText w:val="(%1)"/>
      <w:numFmt w:val="decimal"/>
      <w:start w:val="4"/>
    </w:lvl>
  </w:abstractNum>
  <w:abstractNum w:abstractNumId="332">
    <w:nsid w:val="2C06DCF3"/>
    <w:multiLevelType w:val="hybridMultilevel"/>
    <w:lvl w:ilvl="0">
      <w:lvlJc w:val="left"/>
      <w:lvlText w:val="(%1)"/>
      <w:numFmt w:val="upperLetter"/>
      <w:start w:val="2"/>
    </w:lvl>
  </w:abstractNum>
  <w:abstractNum w:abstractNumId="333">
    <w:nsid w:val="2E129658"/>
    <w:multiLevelType w:val="hybridMultilevel"/>
    <w:lvl w:ilvl="0">
      <w:lvlJc w:val="left"/>
      <w:lvlText w:val="(%1)"/>
      <w:numFmt w:val="decimal"/>
      <w:start w:val="1"/>
    </w:lvl>
  </w:abstractNum>
  <w:abstractNum w:abstractNumId="334">
    <w:nsid w:val="59F0446"/>
    <w:multiLevelType w:val="hybridMultilevel"/>
    <w:lvl w:ilvl="0">
      <w:lvlJc w:val="left"/>
      <w:lvlText w:val="(%1)"/>
      <w:numFmt w:val="lowerLetter"/>
      <w:start w:val="2"/>
    </w:lvl>
  </w:abstractNum>
  <w:abstractNum w:abstractNumId="335">
    <w:nsid w:val="30DF306"/>
    <w:multiLevelType w:val="hybridMultilevel"/>
    <w:lvl w:ilvl="0">
      <w:lvlJc w:val="left"/>
      <w:lvlText w:val="(%1)"/>
      <w:numFmt w:val="lowerLetter"/>
      <w:start w:val="4"/>
    </w:lvl>
  </w:abstractNum>
  <w:abstractNum w:abstractNumId="336">
    <w:nsid w:val="A65647"/>
    <w:multiLevelType w:val="hybridMultilevel"/>
    <w:lvl w:ilvl="0">
      <w:lvlJc w:val="left"/>
      <w:lvlText w:val="(%1)"/>
      <w:numFmt w:val="decimal"/>
      <w:start w:val="1"/>
    </w:lvl>
  </w:abstractNum>
  <w:abstractNum w:abstractNumId="337">
    <w:nsid w:val="3E5E582B"/>
    <w:multiLevelType w:val="hybridMultilevel"/>
    <w:lvl w:ilvl="0">
      <w:lvlJc w:val="left"/>
      <w:lvlText w:val="(%1)"/>
      <w:numFmt w:val="lowerLetter"/>
      <w:start w:val="1"/>
    </w:lvl>
  </w:abstractNum>
  <w:abstractNum w:abstractNumId="338">
    <w:nsid w:val="257D4626"/>
    <w:multiLevelType w:val="hybridMultilevel"/>
    <w:lvl w:ilvl="0">
      <w:lvlJc w:val="left"/>
      <w:lvlText w:val="(%1)"/>
      <w:numFmt w:val="lowerLetter"/>
      <w:start w:val="4"/>
    </w:lvl>
  </w:abstractNum>
  <w:abstractNum w:abstractNumId="339">
    <w:nsid w:val="5AA8580E"/>
    <w:multiLevelType w:val="hybridMultilevel"/>
    <w:lvl w:ilvl="0">
      <w:lvlJc w:val="left"/>
      <w:lvlText w:val="(%1)"/>
      <w:numFmt w:val="decimal"/>
      <w:start w:val="1"/>
    </w:lvl>
  </w:abstractNum>
  <w:abstractNum w:abstractNumId="340">
    <w:nsid w:val="68FA8D0D"/>
    <w:multiLevelType w:val="hybridMultilevel"/>
    <w:lvl w:ilvl="0">
      <w:lvlJc w:val="left"/>
      <w:lvlText w:val="(%1)"/>
      <w:numFmt w:val="decimal"/>
      <w:start w:val="7"/>
    </w:lvl>
  </w:abstractNum>
  <w:abstractNum w:abstractNumId="341">
    <w:nsid w:val="40F2CBD2"/>
    <w:multiLevelType w:val="hybridMultilevel"/>
    <w:lvl w:ilvl="0">
      <w:lvlJc w:val="left"/>
      <w:lvlText w:val="(%1)"/>
      <w:numFmt w:val="decimal"/>
      <w:start w:val="1"/>
    </w:lvl>
  </w:abstractNum>
  <w:abstractNum w:abstractNumId="342">
    <w:nsid w:val="3BD615EB"/>
    <w:multiLevelType w:val="hybridMultilevel"/>
    <w:lvl w:ilvl="0">
      <w:lvlJc w:val="left"/>
      <w:lvlText w:val="(%1)"/>
      <w:numFmt w:val="decimal"/>
      <w:start w:val="1"/>
    </w:lvl>
  </w:abstractNum>
  <w:abstractNum w:abstractNumId="343">
    <w:nsid w:val="A045AB2"/>
    <w:multiLevelType w:val="hybridMultilevel"/>
    <w:lvl w:ilvl="0">
      <w:lvlJc w:val="left"/>
      <w:lvlText w:val="(%1)"/>
      <w:numFmt w:val="decimal"/>
      <w:start w:val="1"/>
    </w:lvl>
  </w:abstractNum>
  <w:abstractNum w:abstractNumId="344">
    <w:nsid w:val="1872261F"/>
    <w:multiLevelType w:val="hybridMultilevel"/>
    <w:lvl w:ilvl="0">
      <w:lvlJc w:val="left"/>
      <w:lvlText w:val="(%1)"/>
      <w:numFmt w:val="decimal"/>
      <w:start w:val="1"/>
    </w:lvl>
  </w:abstractNum>
  <w:abstractNum w:abstractNumId="345">
    <w:nsid w:val="3DE8306C"/>
    <w:multiLevelType w:val="hybridMultilevel"/>
    <w:lvl w:ilvl="0">
      <w:lvlJc w:val="left"/>
      <w:lvlText w:val="(%1)"/>
      <w:numFmt w:val="decimal"/>
      <w:start w:val="2"/>
    </w:lvl>
  </w:abstractNum>
  <w:abstractNum w:abstractNumId="346">
    <w:nsid w:val="7631573A"/>
    <w:multiLevelType w:val="hybridMultilevel"/>
    <w:lvl w:ilvl="0">
      <w:lvlJc w:val="left"/>
      <w:lvlText w:val="(%1)"/>
      <w:numFmt w:val="decimal"/>
      <w:start w:val="1"/>
    </w:lvl>
  </w:abstractNum>
  <w:abstractNum w:abstractNumId="347">
    <w:nsid w:val="58DF53B"/>
    <w:multiLevelType w:val="hybridMultilevel"/>
    <w:lvl w:ilvl="0">
      <w:lvlJc w:val="left"/>
      <w:lvlText w:val="(%1)"/>
      <w:numFmt w:val="decimal"/>
      <w:start w:val="1"/>
    </w:lvl>
  </w:abstractNum>
  <w:abstractNum w:abstractNumId="348">
    <w:nsid w:val="ACDFAC0"/>
    <w:multiLevelType w:val="hybridMultilevel"/>
    <w:lvl w:ilvl="0">
      <w:lvlJc w:val="left"/>
      <w:lvlText w:val="(%1)"/>
      <w:numFmt w:val="decimal"/>
      <w:start w:val="1"/>
    </w:lvl>
  </w:abstractNum>
  <w:abstractNum w:abstractNumId="349">
    <w:nsid w:val="1F578454"/>
    <w:multiLevelType w:val="hybridMultilevel"/>
    <w:lvl w:ilvl="0">
      <w:lvlJc w:val="left"/>
      <w:lvlText w:val="(%1)"/>
      <w:numFmt w:val="lowerLetter"/>
      <w:start w:val="25"/>
    </w:lvl>
  </w:abstractNum>
  <w:abstractNum w:abstractNumId="350">
    <w:nsid w:val="5B0DAD2A"/>
    <w:multiLevelType w:val="hybridMultilevel"/>
    <w:lvl w:ilvl="0">
      <w:lvlJc w:val="left"/>
      <w:lvlText w:val="(%1)"/>
      <w:numFmt w:val="decimal"/>
      <w:start w:val="1"/>
    </w:lvl>
  </w:abstractNum>
  <w:abstractNum w:abstractNumId="351">
    <w:nsid w:val="4E3D26AB"/>
    <w:multiLevelType w:val="hybridMultilevel"/>
    <w:lvl w:ilvl="0">
      <w:lvlJc w:val="left"/>
      <w:lvlText w:val="(%1)"/>
      <w:numFmt w:val="lowerRoman"/>
      <w:start w:val="3"/>
    </w:lvl>
  </w:abstractNum>
  <w:abstractNum w:abstractNumId="352">
    <w:nsid w:val="BE2C8BA"/>
    <w:multiLevelType w:val="hybridMultilevel"/>
    <w:lvl w:ilvl="0">
      <w:lvlJc w:val="left"/>
      <w:lvlText w:val="(%1)"/>
      <w:numFmt w:val="decimal"/>
      <w:start w:val="1"/>
    </w:lvl>
  </w:abstractNum>
  <w:abstractNum w:abstractNumId="353">
    <w:nsid w:val="7B14914E"/>
    <w:multiLevelType w:val="hybridMultilevel"/>
    <w:lvl w:ilvl="0">
      <w:lvlJc w:val="left"/>
      <w:lvlText w:val="(%1)"/>
      <w:numFmt w:val="decimal"/>
      <w:start w:val="1"/>
    </w:lvl>
  </w:abstractNum>
  <w:abstractNum w:abstractNumId="354">
    <w:nsid w:val="6F0939F8"/>
    <w:multiLevelType w:val="hybridMultilevel"/>
    <w:lvl w:ilvl="0">
      <w:lvlJc w:val="left"/>
      <w:lvlText w:val="(%1)"/>
      <w:numFmt w:val="decimal"/>
      <w:start w:val="1"/>
    </w:lvl>
    <w:lvl w:ilvl="1">
      <w:lvlJc w:val="left"/>
      <w:lvlText w:val="(%2)"/>
      <w:numFmt w:val="lowerLetter"/>
      <w:start w:val="1"/>
    </w:lvl>
  </w:abstractNum>
  <w:abstractNum w:abstractNumId="355">
    <w:nsid w:val="154291F6"/>
    <w:multiLevelType w:val="hybridMultilevel"/>
    <w:lvl w:ilvl="0">
      <w:lvlJc w:val="left"/>
      <w:lvlText w:val="(%1)"/>
      <w:numFmt w:val="decimal"/>
      <w:start w:val="7"/>
    </w:lvl>
  </w:abstractNum>
  <w:abstractNum w:abstractNumId="356">
    <w:nsid w:val="3CEBD7C7"/>
    <w:multiLevelType w:val="hybridMultilevel"/>
    <w:lvl w:ilvl="0">
      <w:lvlJc w:val="left"/>
      <w:lvlText w:val="(%1)"/>
      <w:numFmt w:val="decimal"/>
      <w:start w:val="1"/>
    </w:lvl>
  </w:abstractNum>
  <w:abstractNum w:abstractNumId="357">
    <w:nsid w:val="60EE9C16"/>
    <w:multiLevelType w:val="hybridMultilevel"/>
    <w:lvl w:ilvl="0">
      <w:lvlJc w:val="left"/>
      <w:lvlText w:val="(%1)"/>
      <w:numFmt w:val="decimal"/>
      <w:start w:val="2"/>
    </w:lvl>
  </w:abstractNum>
  <w:abstractNum w:abstractNumId="358">
    <w:nsid w:val="6385489E"/>
    <w:multiLevelType w:val="hybridMultilevel"/>
    <w:lvl w:ilvl="0">
      <w:lvlJc w:val="left"/>
      <w:lvlText w:val="(%1)"/>
      <w:numFmt w:val="decimal"/>
      <w:start w:val="16"/>
    </w:lvl>
  </w:abstractNum>
  <w:abstractNum w:abstractNumId="359">
    <w:nsid w:val="E4B973"/>
    <w:multiLevelType w:val="hybridMultilevel"/>
    <w:lvl w:ilvl="0">
      <w:lvlJc w:val="left"/>
      <w:lvlText w:val="(%1)"/>
      <w:numFmt w:val="decimal"/>
      <w:start w:val="1"/>
    </w:lvl>
  </w:abstractNum>
  <w:abstractNum w:abstractNumId="360">
    <w:nsid w:val="4A0FFA11"/>
    <w:multiLevelType w:val="hybridMultilevel"/>
    <w:lvl w:ilvl="0">
      <w:lvlJc w:val="left"/>
      <w:lvlText w:val="(%1)"/>
      <w:numFmt w:val="decimal"/>
      <w:start w:val="2"/>
    </w:lvl>
  </w:abstractNum>
  <w:abstractNum w:abstractNumId="361">
    <w:nsid w:val="5E446208"/>
    <w:multiLevelType w:val="hybridMultilevel"/>
    <w:lvl w:ilvl="0">
      <w:lvlJc w:val="left"/>
      <w:lvlText w:val="(%1)"/>
      <w:numFmt w:val="decimal"/>
      <w:start w:val="1"/>
    </w:lvl>
  </w:abstractNum>
  <w:abstractNum w:abstractNumId="362">
    <w:nsid w:val="5F3272DB"/>
    <w:multiLevelType w:val="hybridMultilevel"/>
    <w:lvl w:ilvl="0">
      <w:lvlJc w:val="left"/>
      <w:lvlText w:val="(%1)"/>
      <w:numFmt w:val="decimal"/>
      <w:start w:val="1"/>
    </w:lvl>
  </w:abstractNum>
  <w:abstractNum w:abstractNumId="363">
    <w:nsid w:val="7616D704"/>
    <w:multiLevelType w:val="hybridMultilevel"/>
    <w:lvl w:ilvl="0">
      <w:lvlJc w:val="left"/>
      <w:lvlText w:val="(%1)"/>
      <w:numFmt w:val="decimal"/>
      <w:start w:val="1"/>
    </w:lvl>
  </w:abstractNum>
  <w:abstractNum w:abstractNumId="364">
    <w:nsid w:val="C56F860"/>
    <w:multiLevelType w:val="hybridMultilevel"/>
    <w:lvl w:ilvl="0">
      <w:lvlJc w:val="left"/>
      <w:lvlText w:val="(%1)"/>
      <w:numFmt w:val="decimal"/>
      <w:start w:val="1"/>
    </w:lvl>
  </w:abstractNum>
  <w:abstractNum w:abstractNumId="365">
    <w:nsid w:val="64D17722"/>
    <w:multiLevelType w:val="hybridMultilevel"/>
    <w:lvl w:ilvl="0">
      <w:lvlJc w:val="left"/>
      <w:lvlText w:val="(%1)"/>
      <w:numFmt w:val="decimal"/>
      <w:start w:val="1"/>
    </w:lvl>
  </w:abstractNum>
  <w:abstractNum w:abstractNumId="366">
    <w:nsid w:val="7924CA0A"/>
    <w:multiLevelType w:val="hybridMultilevel"/>
    <w:lvl w:ilvl="0">
      <w:lvlJc w:val="left"/>
      <w:lvlText w:val="(%1)"/>
      <w:numFmt w:val="lowerRoman"/>
      <w:start w:val="1"/>
    </w:lvl>
  </w:abstractNum>
  <w:abstractNum w:abstractNumId="367">
    <w:nsid w:val="CFD4EA7"/>
    <w:multiLevelType w:val="hybridMultilevel"/>
    <w:lvl w:ilvl="0">
      <w:lvlJc w:val="left"/>
      <w:lvlText w:val="(%1)"/>
      <w:numFmt w:val="decimal"/>
      <w:start w:val="1"/>
    </w:lvl>
  </w:abstractNum>
  <w:abstractNum w:abstractNumId="368">
    <w:nsid w:val="232FCF4D"/>
    <w:multiLevelType w:val="hybridMultilevel"/>
    <w:lvl w:ilvl="0">
      <w:lvlJc w:val="left"/>
      <w:lvlText w:val="•"/>
      <w:numFmt w:val="bullet"/>
      <w:start w:val="1"/>
    </w:lvl>
  </w:abstractNum>
  <w:abstractNum w:abstractNumId="369">
    <w:nsid w:val="1EA21031"/>
    <w:multiLevelType w:val="hybridMultilevel"/>
    <w:lvl w:ilvl="0">
      <w:lvlJc w:val="left"/>
      <w:lvlText w:val="(%1)"/>
      <w:numFmt w:val="decimal"/>
      <w:start w:val="3"/>
    </w:lvl>
  </w:abstractNum>
  <w:abstractNum w:abstractNumId="370">
    <w:nsid w:val="67A5A6B5"/>
    <w:multiLevelType w:val="hybridMultilevel"/>
    <w:lvl w:ilvl="0">
      <w:lvlJc w:val="left"/>
      <w:lvlText w:val="•"/>
      <w:numFmt w:val="bullet"/>
      <w:start w:val="1"/>
    </w:lvl>
  </w:abstractNum>
  <w:abstractNum w:abstractNumId="371">
    <w:nsid w:val="C2A5C5B"/>
    <w:multiLevelType w:val="hybridMultilevel"/>
    <w:lvl w:ilvl="0">
      <w:lvlJc w:val="left"/>
      <w:lvlText w:val="•"/>
      <w:numFmt w:val="bullet"/>
      <w:start w:val="1"/>
    </w:lvl>
  </w:abstractNum>
  <w:abstractNum w:abstractNumId="372">
    <w:nsid w:val="5F94DC03"/>
    <w:multiLevelType w:val="hybridMultilevel"/>
    <w:lvl w:ilvl="0">
      <w:lvlJc w:val="left"/>
      <w:lvlText w:val="•"/>
      <w:numFmt w:val="bullet"/>
      <w:start w:val="1"/>
    </w:lvl>
  </w:abstractNum>
  <w:abstractNum w:abstractNumId="373">
    <w:nsid w:val="237BBCA0"/>
    <w:multiLevelType w:val="hybridMultilevel"/>
    <w:lvl w:ilvl="0">
      <w:lvlJc w:val="left"/>
      <w:lvlText w:val="•"/>
      <w:numFmt w:val="bullet"/>
      <w:start w:val="1"/>
    </w:lvl>
  </w:abstractNum>
  <w:abstractNum w:abstractNumId="374">
    <w:nsid w:val="162EB70D"/>
    <w:multiLevelType w:val="hybridMultilevel"/>
    <w:lvl w:ilvl="0">
      <w:lvlJc w:val="left"/>
      <w:lvlText w:val="•"/>
      <w:numFmt w:val="bullet"/>
      <w:start w:val="1"/>
    </w:lvl>
  </w:abstractNum>
  <w:abstractNum w:abstractNumId="375">
    <w:nsid w:val="78070222"/>
    <w:multiLevelType w:val="hybridMultilevel"/>
    <w:lvl w:ilvl="0">
      <w:lvlJc w:val="left"/>
      <w:lvlText w:val="•"/>
      <w:numFmt w:val="bullet"/>
      <w:start w:val="1"/>
    </w:lvl>
  </w:abstractNum>
  <w:abstractNum w:abstractNumId="376">
    <w:nsid w:val="6163ED0D"/>
    <w:multiLevelType w:val="hybridMultilevel"/>
    <w:lvl w:ilvl="0">
      <w:lvlJc w:val="left"/>
      <w:lvlText w:val="•"/>
      <w:numFmt w:val="bullet"/>
      <w:start w:val="1"/>
    </w:lvl>
  </w:abstractNum>
  <w:abstractNum w:abstractNumId="377">
    <w:nsid w:val="C600E47"/>
    <w:multiLevelType w:val="hybridMultilevel"/>
    <w:lvl w:ilvl="0">
      <w:lvlJc w:val="left"/>
      <w:lvlText w:val="•"/>
      <w:numFmt w:val="bullet"/>
      <w:start w:val="1"/>
    </w:lvl>
  </w:abstractNum>
  <w:abstractNum w:abstractNumId="378">
    <w:nsid w:val="7D94F75D"/>
    <w:multiLevelType w:val="hybridMultilevel"/>
    <w:lvl w:ilvl="0">
      <w:lvlJc w:val="left"/>
      <w:lvlText w:val="%1)"/>
      <w:numFmt w:val="decimal"/>
      <w:start w:val="2"/>
    </w:lvl>
  </w:abstractNum>
  <w:abstractNum w:abstractNumId="379">
    <w:nsid w:val="6C31E7CD"/>
    <w:multiLevelType w:val="hybridMultilevel"/>
    <w:lvl w:ilvl="0">
      <w:lvlJc w:val="left"/>
      <w:lvlText w:val="(%1)"/>
      <w:numFmt w:val="decimal"/>
      <w:start w:val="1"/>
    </w:lvl>
  </w:abstractNum>
  <w:abstractNum w:abstractNumId="380">
    <w:nsid w:val="2BB7929B"/>
    <w:multiLevelType w:val="hybridMultilevel"/>
    <w:lvl w:ilvl="0">
      <w:lvlJc w:val="left"/>
      <w:lvlText w:val="(%1)"/>
      <w:numFmt w:val="lowerLetter"/>
      <w:start w:val="1"/>
    </w:lvl>
  </w:abstractNum>
  <w:abstractNum w:abstractNumId="381">
    <w:nsid w:val="58A2A487"/>
    <w:multiLevelType w:val="hybridMultilevel"/>
    <w:lvl w:ilvl="0">
      <w:lvlJc w:val="left"/>
      <w:lvlText w:val="(%1)"/>
      <w:numFmt w:val="lowerLetter"/>
      <w:start w:val="3"/>
    </w:lvl>
  </w:abstractNum>
  <w:abstractNum w:abstractNumId="382">
    <w:nsid w:val="3A6F0E78"/>
    <w:multiLevelType w:val="hybridMultilevel"/>
    <w:lvl w:ilvl="0">
      <w:lvlJc w:val="left"/>
      <w:lvlText w:val="%1)"/>
      <w:numFmt w:val="lowerLetter"/>
      <w:start w:val="1"/>
    </w:lvl>
  </w:abstractNum>
  <w:abstractNum w:abstractNumId="383">
    <w:nsid w:val="379A5B56"/>
    <w:multiLevelType w:val="hybridMultilevel"/>
    <w:lvl w:ilvl="0">
      <w:lvlJc w:val="left"/>
      <w:lvlText w:val="(%1)"/>
      <w:numFmt w:val="decimal"/>
      <w:start w:val="2"/>
    </w:lvl>
  </w:abstractNum>
  <w:abstractNum w:abstractNumId="384">
    <w:nsid w:val="53B735D5"/>
    <w:multiLevelType w:val="hybridMultilevel"/>
    <w:lvl w:ilvl="0">
      <w:lvlJc w:val="left"/>
      <w:lvlText w:val="(%1)"/>
      <w:numFmt w:val="lowerLetter"/>
      <w:start w:val="1"/>
    </w:lvl>
  </w:abstractNum>
  <w:abstractNum w:abstractNumId="385">
    <w:nsid w:val="297848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6">
    <w:nsid w:val="4CDCED4C"/>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87">
    <w:nsid w:val="10A30D9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88">
    <w:nsid w:val="A66E486"/>
    <w:multiLevelType w:val="hybridMultilevel"/>
    <w:lvl w:ilvl="0">
      <w:lvlJc w:val="left"/>
      <w:lvlText w:val="%1."/>
      <w:numFmt w:val="decimal"/>
      <w:start w:val="2"/>
    </w:lvl>
  </w:abstractNum>
  <w:abstractNum w:abstractNumId="389">
    <w:nsid w:val="306235EA"/>
    <w:multiLevelType w:val="hybridMultilevel"/>
    <w:lvl w:ilvl="0">
      <w:lvlJc w:val="left"/>
      <w:lvlText w:val="(%1)"/>
      <w:numFmt w:val="lowerRoman"/>
      <w:start w:val="2"/>
    </w:lvl>
  </w:abstractNum>
  <w:abstractNum w:abstractNumId="390">
    <w:nsid w:val="1187C70F"/>
    <w:multiLevelType w:val="hybridMultilevel"/>
    <w:lvl w:ilvl="0">
      <w:lvlJc w:val="left"/>
      <w:lvlText w:val="%1."/>
      <w:numFmt w:val="decimal"/>
      <w:start w:val="1"/>
    </w:lvl>
  </w:abstractNum>
  <w:abstractNum w:abstractNumId="391">
    <w:nsid w:val="5476DE98"/>
    <w:multiLevelType w:val="hybridMultilevel"/>
    <w:lvl w:ilvl="0">
      <w:lvlJc w:val="left"/>
      <w:lvlText w:val="%1."/>
      <w:numFmt w:val="decimal"/>
      <w:start w:val="1"/>
    </w:lvl>
  </w:abstractNum>
  <w:abstractNum w:abstractNumId="392">
    <w:nsid w:val="EA697F2"/>
    <w:multiLevelType w:val="hybridMultilevel"/>
    <w:lvl w:ilvl="0">
      <w:lvlJc w:val="left"/>
      <w:lvlText w:val="(%1)"/>
      <w:numFmt w:val="upperLetter"/>
      <w:start w:val="1"/>
    </w:lvl>
  </w:abstractNum>
  <w:abstractNum w:abstractNumId="393">
    <w:nsid w:val="70BA39EB"/>
    <w:multiLevelType w:val="hybridMultilevel"/>
    <w:lvl w:ilvl="0">
      <w:lvlJc w:val="left"/>
      <w:lvlText w:val="(%1)"/>
      <w:numFmt w:val="upperLetter"/>
      <w:start w:val="5"/>
    </w:lvl>
    <w:lvl w:ilvl="1">
      <w:lvlJc w:val="left"/>
      <w:lvlText w:val="(%2)"/>
      <w:numFmt w:val="decimal"/>
      <w:start w:val="1"/>
    </w:lvl>
  </w:abstractNum>
  <w:abstractNum w:abstractNumId="394">
    <w:nsid w:val="4A8DB59C"/>
    <w:multiLevelType w:val="hybridMultilevel"/>
    <w:lvl w:ilvl="0">
      <w:lvlJc w:val="left"/>
      <w:lvlText w:val="(%1)"/>
      <w:numFmt w:val="lowerLetter"/>
      <w:start w:val="1"/>
    </w:lvl>
    <w:lvl w:ilvl="1">
      <w:lvlJc w:val="left"/>
      <w:lvlText w:val="%2"/>
      <w:numFmt w:val="decimal"/>
      <w:start w:val="1"/>
    </w:lvl>
  </w:abstractNum>
  <w:abstractNum w:abstractNumId="395">
    <w:nsid w:val="1AFD9053"/>
    <w:multiLevelType w:val="hybridMultilevel"/>
    <w:lvl w:ilvl="0">
      <w:lvlJc w:val="left"/>
      <w:lvlText w:val="(%1)"/>
      <w:numFmt w:val="lowerLetter"/>
      <w:start w:val="9"/>
    </w:lvl>
    <w:lvl w:ilvl="1">
      <w:lvlJc w:val="left"/>
      <w:lvlText w:val="(%2)"/>
      <w:numFmt w:val="decimal"/>
      <w:start w:val="3"/>
    </w:lvl>
  </w:abstractNum>
  <w:abstractNum w:abstractNumId="396">
    <w:nsid w:val="558BB10D"/>
    <w:multiLevelType w:val="hybridMultilevel"/>
    <w:lvl w:ilvl="0">
      <w:lvlJc w:val="left"/>
      <w:lvlText w:val="%1"/>
      <w:numFmt w:val="lowerRoman"/>
      <w:start w:val="1"/>
    </w:lvl>
    <w:lvl w:ilvl="1">
      <w:lvlJc w:val="left"/>
      <w:lvlText w:val="(%2)"/>
      <w:numFmt w:val="upperLetter"/>
      <w:start w:val="6"/>
    </w:lvl>
  </w:abstractNum>
  <w:abstractNum w:abstractNumId="397">
    <w:nsid w:val="43B27FA7"/>
    <w:multiLevelType w:val="hybridMultilevel"/>
    <w:lvl w:ilvl="0">
      <w:lvlJc w:val="left"/>
      <w:lvlText w:val="(%1)"/>
      <w:numFmt w:val="lowerRoman"/>
      <w:start w:val="1"/>
    </w:lvl>
    <w:lvl w:ilvl="1">
      <w:lvlJc w:val="left"/>
      <w:lvlText w:val="%2"/>
      <w:numFmt w:val="upperLetter"/>
      <w:start w:val="1"/>
    </w:lvl>
  </w:abstractNum>
  <w:abstractNum w:abstractNumId="398">
    <w:nsid w:val="27FADEFA"/>
    <w:multiLevelType w:val="hybridMultilevel"/>
    <w:lvl w:ilvl="0">
      <w:lvlJc w:val="left"/>
      <w:lvlText w:val="(%1)"/>
      <w:numFmt w:val="upperLetter"/>
      <w:start w:val="8"/>
    </w:lvl>
  </w:abstractNum>
  <w:abstractNum w:abstractNumId="399">
    <w:nsid w:val="78BB805A"/>
    <w:multiLevelType w:val="hybridMultilevel"/>
    <w:lvl w:ilvl="0">
      <w:lvlJc w:val="left"/>
      <w:lvlText w:val="(%1)"/>
      <w:numFmt w:val="lowerRoman"/>
      <w:start w:val="1"/>
    </w:lvl>
  </w:abstractNum>
  <w:abstractNum w:abstractNumId="400">
    <w:nsid w:val="62548FD8"/>
    <w:multiLevelType w:val="hybridMultilevel"/>
    <w:lvl w:ilvl="0">
      <w:lvlJc w:val="left"/>
      <w:lvlText w:val="(%1)"/>
      <w:numFmt w:val="lowerLetter"/>
      <w:start w:val="1"/>
    </w:lvl>
  </w:abstractNum>
  <w:abstractNum w:abstractNumId="401">
    <w:nsid w:val="FA085B0"/>
    <w:multiLevelType w:val="hybridMultilevel"/>
    <w:lvl w:ilvl="0">
      <w:lvlJc w:val="left"/>
      <w:lvlText w:val="(%1)"/>
      <w:numFmt w:val="lowerLetter"/>
      <w:start w:val="2"/>
    </w:lvl>
  </w:abstractNum>
  <w:abstractNum w:abstractNumId="402">
    <w:nsid w:val="4E5DCB5"/>
    <w:multiLevelType w:val="hybridMultilevel"/>
    <w:lvl w:ilvl="0">
      <w:lvlJc w:val="left"/>
      <w:lvlText w:val="(%1)"/>
      <w:numFmt w:val="lowerLetter"/>
      <w:start w:val="9"/>
    </w:lvl>
  </w:abstractNum>
  <w:abstractNum w:abstractNumId="403">
    <w:nsid w:val="41E96BDB"/>
    <w:multiLevelType w:val="hybridMultilevel"/>
    <w:lvl w:ilvl="0">
      <w:lvlJc w:val="left"/>
      <w:lvlText w:val="%1."/>
      <w:numFmt w:val="decimal"/>
      <w:start w:val="1"/>
    </w:lvl>
  </w:abstractNum>
  <w:abstractNum w:abstractNumId="404">
    <w:nsid w:val="331C4250"/>
    <w:multiLevelType w:val="hybridMultilevel"/>
    <w:lvl w:ilvl="0">
      <w:lvlJc w:val="left"/>
      <w:lvlText w:val="%1."/>
      <w:numFmt w:val="decimal"/>
      <w:start w:val="1"/>
    </w:lvl>
  </w:abstractNum>
  <w:abstractNum w:abstractNumId="405">
    <w:nsid w:val="1B1493C2"/>
    <w:multiLevelType w:val="hybridMultilevel"/>
    <w:lvl w:ilvl="0">
      <w:lvlJc w:val="left"/>
      <w:lvlText w:val="(%1)"/>
      <w:numFmt w:val="upperLetter"/>
      <w:start w:val="1"/>
    </w:lvl>
    <w:lvl w:ilvl="1">
      <w:lvlJc w:val="left"/>
      <w:lvlText w:val="(%2)"/>
      <w:numFmt w:val="decimal"/>
      <w:start w:val="1"/>
    </w:lvl>
  </w:abstractNum>
  <w:abstractNum w:abstractNumId="406">
    <w:nsid w:val="39F06DFD"/>
    <w:multiLevelType w:val="hybridMultilevel"/>
    <w:lvl w:ilvl="0">
      <w:lvlJc w:val="left"/>
      <w:lvlText w:val="(%1)"/>
      <w:numFmt w:val="lowerLetter"/>
      <w:start w:val="8"/>
    </w:lvl>
  </w:abstractNum>
  <w:abstractNum w:abstractNumId="407">
    <w:nsid w:val="14802F5D"/>
    <w:multiLevelType w:val="hybridMultilevel"/>
    <w:lvl w:ilvl="0">
      <w:lvlJc w:val="left"/>
      <w:lvlText w:val="(%1)"/>
      <w:numFmt w:val="lowerLetter"/>
      <w:start w:val="11"/>
    </w:lvl>
  </w:abstractNum>
  <w:abstractNum w:abstractNumId="408">
    <w:nsid w:val="2774A20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9"/>
    </w:lvl>
  </w:abstractNum>
  <w:abstractNum w:abstractNumId="409">
    <w:nsid w:val="3785655A"/>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410">
    <w:nsid w:val="B2172A"/>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411">
    <w:nsid w:val="532C34A5"/>
    <w:multiLevelType w:val="hybridMultilevel"/>
    <w:lvl w:ilvl="0">
      <w:lvlJc w:val="left"/>
      <w:lvlText w:val="(%1)"/>
      <w:numFmt w:val="lowerRoman"/>
      <w:start w:val="2"/>
    </w:lvl>
  </w:abstractNum>
  <w:abstractNum w:abstractNumId="412">
    <w:nsid w:val="102809E2"/>
    <w:multiLevelType w:val="hybridMultilevel"/>
    <w:lvl w:ilvl="0">
      <w:lvlJc w:val="left"/>
      <w:lvlText w:val="☐"/>
      <w:numFmt w:val="bullet"/>
      <w:start w:val="1"/>
    </w:lvl>
  </w:abstractNum>
  <w:abstractNum w:abstractNumId="413">
    <w:nsid w:val="3B2125A3"/>
    <w:multiLevelType w:val="hybridMultilevel"/>
    <w:lvl w:ilvl="0">
      <w:lvlJc w:val="left"/>
      <w:lvlText w:val="1"/>
      <w:numFmt w:val="bullet"/>
      <w:start w:val="1"/>
    </w:lvl>
  </w:abstractNum>
  <w:abstractNum w:abstractNumId="414">
    <w:nsid w:val="AC68FFB"/>
    <w:multiLevelType w:val="hybridMultilevel"/>
    <w:lvl w:ilvl="0">
      <w:lvlJc w:val="left"/>
      <w:lvlText w:val="*"/>
      <w:numFmt w:val="bullet"/>
      <w:start w:val="1"/>
    </w:lvl>
  </w:abstractNum>
  <w:abstractNum w:abstractNumId="415">
    <w:nsid w:val="63DF3FB7"/>
    <w:multiLevelType w:val="hybridMultilevel"/>
    <w:lvl w:ilvl="0">
      <w:lvlJc w:val="left"/>
      <w:lvlText w:val="**"/>
      <w:numFmt w:val="bullet"/>
      <w:start w:val="1"/>
    </w:lvl>
  </w:abstractNum>
  <w:abstractNum w:abstractNumId="416">
    <w:nsid w:val="64996E13"/>
    <w:multiLevelType w:val="hybridMultilevel"/>
    <w:lvl w:ilvl="0">
      <w:lvlJc w:val="left"/>
      <w:lvlText w:val="%1)"/>
      <w:numFmt w:val="lowerLetter"/>
      <w:start w:val="1"/>
    </w:lvl>
  </w:abstractNum>
  <w:abstractNum w:abstractNumId="417">
    <w:nsid w:val="57A37D47"/>
    <w:multiLevelType w:val="hybridMultilevel"/>
    <w:lvl w:ilvl="0">
      <w:lvlJc w:val="left"/>
      <w:lvlText w:val="%1)"/>
      <w:numFmt w:val="lowerLetter"/>
      <w:start w:val="2"/>
    </w:lvl>
  </w:abstractNum>
  <w:abstractNum w:abstractNumId="418">
    <w:nsid w:val="74824D54"/>
    <w:multiLevelType w:val="hybridMultilevel"/>
    <w:lvl w:ilvl="0">
      <w:lvlJc w:val="left"/>
      <w:lvlText w:val="*"/>
      <w:numFmt w:val="bullet"/>
      <w:start w:val="1"/>
    </w:lvl>
    <w:lvl w:ilvl="1">
      <w:lvlJc w:val="left"/>
      <w:lvlText w:val="%2."/>
      <w:numFmt w:val="decimal"/>
      <w:start w:val="1"/>
    </w:lvl>
  </w:abstractNum>
  <w:abstractNum w:abstractNumId="419">
    <w:nsid w:val="6F00529A"/>
    <w:multiLevelType w:val="hybridMultilevel"/>
    <w:lvl w:ilvl="0">
      <w:lvlJc w:val="left"/>
      <w:lvlText w:val="**"/>
      <w:numFmt w:val="bullet"/>
      <w:start w:val="1"/>
    </w:lvl>
    <w:lvl w:ilvl="1">
      <w:lvlJc w:val="left"/>
      <w:lvlText w:val="%2"/>
      <w:numFmt w:val="decimal"/>
      <w:start w:val="1"/>
    </w:lvl>
  </w:abstractNum>
  <w:abstractNum w:abstractNumId="420">
    <w:nsid w:val="805B331"/>
    <w:multiLevelType w:val="hybridMultilevel"/>
    <w:lvl w:ilvl="0">
      <w:lvlJc w:val="left"/>
      <w:lvlText w:val="☐"/>
      <w:numFmt w:val="bullet"/>
      <w:start w:val="1"/>
    </w:lvl>
  </w:abstractNum>
  <w:abstractNum w:abstractNumId="421">
    <w:nsid w:val="60A1463"/>
    <w:multiLevelType w:val="hybridMultilevel"/>
    <w:lvl w:ilvl="0">
      <w:lvlJc w:val="left"/>
      <w:lvlText w:val="1"/>
      <w:numFmt w:val="bullet"/>
      <w:start w:val="1"/>
    </w:lvl>
  </w:abstractNum>
  <w:abstractNum w:abstractNumId="422">
    <w:nsid w:val="43773132"/>
    <w:multiLevelType w:val="hybridMultilevel"/>
    <w:lvl w:ilvl="0">
      <w:lvlJc w:val="left"/>
      <w:lvlText w:val="*"/>
      <w:numFmt w:val="bullet"/>
      <w:start w:val="1"/>
    </w:lvl>
  </w:abstractNum>
  <w:abstractNum w:abstractNumId="423">
    <w:nsid w:val="16AC4B23"/>
    <w:multiLevelType w:val="hybridMultilevel"/>
    <w:lvl w:ilvl="0">
      <w:lvlJc w:val="left"/>
      <w:lvlText w:val="**"/>
      <w:numFmt w:val="bullet"/>
      <w:start w:val="1"/>
    </w:lvl>
  </w:abstractNum>
  <w:abstractNum w:abstractNumId="424">
    <w:nsid w:val="76C44E4E"/>
    <w:multiLevelType w:val="hybridMultilevel"/>
    <w:lvl w:ilvl="0">
      <w:lvlJc w:val="left"/>
      <w:lvlText w:val="%1)"/>
      <w:numFmt w:val="lowerLetter"/>
      <w:start w:val="1"/>
    </w:lvl>
  </w:abstractNum>
  <w:abstractNum w:abstractNumId="425">
    <w:nsid w:val="E04E6CE"/>
    <w:multiLevelType w:val="hybridMultilevel"/>
    <w:lvl w:ilvl="0">
      <w:lvlJc w:val="left"/>
      <w:lvlText w:val="%1)"/>
      <w:numFmt w:val="lowerLetter"/>
      <w:start w:val="2"/>
    </w:lvl>
  </w:abstractNum>
  <w:abstractNum w:abstractNumId="426">
    <w:nsid w:val="31A9DB76"/>
    <w:multiLevelType w:val="hybridMultilevel"/>
    <w:lvl w:ilvl="0">
      <w:lvlJc w:val="left"/>
      <w:lvlText w:val="*"/>
      <w:numFmt w:val="bullet"/>
      <w:start w:val="1"/>
    </w:lvl>
    <w:lvl w:ilvl="1">
      <w:lvlJc w:val="left"/>
      <w:lvlText w:val="%2."/>
      <w:numFmt w:val="decimal"/>
      <w:start w:val="1"/>
    </w:lvl>
  </w:abstractNum>
  <w:abstractNum w:abstractNumId="427">
    <w:nsid w:val="4C4FFF5B"/>
    <w:multiLevelType w:val="hybridMultilevel"/>
    <w:lvl w:ilvl="0">
      <w:lvlJc w:val="left"/>
      <w:lvlText w:val="**"/>
      <w:numFmt w:val="bullet"/>
      <w:start w:val="1"/>
    </w:lvl>
    <w:lvl w:ilvl="1">
      <w:lvlJc w:val="left"/>
      <w:lvlText w:val="%2"/>
      <w:numFmt w:val="decimal"/>
      <w:start w:val="1"/>
    </w:lvl>
  </w:abstractNum>
  <w:abstractNum w:abstractNumId="428">
    <w:nsid w:val="51B76675"/>
    <w:multiLevelType w:val="hybridMultilevel"/>
    <w:lvl w:ilvl="0">
      <w:lvlJc w:val="left"/>
      <w:lvlText w:val="☐"/>
      <w:numFmt w:val="bullet"/>
      <w:start w:val="1"/>
    </w:lvl>
  </w:abstractNum>
  <w:abstractNum w:abstractNumId="429">
    <w:nsid w:val="59A4BA71"/>
    <w:multiLevelType w:val="hybridMultilevel"/>
    <w:lvl w:ilvl="0">
      <w:lvlJc w:val="left"/>
      <w:lvlText w:val="1"/>
      <w:numFmt w:val="bullet"/>
      <w:start w:val="1"/>
    </w:lvl>
  </w:abstractNum>
  <w:abstractNum w:abstractNumId="430">
    <w:nsid w:val="450B7FB6"/>
    <w:multiLevelType w:val="hybridMultilevel"/>
    <w:lvl w:ilvl="0">
      <w:lvlJc w:val="left"/>
      <w:lvlText w:val="*"/>
      <w:numFmt w:val="bullet"/>
      <w:start w:val="1"/>
    </w:lvl>
  </w:abstractNum>
  <w:abstractNum w:abstractNumId="431">
    <w:nsid w:val="340BF64D"/>
    <w:multiLevelType w:val="hybridMultilevel"/>
    <w:lvl w:ilvl="0">
      <w:lvlJc w:val="left"/>
      <w:lvlText w:val="**"/>
      <w:numFmt w:val="bullet"/>
      <w:start w:val="1"/>
    </w:lvl>
  </w:abstractNum>
  <w:abstractNum w:abstractNumId="432">
    <w:nsid w:val="69454021"/>
    <w:multiLevelType w:val="hybridMultilevel"/>
    <w:lvl w:ilvl="0">
      <w:lvlJc w:val="left"/>
      <w:lvlText w:val="%1)"/>
      <w:numFmt w:val="lowerLetter"/>
      <w:start w:val="1"/>
    </w:lvl>
  </w:abstractNum>
  <w:abstractNum w:abstractNumId="433">
    <w:nsid w:val="49F15C6B"/>
    <w:multiLevelType w:val="hybridMultilevel"/>
    <w:lvl w:ilvl="0">
      <w:lvlJc w:val="left"/>
      <w:lvlText w:val="%1)"/>
      <w:numFmt w:val="lowerLetter"/>
      <w:start w:val="2"/>
    </w:lvl>
  </w:abstractNum>
  <w:abstractNum w:abstractNumId="434">
    <w:nsid w:val="75F56228"/>
    <w:multiLevelType w:val="hybridMultilevel"/>
    <w:lvl w:ilvl="0">
      <w:lvlJc w:val="left"/>
      <w:lvlText w:val="*"/>
      <w:numFmt w:val="bullet"/>
      <w:start w:val="1"/>
    </w:lvl>
    <w:lvl w:ilvl="1">
      <w:lvlJc w:val="left"/>
      <w:lvlText w:val="%2."/>
      <w:numFmt w:val="decimal"/>
      <w:start w:val="1"/>
    </w:lvl>
  </w:abstractNum>
  <w:abstractNum w:abstractNumId="435">
    <w:nsid w:val="1C61827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2019-12-20T22:23:21Z</dcterms:created>
  <dcterms:modified xsi:type="dcterms:W3CDTF">2019-12-20T22:23:21Z</dcterms:modified>
</cp:coreProperties>
</file>