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Spectrum Brands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Callodine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1,738,825.00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1,738,825.00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1,738,825.00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 Morrow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1,738,825.00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1,738,825.00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1,738,825.00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Spectrum Brands Holdings,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DEMING WAY, MIDDLETON, Wisconsin, 53562</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Callodine Capital Management, LP James S. Morrow Shares reported herein for Callodine Capital Management, LP ("Callodine") represent shares held for the benefit of investment advisory clients of Callodine. Shares reported herein for Mr. Morrow represent the above referenced shares reported for Callodine. Mr. Morrow is the managing member of the general partner of Callodine. Each of the Reporting Persons disclaims beneficial ownership of the shares reported herein except to the extent of its or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Callodine Capital Management, LP James S. Morrow c/o Callodine Capital Management, LP Two International Place, Suite 1830 Boston, MA 02110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Callodine Capital Management, LP - Delaware James S. Morrow - United States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1,738,825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7.56%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1,738,825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1,738,825 The percentages reported herein with respect to the Reporting Persons' holdings are calculated based upon a statement in the Issuer's proxy statement filed with the Securities and Exchange Commission on June 26, 2026, that there were 22,995,596 shares of Common Stock, par value $0.01 per share, of the Issuer outstanding as of June 12,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Callodine Capital Management,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Callodine Capital Management, LLC, Its General Partner, By: James S. Morrow, Managing Member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 James S. Morrow,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James S. Morrow</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S. Morrow</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S. Morrow</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Joint Filing Statement, incorporated by reference to Exhibit 99.1 to the Schedule 13G filed on August 14, 2025 by the Reporting Persons with respect to the Issuer.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1055</Words>
  <Characters>5535</Characters>
  <CharactersWithSpaces>6560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