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8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8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28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ind w:left="2644"/>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23,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43"/>
          <w:szCs w:val="43"/>
          <w:b w:val="1"/>
          <w:bCs w:val="1"/>
          <w:color w:val="auto"/>
        </w:rPr>
        <w:t>SPECTRUM BRANDS HOLDINGS, INC.</w:t>
      </w:r>
    </w:p>
    <w:p>
      <w:pPr>
        <w:spacing w:after="0" w:line="58"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044" w:type="dxa"/>
        <w:tblCellMar>
          <w:top w:w="0" w:type="dxa"/>
          <w:left w:w="0" w:type="dxa"/>
          <w:bottom w:w="0" w:type="dxa"/>
          <w:right w:w="0" w:type="dxa"/>
        </w:tblCellMar>
      </w:tblPr>
      <w:tr>
        <w:trPr>
          <w:trHeight w:val="214"/>
        </w:trPr>
        <w:tc>
          <w:tcPr>
            <w:tcW w:w="2900" w:type="dxa"/>
            <w:vAlign w:val="bottom"/>
          </w:tcPr>
          <w:p>
            <w:pPr>
              <w:jc w:val="center"/>
              <w:ind w:right="118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001-4219</w:t>
            </w:r>
          </w:p>
        </w:tc>
        <w:tc>
          <w:tcPr>
            <w:tcW w:w="2460" w:type="dxa"/>
            <w:vAlign w:val="bottom"/>
          </w:tcPr>
          <w:p>
            <w:pPr>
              <w:jc w:val="center"/>
              <w:ind w:left="1242"/>
              <w:spacing w:after="0"/>
              <w:rPr>
                <w:sz w:val="20"/>
                <w:szCs w:val="20"/>
                <w:color w:val="auto"/>
              </w:rPr>
            </w:pPr>
            <w:r>
              <w:rPr>
                <w:rFonts w:ascii="Times New Roman" w:cs="Times New Roman" w:eastAsia="Times New Roman" w:hAnsi="Times New Roman"/>
                <w:sz w:val="18"/>
                <w:szCs w:val="18"/>
                <w:b w:val="1"/>
                <w:bCs w:val="1"/>
                <w:color w:val="auto"/>
                <w:w w:val="98"/>
              </w:rPr>
              <w:t>74-1339132</w:t>
            </w:r>
          </w:p>
        </w:tc>
      </w:tr>
      <w:tr>
        <w:trPr>
          <w:trHeight w:val="149"/>
        </w:trPr>
        <w:tc>
          <w:tcPr>
            <w:tcW w:w="2900" w:type="dxa"/>
            <w:vAlign w:val="bottom"/>
          </w:tcPr>
          <w:p>
            <w:pPr>
              <w:jc w:val="center"/>
              <w:ind w:right="118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900" w:type="dxa"/>
            <w:vAlign w:val="bottom"/>
          </w:tcPr>
          <w:p>
            <w:pPr>
              <w:jc w:val="center"/>
              <w:ind w:right="116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220980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43"/>
          <w:szCs w:val="43"/>
          <w:b w:val="1"/>
          <w:bCs w:val="1"/>
          <w:color w:val="auto"/>
        </w:rPr>
        <w:t>SB/RH HOLDINGS, LLC</w:t>
      </w:r>
    </w:p>
    <w:p>
      <w:pPr>
        <w:spacing w:after="0" w:line="58"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724"/>
          </w:cols>
          <w:pgMar w:left="436" w:top="376" w:right="7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1920"/>
        <w:spacing w:after="0"/>
        <w:rPr>
          <w:sz w:val="20"/>
          <w:szCs w:val="20"/>
          <w:color w:val="auto"/>
        </w:rPr>
      </w:pPr>
      <w:r>
        <w:rPr>
          <w:rFonts w:ascii="Times New Roman" w:cs="Times New Roman" w:eastAsia="Times New Roman" w:hAnsi="Times New Roman"/>
          <w:sz w:val="18"/>
          <w:szCs w:val="18"/>
          <w:b w:val="1"/>
          <w:bCs w:val="1"/>
          <w:color w:val="auto"/>
        </w:rPr>
        <w:t>333-192634-03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27-2812840</w:t>
      </w:r>
    </w:p>
    <w:p>
      <w:pPr>
        <w:spacing w:after="0" w:line="23" w:lineRule="exact"/>
        <w:rPr>
          <w:sz w:val="24"/>
          <w:szCs w:val="24"/>
          <w:color w:val="auto"/>
        </w:rPr>
      </w:pPr>
    </w:p>
    <w:p>
      <w:pPr>
        <w:sectPr>
          <w:pgSz w:w="11900" w:h="16838" w:orient="portrait"/>
          <w:cols w:equalWidth="0" w:num="3">
            <w:col w:w="4344" w:space="720"/>
            <w:col w:w="3040" w:space="720"/>
            <w:col w:w="1900"/>
          </w:cols>
          <w:pgMar w:left="436" w:top="376" w:right="739" w:bottom="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040"/>
          </w:cols>
          <w:pgMar w:left="436" w:top="376" w:right="739" w:bottom="0" w:gutter="0" w:footer="0" w:header="0"/>
          <w:type w:val="continuous"/>
        </w:sectPr>
      </w:pPr>
    </w:p>
    <w:p>
      <w:pPr>
        <w:spacing w:after="0" w:line="1"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8"/>
          <w:szCs w:val="18"/>
          <w:b w:val="1"/>
          <w:bCs w:val="1"/>
          <w:color w:val="auto"/>
        </w:rPr>
        <w:t>3001 Deming Way</w:t>
      </w:r>
    </w:p>
    <w:p>
      <w:pPr>
        <w:spacing w:after="0" w:line="31"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8"/>
          <w:szCs w:val="18"/>
          <w:b w:val="1"/>
          <w:bCs w:val="1"/>
          <w:color w:val="auto"/>
        </w:rPr>
        <w:t>Middleton, Wisconsin 53562</w:t>
      </w:r>
    </w:p>
    <w:p>
      <w:pPr>
        <w:spacing w:after="0" w:line="2"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188"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8"/>
          <w:szCs w:val="18"/>
          <w:b w:val="1"/>
          <w:bCs w:val="1"/>
          <w:color w:val="auto"/>
        </w:rPr>
        <w:t>(608) 275-3340</w:t>
      </w:r>
    </w:p>
    <w:p>
      <w:pPr>
        <w:spacing w:after="0" w:line="25"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724"/>
          </w:cols>
          <w:pgMar w:left="436" w:top="376" w:right="739" w:bottom="0" w:gutter="0" w:footer="0" w:header="0"/>
          <w:type w:val="continuous"/>
        </w:sectPr>
      </w:pPr>
    </w:p>
    <w:p>
      <w:pPr>
        <w:spacing w:after="0" w:line="200" w:lineRule="exact"/>
        <w:rPr>
          <w:sz w:val="24"/>
          <w:szCs w:val="24"/>
          <w:color w:val="auto"/>
        </w:rPr>
      </w:pPr>
    </w:p>
    <w:p>
      <w:pPr>
        <w:spacing w:after="0" w:line="356" w:lineRule="exact"/>
        <w:rPr>
          <w:sz w:val="24"/>
          <w:szCs w:val="24"/>
          <w:color w:val="auto"/>
        </w:rPr>
      </w:pPr>
    </w:p>
    <w:p>
      <w:pPr>
        <w:ind w:left="4" w:right="1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(§232.405 of this chapter) or Rule 12b-2 of the Securities Exchange Act of 1934 (§240.12b-2 of this chapter).</w:t>
      </w:r>
    </w:p>
    <w:p>
      <w:pPr>
        <w:sectPr>
          <w:pgSz w:w="11900" w:h="16838" w:orient="portrait"/>
          <w:cols w:equalWidth="0" w:num="1">
            <w:col w:w="10724"/>
          </w:cols>
          <w:pgMar w:left="436" w:top="376" w:right="739" w:bottom="0" w:gutter="0" w:footer="0" w:header="0"/>
          <w:type w:val="continuous"/>
        </w:sectPr>
      </w:pPr>
    </w:p>
    <w:p>
      <w:pPr>
        <w:spacing w:after="0" w:line="18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7"/>
          <w:szCs w:val="17"/>
          <w:color w:val="auto"/>
        </w:rPr>
        <w:t>Spectrum Brands Holdings, Inc.</w:t>
      </w:r>
    </w:p>
    <w:p>
      <w:pPr>
        <w:spacing w:after="0" w:line="3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SB/RH Holdings, LLC</w:t>
      </w:r>
    </w:p>
    <w:p>
      <w:pPr>
        <w:spacing w:after="0" w:line="20" w:lineRule="exact"/>
        <w:rPr>
          <w:sz w:val="24"/>
          <w:szCs w:val="24"/>
          <w:color w:val="auto"/>
        </w:rPr>
      </w:pPr>
      <w:r>
        <w:rPr>
          <w:sz w:val="24"/>
          <w:szCs w:val="24"/>
          <w:color w:val="auto"/>
        </w:rPr>
        <w:br w:type="column"/>
      </w:r>
    </w:p>
    <w:p>
      <w:pPr>
        <w:spacing w:after="0" w:line="12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1" w:lineRule="exact"/>
        <w:rPr>
          <w:sz w:val="24"/>
          <w:szCs w:val="24"/>
          <w:color w:val="auto"/>
        </w:rPr>
      </w:pPr>
    </w:p>
    <w:p>
      <w:pPr>
        <w:sectPr>
          <w:pgSz w:w="11900" w:h="16838" w:orient="portrait"/>
          <w:cols w:equalWidth="0" w:num="2">
            <w:col w:w="3264" w:space="720"/>
            <w:col w:w="6740"/>
          </w:cols>
          <w:pgMar w:left="436" w:top="376" w:right="739" w:bottom="0" w:gutter="0" w:footer="0" w:header="0"/>
          <w:type w:val="continuous"/>
        </w:sectPr>
      </w:pPr>
    </w:p>
    <w:p>
      <w:pPr>
        <w:spacing w:after="0" w:line="7" w:lineRule="exact"/>
        <w:rPr>
          <w:sz w:val="24"/>
          <w:szCs w:val="24"/>
          <w:color w:val="auto"/>
        </w:rPr>
      </w:pPr>
    </w:p>
    <w:p>
      <w:pPr>
        <w:ind w:left="4" w:right="4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checkmark if the registrant has elected not to use the extended transition period for complying with any new or revised financial accounting standards provided pursuant to Section 13(a) of the Exchange Act.</w:t>
      </w:r>
    </w:p>
    <w:p>
      <w:pPr>
        <w:sectPr>
          <w:pgSz w:w="11900" w:h="16838" w:orient="portrait"/>
          <w:cols w:equalWidth="0" w:num="1">
            <w:col w:w="10724"/>
          </w:cols>
          <w:pgMar w:left="436" w:top="376" w:right="739" w:bottom="0" w:gutter="0" w:footer="0" w:header="0"/>
          <w:type w:val="continuous"/>
        </w:sectPr>
      </w:pPr>
    </w:p>
    <w:p>
      <w:pPr>
        <w:spacing w:after="0" w:line="18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7"/>
          <w:szCs w:val="17"/>
          <w:color w:val="auto"/>
        </w:rPr>
        <w:t>Spectrum Brands Holdings, Inc.</w:t>
      </w:r>
    </w:p>
    <w:p>
      <w:pPr>
        <w:spacing w:after="0" w:line="3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SB/RH Holdings, LLC</w:t>
      </w:r>
    </w:p>
    <w:p>
      <w:pPr>
        <w:spacing w:after="0" w:line="20" w:lineRule="exact"/>
        <w:rPr>
          <w:sz w:val="24"/>
          <w:szCs w:val="24"/>
          <w:color w:val="auto"/>
        </w:rPr>
      </w:pPr>
      <w:r>
        <w:rPr>
          <w:sz w:val="24"/>
          <w:szCs w:val="24"/>
          <w:color w:val="auto"/>
        </w:rPr>
        <w:br w:type="column"/>
      </w:r>
    </w:p>
    <w:p>
      <w:pPr>
        <w:spacing w:after="0" w:line="12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1" w:lineRule="exact"/>
        <w:rPr>
          <w:sz w:val="24"/>
          <w:szCs w:val="24"/>
          <w:color w:val="auto"/>
        </w:rPr>
      </w:pPr>
    </w:p>
    <w:p>
      <w:pPr>
        <w:sectPr>
          <w:pgSz w:w="11900" w:h="16838" w:orient="portrait"/>
          <w:cols w:equalWidth="0" w:num="2">
            <w:col w:w="3264" w:space="720"/>
            <w:col w:w="6740"/>
          </w:cols>
          <w:pgMar w:left="436" w:top="376" w:right="739" w:bottom="0" w:gutter="0" w:footer="0" w:header="0"/>
          <w:type w:val="continuous"/>
        </w:sectPr>
      </w:pPr>
    </w:p>
    <w:p>
      <w:pPr>
        <w:spacing w:after="0" w:line="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7"/>
          <w:szCs w:val="17"/>
          <w:color w:val="auto"/>
        </w:rPr>
        <w:t>Securities registered pursuant to Section 12(b) of the Exchange Act:</w:t>
      </w:r>
    </w:p>
    <w:p>
      <w:pPr>
        <w:sectPr>
          <w:pgSz w:w="11900" w:h="16838" w:orient="portrait"/>
          <w:cols w:equalWidth="0" w:num="1">
            <w:col w:w="10724"/>
          </w:cols>
          <w:pgMar w:left="436" w:top="376" w:right="7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27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Registrant</w:t>
            </w:r>
          </w:p>
        </w:tc>
        <w:tc>
          <w:tcPr>
            <w:tcW w:w="27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8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2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Exchange</w:t>
            </w:r>
          </w:p>
        </w:tc>
        <w:tc>
          <w:tcPr>
            <w:tcW w:w="0" w:type="dxa"/>
            <w:vAlign w:val="bottom"/>
          </w:tcPr>
          <w:p>
            <w:pPr>
              <w:spacing w:after="0"/>
              <w:rPr>
                <w:sz w:val="1"/>
                <w:szCs w:val="1"/>
                <w:color w:val="auto"/>
              </w:rPr>
            </w:pPr>
          </w:p>
        </w:tc>
      </w:tr>
      <w:tr>
        <w:trPr>
          <w:trHeight w:val="187"/>
        </w:trPr>
        <w:tc>
          <w:tcPr>
            <w:tcW w:w="2780" w:type="dxa"/>
            <w:vAlign w:val="bottom"/>
            <w:gridSpan w:val="2"/>
            <w:vMerge w:val="continue"/>
          </w:tcPr>
          <w:p>
            <w:pPr>
              <w:spacing w:after="0"/>
              <w:rPr>
                <w:sz w:val="16"/>
                <w:szCs w:val="16"/>
                <w:color w:val="auto"/>
              </w:rPr>
            </w:pPr>
          </w:p>
        </w:tc>
        <w:tc>
          <w:tcPr>
            <w:tcW w:w="2740" w:type="dxa"/>
            <w:vAlign w:val="bottom"/>
            <w:gridSpan w:val="2"/>
            <w:vMerge w:val="continue"/>
          </w:tcPr>
          <w:p>
            <w:pPr>
              <w:spacing w:after="0"/>
              <w:rPr>
                <w:sz w:val="16"/>
                <w:szCs w:val="16"/>
                <w:color w:val="auto"/>
              </w:rPr>
            </w:pPr>
          </w:p>
        </w:tc>
        <w:tc>
          <w:tcPr>
            <w:tcW w:w="28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2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2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Spectrum Brands Holdings, Inc.</w:t>
            </w:r>
          </w:p>
        </w:tc>
        <w:tc>
          <w:tcPr>
            <w:tcW w:w="160" w:type="dxa"/>
            <w:vAlign w:val="bottom"/>
          </w:tcPr>
          <w:p>
            <w:pPr>
              <w:spacing w:after="0"/>
              <w:rPr>
                <w:sz w:val="19"/>
                <w:szCs w:val="19"/>
                <w:color w:val="auto"/>
              </w:rPr>
            </w:pPr>
          </w:p>
        </w:tc>
        <w:tc>
          <w:tcPr>
            <w:tcW w:w="2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120" w:type="dxa"/>
            <w:vAlign w:val="bottom"/>
          </w:tcPr>
          <w:p>
            <w:pPr>
              <w:spacing w:after="0"/>
              <w:rPr>
                <w:sz w:val="19"/>
                <w:szCs w:val="19"/>
                <w:color w:val="auto"/>
              </w:rPr>
            </w:pPr>
          </w:p>
        </w:tc>
        <w:tc>
          <w:tcPr>
            <w:tcW w:w="2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SPB</w:t>
            </w:r>
          </w:p>
        </w:tc>
        <w:tc>
          <w:tcPr>
            <w:tcW w:w="100" w:type="dxa"/>
            <w:vAlign w:val="bottom"/>
          </w:tcPr>
          <w:p>
            <w:pPr>
              <w:spacing w:after="0"/>
              <w:rPr>
                <w:sz w:val="19"/>
                <w:szCs w:val="19"/>
                <w:color w:val="auto"/>
              </w:rPr>
            </w:pPr>
          </w:p>
        </w:tc>
        <w:tc>
          <w:tcPr>
            <w:tcW w:w="2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25"/>
        </w:trPr>
        <w:tc>
          <w:tcPr>
            <w:tcW w:w="26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6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6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02" w:right="439" w:bottom="1440" w:gutter="0" w:footer="0" w:header="0"/>
        </w:sectPr>
      </w:pPr>
    </w:p>
    <w:bookmarkStart w:id="2" w:name="page3"/>
    <w:bookmarkEnd w:id="2"/>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Indenture and Notes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23, 2024, Spectrum Brands, Inc. (the “Company”) closed its previously announced offering of $350 million principal amount of 3.375%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Exchangeable Senior Notes due 2029 (the “Notes”), including the full exercise by certain initial purchasers of their option to purchase an additional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 million of Notes. The Notes were issued pursuant to an indenture (the “Indenture”) dated as of May 23, 2024 among the Company, Spectrum Brand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Holdings, Inc., as parent guarantor (the “Parent”), certain of the Company’s domestic subsidiaries as guarantors and U.S. Bank Trust Company, National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Association, as trustee (the “Trustee”). The Notes will be fully and unconditionally guaranteed, jointly and severally, on a senior, unsecured basis,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Parent and, subject to certain exceptions, each of the Company’s existing and future domestic subsidiaries that guarantee any of the Company’s 4.00%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due 2026, 5.00% Notes due 2029, 5.50% Notes due 2030 and 3.875% Notes due 2031 (the “Existing Notes”) or any other debt securities issued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Company or the Parent in the form of senior unsecured notes or convertible or exchangeable notes (collectively, the “Guarantors”).</w:t>
      </w:r>
    </w:p>
    <w:p>
      <w:pPr>
        <w:spacing w:after="0" w:line="207"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After payment of the cost of entering into the capped call transactions described below, the Company intends to use the remainder of the $340.2 million of the net proceeds from the Notes (excluding offering expenses) to repurchase approximately $50 million of the common stock of the Parent, par value $0.01 per share (the “Common Stock”) effected through one of the initial purchasers or its affiliates and for general corporate purposes.</w:t>
      </w:r>
    </w:p>
    <w:p>
      <w:pPr>
        <w:spacing w:after="0" w:line="176"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The Notes and the guarantees will be the Company’s and each Guarantor’s senior, unsecured obligations and will be (i) equal in right of payment with the Company and each Guarantor’s existing and future senior, unsecured indebtedness (including, in the case of the Company and the Guarantors party thereto, the Existing Notes); (iii) senior in right of payment to the Company and each Guarantor’s existing and future indebtedness that is expressly subordinated to the Notes or the guarantees, as applicable; (iii) effectively subordinated to the Company and each Guarantor’s existing and future secured indebtedness (including, in the case of the Company and the Guarantors party thereto, the revolving facility of the October 19, 2023 Second Amended and Restated Credit Agreement by and among the Company, SB/RH Holdings, Inc., Royal Bank of Canada, as the administrative agent and collateral agent, and the lenders and issuing banks party thereto from time to time), to the extent of the value of the collateral securing that indebtedness; and (iv) structurally subordinated to all existing and future indebtedness and other liabilities, including trade payables, and (to the extent the Company or a Guarantor is not a holder thereof) preferred equity, if any, of the Company or that Guarantor’s subsidiaries that do not guarantee the Notes. In addition, the Notes will be structurally subordinated to all indebtedness and other liabilities of the Company’s subsidiaries that do not guarantee the Notes.</w:t>
      </w:r>
    </w:p>
    <w:p>
      <w:pPr>
        <w:spacing w:after="0" w:line="177"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The Notes will accrue interest at a rate of 3.375% per annum, payable semi-annually in arrears on June 1 and December 1 of each year, beginning on December 1, 2024. The Notes will mature on June 1, 2029, unless earlier repurchased, redeemed or exchanged. Holders may surrender their Notes, in integral multiples of $1,000 principal amount, for exchange into cash and, if applicable, shares of Common Stock, prior to the close of business on the second scheduled trading day immediately preceding the maturity date based on the applicable exchange rate and only under certain circumstances specified within the Indenture. Upon surrender of Notes for exchange, the Company will pay cash up to the aggregate principal amount of the Notes to be exchanged and pay or deliver, as the case may be, cash, shares of Common Stock or a combination of cash and shares of Common Stock, at the Company’s election, in respect of the remainder, if any, of the Company’s exchange obligation in excess of the aggregate principal amount of the Notes being exchanged. The initial exchange rate for the Notes is 8.2060 shares of Common Stock per $1,000 principal amount of Notes (equivalent to an initial exchange price of approximately $121.86 per share of Common Stock), subject to adjustment as provided in the Indenture. Holders will not receive any cash payment or, if applicable, additional shares representing accrued and unpaid interest upon exchange of a Note, except in limited circumstances. Instead, interest will be deemed paid by the cash and, if applicable, shares of Common Stock paid or delivered, as the case may be, to holders upon exchange.</w:t>
      </w:r>
    </w:p>
    <w:p>
      <w:pPr>
        <w:spacing w:after="0" w:line="19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Notes will be redeemable for cash in whole or in part, at the Company’s option at any time, and from time to time, on a redemption date occurring on or after June 7, 2027 and before the 41st scheduled trading day before the maturity date, but only if (A) the Notes are “Freely Tradable” (as defined in the Indenture) (unless the Company elects for cash settlement to apply to all exchanges of Notes with an exchange date that occurs on or after the date</w:t>
      </w:r>
    </w:p>
    <w:p>
      <w:pPr>
        <w:sectPr>
          <w:pgSz w:w="11900" w:h="16838" w:orient="portrait"/>
          <w:cols w:equalWidth="0" w:num="1">
            <w:col w:w="11020"/>
          </w:cols>
          <w:pgMar w:left="440" w:top="293" w:right="439" w:bottom="1440" w:gutter="0" w:footer="0" w:header="0"/>
        </w:sectPr>
      </w:pPr>
    </w:p>
    <w:bookmarkStart w:id="3" w:name="page4"/>
    <w:bookmarkEnd w:id="3"/>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Company sends such redemption notice and on or before the second scheduled trading day immediately before the related redemption date) and any accrued and unpaid additional interest through the most recent interest payment date has been paid as of the date the Company sends the related redemption notice and (B) the closing price per share of Common Stock equals or exceeds 130% of the exchange price for (1) each of at least 20 trading days, whether or not consecutive, during the 30 consecutive trading days ending on, and including, the trading day immediately before the date the Company sends such notice and (2) the trading day immediately before the date the Company sends such notice.</w:t>
      </w:r>
    </w:p>
    <w:p>
      <w:pPr>
        <w:spacing w:after="0" w:line="18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If certain corporate events that constitute a “Fundamental Change” (as defined in the Indenture) occur, then noteholders may require the Company to repurchase all or a portion of their Notes at a cash repurchase price equal to 100% of the principal amount of the Notes to be repurchased plus accrued and unpaid interest, if any, to, but excluding, the Fundamental Change repurchase date. The definition of Fundamental Change includes certain business combination transactions involving the Company or the Parent and certain de-listing events with respect to the Common Stock.</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If certain corporate events that constitute a “Make-Whole Fundamental Change” (as defined in the Indenture) occur or if the Company delivers a notice of redemption, the Company will, in certain circumstances, increase the exchange rate applicable to Notes that are exchanged in connection with such Make-Whole Fundamental Change or Notes that are called (or deemed called as provided in the Indenture) for redemption and exchanged in connection with such notice of redemption.</w:t>
      </w:r>
    </w:p>
    <w:p>
      <w:pPr>
        <w:spacing w:after="0" w:line="18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If an “Event of Default” (as defined in the Indenture) (other than specified events of bankruptcy, insolvency or reorganization of the Company or the Parent (and not solely with respect to a “Significant Subsidiary” (as defined in the Indenture) of the Company or the Parent (other than the Company)) occurs and is continuing, the Trustee or the holders of at least 25% in principal amount of the outstanding Notes may declare the principal and accrued and unpaid interest on all the outstanding Notes to be immediately due and payable. If an Event of Default relating to specified events of bankruptcy, insolvency or reorganization involving the Company or the Parent (and not solely any of the Company’s or the Parent’s Significant Subsidiaries (other than the Company)), the principal and accrued and unpaid interest on all the outstanding Notes will automatically become immediately due and payable without further action or notice by any person.</w:t>
      </w:r>
    </w:p>
    <w:p>
      <w:pPr>
        <w:spacing w:after="0" w:line="18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With the exception of covenants restricting the Company’s ability to merge, consolidate or sell all or substantially all of the Company’s assets, the Indenture does not provide for restrictive covenants.</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above descriptions of the Indenture and the Notes are summaries and are not complete, and are qualified in their entirety by reference to the full and complete text of the Indenture and the Form of Note, a copy each of which is attached as Exhibits 4.1 and 4.2, respectively, to this Current Report on Form 8-K and incorporated by reference herein.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Capped Call Transactions</w:t>
      </w:r>
    </w:p>
    <w:p>
      <w:pPr>
        <w:spacing w:after="0" w:line="11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On May 20, 2024, in connection with the pricing of the Notes, the Company entered into privately negotiated capped call transactions (the “Base Capped Call Transactions”) with certain of the Initial Purchasers or their affiliates (the “Option Counterparties”). In addition, on May 21, 2024, in connection with the Initial Purchasers’ exercise of their option to purchase additional Notes, the Company entered into additional capped call transactions (the “Additional Capped Call Transactions,” and, together with the Base Capped Call Transactions, the “Capped Call Transactions”) with each of the Option Counterparties. The Capped Call Transactions cover, subject to customary anti-dilution adjustments, the aggregate number of shares of Common Stock that initially underlie the Notes, and are expected generally to reduce potential dilution to Common Stock upon any exchange of Notes and/or offset any cash payments the Company is required to make in excess of the principal amount of exchanged Notes, as the case may be, with such reduction and/or offset subject to a cap, based on the cap price of the Capped Call Transactions. The cap price of the Capped Call Transactions is initially approximately $159.36, which represents a premium of approximately 70.0% over the last reported sale price of Common Stock on May 20, 2024. The cost of the Capped Call Transactions was $25.2 million.</w:t>
      </w:r>
    </w:p>
    <w:p>
      <w:pPr>
        <w:sectPr>
          <w:pgSz w:w="11900" w:h="16838" w:orient="portrait"/>
          <w:cols w:equalWidth="0" w:num="1">
            <w:col w:w="10980"/>
          </w:cols>
          <w:pgMar w:left="440" w:top="297" w:right="479" w:bottom="1440" w:gutter="0" w:footer="0" w:header="0"/>
        </w:sectPr>
      </w:pPr>
    </w:p>
    <w:bookmarkStart w:id="4" w:name="page5"/>
    <w:bookmarkEnd w:id="4"/>
    <w:p>
      <w:pPr>
        <w:ind w:right="1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Capped Call Transactions are separate transactions, each between the Company and the applicable Option Counterparty, and are not part of the terms of the Notes and will not affect any holder’s rights under the Notes or the Indenture. Holders of the Notes will not have any rights with respect to the Capped Call Transactions.</w:t>
      </w:r>
    </w:p>
    <w:p>
      <w:pPr>
        <w:spacing w:after="0" w:line="176"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The above description of the Capped Call Transactions is a summary and is not complete, and is qualified in its entirety by reference to the full and complete text of the Form of Capped Call Confirmation, a copy of which is attached as Exhibit 99.1 to this Current Report on Form 8-K and incorporated herein by reference.</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8"/>
          <w:szCs w:val="18"/>
          <w:b w:val="1"/>
          <w:bCs w:val="1"/>
          <w:color w:val="auto"/>
        </w:rPr>
        <w:t>Creation of a Direct Financial Obligation or an Obligation under an Off-Balance Sheet Arrangement of a Registration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in Item 1.01 “Entry into a Material Definitive Agreement” is incorporated by reference into this Item 2.03.</w:t>
      </w:r>
    </w:p>
    <w:p>
      <w:pPr>
        <w:spacing w:after="0" w:line="37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3.02</w:t>
      </w:r>
      <w:r>
        <w:rPr>
          <w:sz w:val="20"/>
          <w:szCs w:val="20"/>
          <w:color w:val="auto"/>
        </w:rPr>
        <w:tab/>
      </w:r>
      <w:r>
        <w:rPr>
          <w:rFonts w:ascii="Times New Roman" w:cs="Times New Roman" w:eastAsia="Times New Roman" w:hAnsi="Times New Roman"/>
          <w:sz w:val="18"/>
          <w:szCs w:val="18"/>
          <w:b w:val="1"/>
          <w:bCs w:val="1"/>
          <w:color w:val="auto"/>
        </w:rPr>
        <w:t>Unregistered Sales of Equity Securities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information set forth under Item 1.01 is incorporated into this Item 3.02 by reference. The Notes were issued to the Initial Purchasers in reliance on Section 4(a)(2) under the Securities Act of 1933, as amended (the “Securities Act”) in transactions not involving any public offering, and the Initial Purchasers resold the Notes in reliance upon Rule 144A under the Securities Act to persons reasonably believed to be “qualified institutional buyers,” as defined therein. Any shares of Common Stock that may be issued upon exchange of the Notes will be issued in reliance upon Section 3(a)(9) of the Securities Act as involving an exchange by the Company exclusively with its security holders. Initially, a maximum of 3,733,730 shares of Common Stock may be issued upon exchange of the Notes, based on the initial maximum exchange rate of 10.6678 shares of Common Stock per $1,000 principal amount of Notes, which is subject to customary anti-dilution adjustment provisions.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Company and the Parent (together, “Spectrum”) have made or implied certain forward-looking statements in this news release and may make additional oral forward-looking statements from time to time. All statements, other than statements of historical facts included or incorporated by reference in this document, including, without limitation, statements or expectations regarding Spectrum’s business strategy, future operations, financial condition, estimated revenues, projected costs, inventory management, earnings power, projected synergies, prospects, plans and objectives of management, outcome of any litigation and information concerning expected actions of third parties are forward-looking statements. When used in this document, the words future, anticipate, pro forma, seek, intend, plan, envision, estimate, believe, belief, expect, project, forecast, outlook, earnings framework, goal, target, could, would, will, can, should, may and similar expressions are intended to identify forward-looking statements, although not all forward-looking statements contain such identifying words.</w:t>
      </w:r>
    </w:p>
    <w:p>
      <w:pPr>
        <w:spacing w:after="0" w:line="19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Since these forward-looking statements are based upon Spectrum’s current expectations of future events and projections and are subject to a number of risks and uncertainties, many of which are beyond Spectrum’s control and some of which may change rapidly, actual results or outcomes may differ materially from those expressed or implied herein, and you should not place undue reliance on these statements. Important factors that could cause Spectrum’s actual results to differ materially from those expressed or implied herein include, without limitation: (1) the economic, social and political conditions or civil unrest, terrorist attacks, acts of war, natural disasters, other public health concerns or unrest in the United States or the international markets impacting Spectrum’s business, customers, employees (including Spectrum’s ability to retain and attract key personnel), manufacturing facilities, suppliers, capital markets, financial condition and results of operations, all of which tend to aggravate the other risks and uncertainties Spectrum faces; (2) the impact of a number of local, regional and global uncertainties could negatively impact Spectrum’s business; (3) the negative effect of the Russia-Ukraine war and the Israel-Hamas war and their impact on those regions and surrounding regions, including the Middle East, and on Spectrum’s operations and operations of Spectrum’s customers, suppliers and other stakeholders; (4) Spectrum’s increased reliance on third-party partners, suppliers and distributors to achieve Spectrum’s business objectives; (5) the impact of expenses resulting from the implementation of new business strategies, divestitures or current and proposed restructuring and optimization activities, including changes in inventory and distribution center changes which are complicated and</w:t>
      </w:r>
    </w:p>
    <w:p>
      <w:pPr>
        <w:sectPr>
          <w:pgSz w:w="11900" w:h="16838" w:orient="portrait"/>
          <w:cols w:equalWidth="0" w:num="1">
            <w:col w:w="11000"/>
          </w:cols>
          <w:pgMar w:left="440" w:top="297" w:right="459" w:bottom="1440" w:gutter="0" w:footer="0" w:header="0"/>
        </w:sectPr>
      </w:pPr>
    </w:p>
    <w:bookmarkStart w:id="5" w:name="page6"/>
    <w:bookmarkEnd w:id="5"/>
    <w:p>
      <w:pPr>
        <w:ind w:left="4" w:right="40"/>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involve coordination among a number of stakeholders, including Spectrum’s suppliers and transportation and logistics handlers; (6) the impact of Spectrum’s indebtedness and financial leverage position on Spectrum’s business, financial condition and results of operations; (7) the impact of restrictions in Spectrum’s debt instruments on Spectrum’s ability to operate Spectrum’s business, finance Spectrum’s capital needs or pursue or expand business strategies; (8) any failure to comply with financial covenants and other provisions and restrictions of Spectrum’s debt instruments; (9) the effects of general economic conditions, including the impact of, and changes to tariffs and trade policies, inflation, recession or fears of a recession, depression or fears of a depression, labor costs and stock market volatility or monetary or fiscal policies in the countries where Spectrum does business;</w:t>
      </w:r>
    </w:p>
    <w:p>
      <w:pPr>
        <w:spacing w:after="0" w:line="5" w:lineRule="exact"/>
        <w:rPr>
          <w:sz w:val="20"/>
          <w:szCs w:val="20"/>
          <w:color w:val="auto"/>
        </w:rPr>
      </w:pPr>
    </w:p>
    <w:p>
      <w:pPr>
        <w:ind w:left="4" w:hanging="4"/>
        <w:spacing w:after="0" w:line="250" w:lineRule="auto"/>
        <w:tabs>
          <w:tab w:leader="none" w:pos="34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fluctuations in transportation and shipment costs, fuel costs, commodity prices, costs or availability of raw materials or terms and conditions available from suppliers, including suppliers’ willingness to advance credit; (11) interest rate fluctuations; (12) changes in foreign currency exchange rates that may impact Spectrum’s purchasing power, pricing and margin realization within international jurisdictions; (13) the loss of, significant reduction in or dependence upon, sales to any significant retail customer(s), including their changes in retail inventory levels and management thereof; (14) competitive promotional activity or spending by competitors, or price reductions by competitors; (15) the introduction of new product features or technological developments by competitors and/or the development of new competitors or competitive brands; (16) changes in consumer spending preferences and demand for Spectrum’s products, particularly in light of economic stress; (17) Spectrum’s ability to develop and successfully introduce new products, protect intellectual property and avoid infringing the intellectual property of third parties; (18) Spectrum’s ability to successfully identify, implement, achieve and sustain productivity improvements, cost efficiencies (including at Spectrum’s manufacturing and distribution operations) and cost savings; (19) the seasonal nature of sales of certain of Spectrum’s products; (20) the impact weather conditions may have on the sales of certain of Spectrum’s products; (21) the effects of climate change and unusual weather activity as well as Spectrum’s ability to respond to future natural disasters and pandemics and to meet Spectrum’s environmental, social and governance goals; (22) the cost and effect of unanticipated legal, tax or regulatory proceedings or new laws or regulations (including environmental, public health and consumer protection regulations); (23) public perception regarding the safety of products that Spectrum manufactures and sells, including the potential for environmental liabilities, product liability claims, litigation and other claims related to products manufactured by us and third parties; (24) the impact of existing, pending or threatened litigation, government regulation or other requirements or operating standards applicable to Spectrum’s business; (25) the impact of cybersecurity breaches or Spectrum’s actual or perceived failure to protect company and personal data, including Spectrum’s failure to comply with new and increasingly complex global data privacy regulations; (26) changes in accounting policies applicable to Spectrum’s business; (27) Spectrum’s discretion to adopt, conduct, suspend or discontinue any share repurchase program or conduct any debt repayments, redemptions, repurchases or refinancing transactions (including Spectrum’s discretion to conduct purchases or repurchases, if any, in a variety of manners including open-market purchases, privately negotiated transactions, tender offers, redemptions, or otherwise); (28) Spectrum’s ability to utilize net operating loss carry-forwards to offset tax liabilities; (29) Spectrum’s ability to separate the Company’s HPC business and create an independent Global Appliances business on expected terms, and within the anticipated time period, or at all, and to realize the potential benefits of such business; (30) Spectrum’s ability to create a pure play consumer products company composed of Spectrum’s Global Pet Care and Home &amp; Garden business and to realize the expected benefits of such creation, and within the anticipated time period, or at all; (31) Spectrum’s ability to successfully implement, and realize the benefits of, acquisitions or dispositions and the impact of any such transactions on Spectrum’s financial performance; (32) the impact of actions taken by significant shareholders; and (33) the unanticipated loss of key members of senior management and the transition of new members of Spectrum’s management teams to their new roles; and (34) the other risk factors set forth in the securities filings of Spectrum Brands Holdings, Inc. and SB/RH Holdings, LLC, including the 2023 Annual Report and subsequent Quarterly Reports on Form 10-Q.</w:t>
      </w:r>
    </w:p>
    <w:p>
      <w:pPr>
        <w:spacing w:after="0" w:line="209" w:lineRule="exact"/>
        <w:rPr>
          <w:sz w:val="20"/>
          <w:szCs w:val="20"/>
          <w:color w:val="auto"/>
        </w:rPr>
      </w:pPr>
    </w:p>
    <w:p>
      <w:pPr>
        <w:ind w:left="4" w:right="60"/>
        <w:spacing w:after="0" w:line="256" w:lineRule="auto"/>
        <w:rPr>
          <w:sz w:val="20"/>
          <w:szCs w:val="20"/>
          <w:color w:val="auto"/>
        </w:rPr>
      </w:pPr>
      <w:r>
        <w:rPr>
          <w:rFonts w:ascii="Times New Roman" w:cs="Times New Roman" w:eastAsia="Times New Roman" w:hAnsi="Times New Roman"/>
          <w:sz w:val="18"/>
          <w:szCs w:val="18"/>
          <w:color w:val="auto"/>
        </w:rPr>
        <w:t>Some of the above-mentioned factors are described in further detail in the sections entitled Risk Factors in Spectrum’s annual and quarterly reports, as applicable. You should assume the information appearing in this document is accurate only as of the end of the period covered by this document, or as otherwise specified, as Spectrum’s business, financial condition, results of operations and prospects may have changed since that date. Except as required by applicable law, including the securities laws of the United States and the rules and regulations of the United States Securities and Exchange Commission, Spectrum undertakes no obligation to publicly update or revise any forward-looking statement, whether as a result of new information, future events or otherwise, to reflect actual results or changes in factors or assumptions affecting such forward-looking statements.</w:t>
      </w:r>
    </w:p>
    <w:p>
      <w:pPr>
        <w:sectPr>
          <w:pgSz w:w="11900" w:h="16838" w:orient="portrait"/>
          <w:cols w:equalWidth="0" w:num="1">
            <w:col w:w="10964"/>
          </w:cols>
          <w:pgMar w:left="436" w:top="297" w:right="49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560" w:type="dxa"/>
            <w:vAlign w:val="bottom"/>
            <w:gridSpan w:val="6"/>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24"/>
        </w:trPr>
        <w:tc>
          <w:tcPr>
            <w:tcW w:w="10600" w:type="dxa"/>
            <w:vAlign w:val="bottom"/>
            <w:gridSpan w:val="8"/>
          </w:tcPr>
          <w:p>
            <w:pPr>
              <w:ind w:left="440"/>
              <w:spacing w:after="0"/>
              <w:rPr>
                <w:sz w:val="20"/>
                <w:szCs w:val="20"/>
                <w:color w:val="auto"/>
              </w:rPr>
            </w:pPr>
            <w:r>
              <w:rPr>
                <w:rFonts w:ascii="Times New Roman" w:cs="Times New Roman" w:eastAsia="Times New Roman" w:hAnsi="Times New Roman"/>
                <w:sz w:val="18"/>
                <w:szCs w:val="18"/>
                <w:color w:val="auto"/>
              </w:rPr>
              <w:t>(d) Exhibits</w:t>
            </w:r>
          </w:p>
        </w:tc>
        <w:tc>
          <w:tcPr>
            <w:tcW w:w="0" w:type="dxa"/>
            <w:vAlign w:val="bottom"/>
          </w:tcPr>
          <w:p>
            <w:pPr>
              <w:spacing w:after="0"/>
              <w:rPr>
                <w:sz w:val="1"/>
                <w:szCs w:val="1"/>
                <w:color w:val="auto"/>
              </w:rPr>
            </w:pPr>
          </w:p>
        </w:tc>
      </w:tr>
      <w:tr>
        <w:trPr>
          <w:trHeight w:val="367"/>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5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9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60"/>
        </w:trPr>
        <w:tc>
          <w:tcPr>
            <w:tcW w:w="104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Number</w:t>
            </w:r>
          </w:p>
        </w:tc>
        <w:tc>
          <w:tcPr>
            <w:tcW w:w="25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9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5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4.1</w:t>
            </w:r>
          </w:p>
        </w:tc>
        <w:tc>
          <w:tcPr>
            <w:tcW w:w="540" w:type="dxa"/>
            <w:vAlign w:val="bottom"/>
          </w:tcPr>
          <w:p>
            <w:pPr>
              <w:spacing w:after="0"/>
              <w:rPr>
                <w:sz w:val="23"/>
                <w:szCs w:val="23"/>
                <w:color w:val="auto"/>
              </w:rPr>
            </w:pPr>
          </w:p>
        </w:tc>
        <w:tc>
          <w:tcPr>
            <w:tcW w:w="956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Indenture, dated as of May 23, 2024, among Spectrum Brands, Inc., Spectrum Brands Holdings, Inc., the subsidiary guarantors party</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thereto and U.S. Bank Trust Company, National Association.</w:t>
            </w:r>
          </w:p>
        </w:tc>
        <w:tc>
          <w:tcPr>
            <w:tcW w:w="51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4.2</w:t>
            </w:r>
          </w:p>
        </w:tc>
        <w:tc>
          <w:tcPr>
            <w:tcW w:w="57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Form of 3.375% Exchangeable Senior Note due 2029 (included in Exhibit 4.1).</w:t>
            </w:r>
          </w:p>
        </w:tc>
        <w:tc>
          <w:tcPr>
            <w:tcW w:w="3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40" w:type="dxa"/>
            <w:vAlign w:val="bottom"/>
          </w:tcPr>
          <w:p>
            <w:pPr>
              <w:spacing w:after="0"/>
              <w:rPr>
                <w:sz w:val="24"/>
                <w:szCs w:val="24"/>
                <w:color w:val="auto"/>
              </w:rPr>
            </w:pPr>
          </w:p>
        </w:tc>
        <w:tc>
          <w:tcPr>
            <w:tcW w:w="25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Form of Capped Call Confirmation.</w:t>
            </w:r>
          </w:p>
        </w:tc>
        <w:tc>
          <w:tcPr>
            <w:tcW w:w="69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40" w:type="dxa"/>
            <w:vAlign w:val="bottom"/>
          </w:tcPr>
          <w:p>
            <w:pPr>
              <w:spacing w:after="0"/>
              <w:rPr>
                <w:sz w:val="24"/>
                <w:szCs w:val="24"/>
                <w:color w:val="auto"/>
              </w:rPr>
            </w:pPr>
          </w:p>
        </w:tc>
        <w:tc>
          <w:tcPr>
            <w:tcW w:w="95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600"/>
          </w:cols>
          <w:pgMar w:left="440" w:top="293" w:right="85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bookmarkStart w:id="7" w:name="page8"/>
    <w:bookmarkEnd w:id="7"/>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23, 2024</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SPECTRUM BRANDS HOLDINGS,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Jeremy W. Smeltser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Jeremy W. Smeltser</w:t>
      </w:r>
    </w:p>
    <w:p>
      <w:pPr>
        <w:spacing w:after="0" w:line="27" w:lineRule="exact"/>
        <w:rPr>
          <w:sz w:val="20"/>
          <w:szCs w:val="20"/>
          <w:color w:val="auto"/>
        </w:rPr>
      </w:pPr>
    </w:p>
    <w:p>
      <w:pPr>
        <w:jc w:val="both"/>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Executive Vice President and Chief Financial</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Officer</w:t>
      </w:r>
    </w:p>
    <w:p>
      <w:pPr>
        <w:spacing w:after="0" w:line="23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SB/RH HOLDINGS,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Jeremy W. Smeltser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Jeremy W. Smeltser</w:t>
      </w:r>
    </w:p>
    <w:p>
      <w:pPr>
        <w:spacing w:after="0" w:line="27" w:lineRule="exact"/>
        <w:rPr>
          <w:sz w:val="20"/>
          <w:szCs w:val="20"/>
          <w:color w:val="auto"/>
        </w:rPr>
      </w:pPr>
    </w:p>
    <w:p>
      <w:pPr>
        <w:jc w:val="both"/>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Executive Vice President and Chief Financial</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Officer</w:t>
      </w:r>
    </w:p>
    <w:p>
      <w:pPr>
        <w:sectPr>
          <w:pgSz w:w="11900" w:h="16838" w:orient="portrait"/>
          <w:cols w:equalWidth="0" w:num="1">
            <w:col w:w="10460"/>
          </w:cols>
          <w:pgMar w:left="440" w:top="293" w:right="99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182880</wp:posOffset>
            </wp:positionV>
            <wp:extent cx="69951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225425</wp:posOffset>
            </wp:positionV>
            <wp:extent cx="69951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SPECTRUM BRANDS, INC.</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THE GUARANTORS PARTY HERETO</w:t>
      </w:r>
    </w:p>
    <w:p>
      <w:pPr>
        <w:spacing w:after="0" w:line="22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b w:val="1"/>
          <w:bCs w:val="1"/>
          <w:color w:val="auto"/>
        </w:rPr>
        <w:t>U.S. BANK TRUST COMPANY, NATIONAL ASSOCIATION</w:t>
      </w:r>
    </w:p>
    <w:p>
      <w:pPr>
        <w:spacing w:after="0" w:line="241"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248920</wp:posOffset>
            </wp:positionV>
            <wp:extent cx="14744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INDENTURE</w:t>
      </w:r>
    </w:p>
    <w:p>
      <w:pPr>
        <w:spacing w:after="0" w:line="225"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color w:val="auto"/>
        </w:rPr>
        <w:t>Dated as of May 23,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240030</wp:posOffset>
            </wp:positionV>
            <wp:extent cx="14744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3.375% Exchangeable Senior Notes due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180340</wp:posOffset>
            </wp:positionV>
            <wp:extent cx="69951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222885</wp:posOffset>
            </wp:positionV>
            <wp:extent cx="69951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0"/>
          </w:cols>
          <w:pgMar w:left="1440" w:top="117" w:right="4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8"/>
        </w:trPr>
        <w:tc>
          <w:tcPr>
            <w:tcW w:w="10660" w:type="dxa"/>
            <w:vAlign w:val="bottom"/>
          </w:tcPr>
          <w:p>
            <w:pPr>
              <w:ind w:left="45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Article 1. Definitions; Rules of Construction</w:t>
            </w: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28"/>
        </w:trPr>
        <w:tc>
          <w:tcPr>
            <w:tcW w:w="10660" w:type="dxa"/>
            <w:vAlign w:val="bottom"/>
            <w:vMerge w:val="continue"/>
          </w:tcPr>
          <w:p>
            <w:pPr>
              <w:spacing w:after="0"/>
              <w:rPr>
                <w:sz w:val="19"/>
                <w:szCs w:val="19"/>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10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1.01. Definitions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10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1.02. Other Definitions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4"/>
        </w:trPr>
        <w:tc>
          <w:tcPr>
            <w:tcW w:w="10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1.03. Rules of Construction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324"/>
        </w:trPr>
        <w:tc>
          <w:tcPr>
            <w:tcW w:w="10660" w:type="dxa"/>
            <w:vAlign w:val="bottom"/>
          </w:tcPr>
          <w:p>
            <w:pPr>
              <w:spacing w:after="0"/>
              <w:rPr>
                <w:sz w:val="20"/>
                <w:szCs w:val="20"/>
                <w:color w:val="auto"/>
              </w:rPr>
            </w:pPr>
            <w:r>
              <w:rPr>
                <w:rFonts w:ascii="Times New Roman" w:cs="Times New Roman" w:eastAsia="Times New Roman" w:hAnsi="Times New Roman"/>
                <w:sz w:val="18"/>
                <w:szCs w:val="18"/>
                <w:color w:val="auto"/>
              </w:rPr>
              <w:t>Article 2. The Notes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306"/>
        </w:trPr>
        <w:tc>
          <w:tcPr>
            <w:tcW w:w="10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2.01. Form, Dating and Denominations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10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2.02. Execution, Authentication and Delivery</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10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2.03. Initial Notes and Additional Notes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10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2.04. Method of Payment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10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2.05. Accrual of Interest; Defaulted Amounts; When Payment Date is Not a Business Day</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10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2.06. Registrar, Paying Agent and Exchange Agent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10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2.07. Paying Agent and Exchange Agent to Hold Property in Trust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10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2.08. Holder Lists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10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2.09. Legends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10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2.10. Transfers and Exchanges; Certain Transfer Restrictions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10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2.11. Exchange and Cancellation of Notes to Be Exchanged or to Be Repurchased Pursuant to a Repurchase Upon Fundamental</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6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Change or Redemption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10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2.12. Removal of Transfer Restrictions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10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2.13. Replacement Notes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10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2.14. Registered Holders; Certain Rights with Respect to Global Notes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10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2.15. Cancellation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10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2.16. Notes Held by the Company or its Affiliates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10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2.17. Temporary Notes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10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2.18. Outstanding Notes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10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2.19. Repurchases by the Company</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4"/>
        </w:trPr>
        <w:tc>
          <w:tcPr>
            <w:tcW w:w="10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2.20. CUSIP and ISIN Numbers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324"/>
        </w:trPr>
        <w:tc>
          <w:tcPr>
            <w:tcW w:w="10660" w:type="dxa"/>
            <w:vAlign w:val="bottom"/>
          </w:tcPr>
          <w:p>
            <w:pPr>
              <w:spacing w:after="0"/>
              <w:rPr>
                <w:sz w:val="20"/>
                <w:szCs w:val="20"/>
                <w:color w:val="auto"/>
              </w:rPr>
            </w:pPr>
            <w:r>
              <w:rPr>
                <w:rFonts w:ascii="Times New Roman" w:cs="Times New Roman" w:eastAsia="Times New Roman" w:hAnsi="Times New Roman"/>
                <w:sz w:val="18"/>
                <w:szCs w:val="18"/>
                <w:color w:val="auto"/>
              </w:rPr>
              <w:t>Article 3. Covenants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306"/>
        </w:trPr>
        <w:tc>
          <w:tcPr>
            <w:tcW w:w="10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3.01. Payment on Notes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10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3.02. Exchange Act Reports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10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3.03. Rule 144A Information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10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3.04. Additional Interest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10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3.05. Compliance and Default Certificates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10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3.06. Stay, Extension and Usury Laws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4"/>
        </w:trPr>
        <w:tc>
          <w:tcPr>
            <w:tcW w:w="10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3.07. Acquisition of Notes by the Company, Holdings and their Respective Affiliates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 i -</w:t>
      </w:r>
    </w:p>
    <w:p>
      <w:pPr>
        <w:sectPr>
          <w:pgSz w:w="11900" w:h="16838" w:orient="portrait"/>
          <w:cols w:equalWidth="0" w:num="1">
            <w:col w:w="10960"/>
          </w:cols>
          <w:pgMar w:left="440" w:top="266" w:right="49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10600" w:type="dxa"/>
            <w:vAlign w:val="bottom"/>
          </w:tcPr>
          <w:p>
            <w:pPr>
              <w:spacing w:after="0"/>
              <w:rPr>
                <w:sz w:val="20"/>
                <w:szCs w:val="20"/>
                <w:color w:val="auto"/>
              </w:rPr>
            </w:pPr>
            <w:r>
              <w:rPr>
                <w:rFonts w:ascii="Times New Roman" w:cs="Times New Roman" w:eastAsia="Times New Roman" w:hAnsi="Times New Roman"/>
                <w:sz w:val="18"/>
                <w:szCs w:val="18"/>
                <w:color w:val="auto"/>
              </w:rPr>
              <w:t>Article 4. Repurchase and Redemption</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06"/>
        </w:trPr>
        <w:tc>
          <w:tcPr>
            <w:tcW w:w="10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4.01. No Sinking Fund</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0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4.02. Right of Holders to Require the Company to Repurchase Notes Upon a Fundamental Change</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4"/>
        </w:trPr>
        <w:tc>
          <w:tcPr>
            <w:tcW w:w="10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4.03. Right of the Company to Redeem the Notes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324"/>
        </w:trPr>
        <w:tc>
          <w:tcPr>
            <w:tcW w:w="10600" w:type="dxa"/>
            <w:vAlign w:val="bottom"/>
          </w:tcPr>
          <w:p>
            <w:pPr>
              <w:spacing w:after="0"/>
              <w:rPr>
                <w:sz w:val="20"/>
                <w:szCs w:val="20"/>
                <w:color w:val="auto"/>
              </w:rPr>
            </w:pPr>
            <w:r>
              <w:rPr>
                <w:rFonts w:ascii="Times New Roman" w:cs="Times New Roman" w:eastAsia="Times New Roman" w:hAnsi="Times New Roman"/>
                <w:sz w:val="18"/>
                <w:szCs w:val="18"/>
                <w:color w:val="auto"/>
              </w:rPr>
              <w:t>Article 5. Exchange</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306"/>
        </w:trPr>
        <w:tc>
          <w:tcPr>
            <w:tcW w:w="10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5.01. Right to Exchange</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0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5.02. Exchange Procedures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0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5.03. Settlement Upon Exchange</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10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5.04. Reserve and Status of Common Stock Delivered Upon Exchange</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0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5.05. Adjustments to the Exchange Rate</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0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5.06. Voluntary Adjustments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10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5.07. Adjustments to the Exchange Rate in Connection with a Make-Whole Fundamental Change</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10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5.08. Transfer of Notes to Be Exchanged to a Third Party for Settlement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34"/>
        </w:trPr>
        <w:tc>
          <w:tcPr>
            <w:tcW w:w="10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5.09. Effect of Common Stock Change Event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324"/>
        </w:trPr>
        <w:tc>
          <w:tcPr>
            <w:tcW w:w="10600" w:type="dxa"/>
            <w:vAlign w:val="bottom"/>
          </w:tcPr>
          <w:p>
            <w:pPr>
              <w:spacing w:after="0"/>
              <w:rPr>
                <w:sz w:val="20"/>
                <w:szCs w:val="20"/>
                <w:color w:val="auto"/>
              </w:rPr>
            </w:pPr>
            <w:r>
              <w:rPr>
                <w:rFonts w:ascii="Times New Roman" w:cs="Times New Roman" w:eastAsia="Times New Roman" w:hAnsi="Times New Roman"/>
                <w:sz w:val="18"/>
                <w:szCs w:val="18"/>
                <w:color w:val="auto"/>
              </w:rPr>
              <w:t>Article 6. Successors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306"/>
        </w:trPr>
        <w:tc>
          <w:tcPr>
            <w:tcW w:w="10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6.01. When the Company May Merge, Etc.</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10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6.02. Company Successor Entity Substituted</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34"/>
        </w:trPr>
        <w:tc>
          <w:tcPr>
            <w:tcW w:w="10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6.03. Exclusion for Asset Transfers with Wholly Owned Subsidiaries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324"/>
        </w:trPr>
        <w:tc>
          <w:tcPr>
            <w:tcW w:w="10600" w:type="dxa"/>
            <w:vAlign w:val="bottom"/>
          </w:tcPr>
          <w:p>
            <w:pPr>
              <w:spacing w:after="0"/>
              <w:rPr>
                <w:sz w:val="20"/>
                <w:szCs w:val="20"/>
                <w:color w:val="auto"/>
              </w:rPr>
            </w:pPr>
            <w:r>
              <w:rPr>
                <w:rFonts w:ascii="Times New Roman" w:cs="Times New Roman" w:eastAsia="Times New Roman" w:hAnsi="Times New Roman"/>
                <w:sz w:val="18"/>
                <w:szCs w:val="18"/>
                <w:color w:val="auto"/>
              </w:rPr>
              <w:t>Article 7. Defaults and Remedies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306"/>
        </w:trPr>
        <w:tc>
          <w:tcPr>
            <w:tcW w:w="10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7.01. Events of Default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10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7.02. Acceleration</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10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7.03. Sole Remedy for a Failure to Report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10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7.04. Other Remedies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10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7.05. Waiver of Past Defaults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10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7.06. Control by Majority</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10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7.07. Limitation on Suits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10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7.08. Absolute Right of Holders to Institute Suit for the Enforcement of the Right to Receive Payment and Exchange Consideration</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10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7.09. Collection Suit by Trustee</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10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7.10. Trustee May File Proofs of Claim</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10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7.11. Priorities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34"/>
        </w:trPr>
        <w:tc>
          <w:tcPr>
            <w:tcW w:w="10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7.12. Undertaking for Costs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306"/>
        </w:trPr>
        <w:tc>
          <w:tcPr>
            <w:tcW w:w="10600" w:type="dxa"/>
            <w:vAlign w:val="bottom"/>
          </w:tcPr>
          <w:p>
            <w:pPr>
              <w:spacing w:after="0"/>
              <w:rPr>
                <w:sz w:val="20"/>
                <w:szCs w:val="20"/>
                <w:color w:val="auto"/>
              </w:rPr>
            </w:pPr>
            <w:r>
              <w:rPr>
                <w:rFonts w:ascii="Times New Roman" w:cs="Times New Roman" w:eastAsia="Times New Roman" w:hAnsi="Times New Roman"/>
                <w:sz w:val="18"/>
                <w:szCs w:val="18"/>
                <w:color w:val="auto"/>
              </w:rPr>
              <w:t>Article 8. Amendments, Supplements and Waivers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10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8.01. Without the Consent of Holders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10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8.02. With the Consent of Holders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10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8.03. Notice of Amendments, Supplements and Waivers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10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8.04. Revocation, Effect and Solicitation of Consents; Special Record Dates; Etc.</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10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8.05. Notations and Exchanges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34"/>
        </w:trPr>
        <w:tc>
          <w:tcPr>
            <w:tcW w:w="10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8.06. Trustee to Execute Supplemental Indentures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 ii -</w:t>
      </w:r>
    </w:p>
    <w:p>
      <w:pPr>
        <w:sectPr>
          <w:pgSz w:w="11900" w:h="16838" w:orient="portrait"/>
          <w:cols w:equalWidth="0" w:num="1">
            <w:col w:w="10960"/>
          </w:cols>
          <w:pgMar w:left="440" w:top="378" w:right="49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w w:val="99"/>
              </w:rPr>
              <w:t>Article 9. Guarantee</w:t>
            </w:r>
          </w:p>
        </w:tc>
        <w:tc>
          <w:tcPr>
            <w:tcW w:w="76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306"/>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9.01.</w:t>
            </w:r>
          </w:p>
        </w:tc>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Guarantee</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9.02.</w:t>
            </w:r>
          </w:p>
        </w:tc>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Limitation on Guarantor Liability</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9.03.</w:t>
            </w:r>
          </w:p>
        </w:tc>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Execution and Delivery of Guarantee</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9.04.</w:t>
            </w:r>
          </w:p>
        </w:tc>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Subsidiary Guarantors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9.05.</w:t>
            </w:r>
          </w:p>
        </w:tc>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When Holdings May Merge, Etc.</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9.06.</w:t>
            </w:r>
          </w:p>
        </w:tc>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When the Subsidiary Guarantors May Merge, Etc.</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9.07.</w:t>
            </w:r>
          </w:p>
        </w:tc>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Application of Certain Provisions to the Guarantors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34"/>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9.08.</w:t>
            </w:r>
          </w:p>
        </w:tc>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Release of a Guarantee</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324"/>
        </w:trPr>
        <w:tc>
          <w:tcPr>
            <w:tcW w:w="9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10. Satisfaction and Discharge</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306"/>
        </w:trPr>
        <w:tc>
          <w:tcPr>
            <w:tcW w:w="9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10.01. Termination of Company’s Obligations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9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10.02. Repayment to Company</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34"/>
        </w:trPr>
        <w:tc>
          <w:tcPr>
            <w:tcW w:w="9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10.03. Reinstatement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324"/>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Article 11. Trustee</w:t>
            </w:r>
          </w:p>
        </w:tc>
        <w:tc>
          <w:tcPr>
            <w:tcW w:w="768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306"/>
        </w:trPr>
        <w:tc>
          <w:tcPr>
            <w:tcW w:w="9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11.01. Duties of the Trustee</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9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11.02. Rights of the Trustee</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9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11.03. Individual Rights of the Trustee</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9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11.04. Trustee’s Disclaimer</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9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11.05. Notice of Defaults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9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11.06. Compensation and Indemnity</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9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11.07. Replacement of the Trustee</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9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11.08. Successor Trustee by Merger, Etc.</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34"/>
        </w:trPr>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11.09.</w:t>
            </w:r>
          </w:p>
        </w:tc>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Eligibility; Disqualification</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324"/>
        </w:trPr>
        <w:tc>
          <w:tcPr>
            <w:tcW w:w="9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12. Miscellaneous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306"/>
        </w:trPr>
        <w:tc>
          <w:tcPr>
            <w:tcW w:w="9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12.01. Notices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9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12.02. Delivery of Officer’s Certificate and Opinion of Counsel as to Conditions Precedent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9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12.03. Statements Required in Officer’s Certificate and Opinion of Counsel</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9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12.04. Rules by the Trustee, the Registrar, the Paying Agent and the Exchange Agent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9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12.05. No Personal Liability of Directors, Officers, Employees and Stockholders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9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12.06. Governing Law; Waiver of Jury Trial</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9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12.07. Submission to Jurisdiction</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9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12.08. No Adverse Interpretation of Other Agreements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9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12.09. Successors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9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12.10. Force Majeure</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9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12.11. U.S.A. PATRIOT Act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9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12.12. Calculations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9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12.13. Severability</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9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12.14. Counterparts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9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12.15. Table of Contents, Headings, Etc.</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34"/>
        </w:trPr>
        <w:tc>
          <w:tcPr>
            <w:tcW w:w="9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12.16. Withholding Taxes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 iii -</w:t>
      </w:r>
    </w:p>
    <w:p>
      <w:pPr>
        <w:sectPr>
          <w:pgSz w:w="11900" w:h="16838" w:orient="portrait"/>
          <w:cols w:equalWidth="0" w:num="1">
            <w:col w:w="10960"/>
          </w:cols>
          <w:pgMar w:left="440" w:top="378" w:right="49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6"/>
              </w:rPr>
              <w:t>Exhibits</w:t>
            </w:r>
          </w:p>
        </w:tc>
        <w:tc>
          <w:tcPr>
            <w:tcW w:w="3700" w:type="dxa"/>
            <w:vAlign w:val="bottom"/>
          </w:tcPr>
          <w:p>
            <w:pPr>
              <w:spacing w:after="0"/>
              <w:rPr>
                <w:sz w:val="17"/>
                <w:szCs w:val="17"/>
                <w:color w:val="auto"/>
              </w:rPr>
            </w:pPr>
          </w:p>
        </w:tc>
        <w:tc>
          <w:tcPr>
            <w:tcW w:w="6300" w:type="dxa"/>
            <w:vAlign w:val="bottom"/>
          </w:tcPr>
          <w:p>
            <w:pPr>
              <w:spacing w:after="0"/>
              <w:rPr>
                <w:sz w:val="17"/>
                <w:szCs w:val="17"/>
                <w:color w:val="auto"/>
              </w:rPr>
            </w:pPr>
          </w:p>
        </w:tc>
      </w:tr>
      <w:tr>
        <w:trPr>
          <w:trHeight w:val="358"/>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A: Form of Note</w:t>
            </w:r>
          </w:p>
        </w:tc>
        <w:tc>
          <w:tcPr>
            <w:tcW w:w="6300" w:type="dxa"/>
            <w:vAlign w:val="bottom"/>
          </w:tcPr>
          <w:p>
            <w:pPr>
              <w:ind w:left="5940"/>
              <w:spacing w:after="0"/>
              <w:rPr>
                <w:sz w:val="20"/>
                <w:szCs w:val="20"/>
                <w:color w:val="auto"/>
              </w:rPr>
            </w:pPr>
            <w:r>
              <w:rPr>
                <w:rFonts w:ascii="Times New Roman" w:cs="Times New Roman" w:eastAsia="Times New Roman" w:hAnsi="Times New Roman"/>
                <w:sz w:val="18"/>
                <w:szCs w:val="18"/>
                <w:color w:val="auto"/>
              </w:rPr>
              <w:t>A-1</w:t>
            </w:r>
          </w:p>
        </w:tc>
      </w:tr>
      <w:tr>
        <w:trPr>
          <w:trHeight w:val="324"/>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B-1: Form of Restricted Note Legend</w:t>
            </w:r>
          </w:p>
        </w:tc>
        <w:tc>
          <w:tcPr>
            <w:tcW w:w="6300" w:type="dxa"/>
            <w:vAlign w:val="bottom"/>
          </w:tcPr>
          <w:p>
            <w:pPr>
              <w:ind w:left="5940"/>
              <w:spacing w:after="0"/>
              <w:rPr>
                <w:sz w:val="20"/>
                <w:szCs w:val="20"/>
                <w:color w:val="auto"/>
              </w:rPr>
            </w:pPr>
            <w:r>
              <w:rPr>
                <w:rFonts w:ascii="Times New Roman" w:cs="Times New Roman" w:eastAsia="Times New Roman" w:hAnsi="Times New Roman"/>
                <w:sz w:val="18"/>
                <w:szCs w:val="18"/>
                <w:color w:val="auto"/>
                <w:w w:val="94"/>
              </w:rPr>
              <w:t>B1-1</w:t>
            </w:r>
          </w:p>
        </w:tc>
      </w:tr>
      <w:tr>
        <w:trPr>
          <w:trHeight w:val="324"/>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B-2: Form of Global Note Legend</w:t>
            </w:r>
          </w:p>
        </w:tc>
        <w:tc>
          <w:tcPr>
            <w:tcW w:w="6300" w:type="dxa"/>
            <w:vAlign w:val="bottom"/>
          </w:tcPr>
          <w:p>
            <w:pPr>
              <w:ind w:left="5940"/>
              <w:spacing w:after="0"/>
              <w:rPr>
                <w:sz w:val="20"/>
                <w:szCs w:val="20"/>
                <w:color w:val="auto"/>
              </w:rPr>
            </w:pPr>
            <w:r>
              <w:rPr>
                <w:rFonts w:ascii="Times New Roman" w:cs="Times New Roman" w:eastAsia="Times New Roman" w:hAnsi="Times New Roman"/>
                <w:sz w:val="18"/>
                <w:szCs w:val="18"/>
                <w:color w:val="auto"/>
                <w:w w:val="94"/>
              </w:rPr>
              <w:t>B2-1</w:t>
            </w:r>
          </w:p>
        </w:tc>
      </w:tr>
      <w:tr>
        <w:trPr>
          <w:trHeight w:val="324"/>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B-3: Form of Non-Affiliate Legend</w:t>
            </w:r>
          </w:p>
        </w:tc>
        <w:tc>
          <w:tcPr>
            <w:tcW w:w="6300" w:type="dxa"/>
            <w:vAlign w:val="bottom"/>
          </w:tcPr>
          <w:p>
            <w:pPr>
              <w:ind w:left="5940"/>
              <w:spacing w:after="0"/>
              <w:rPr>
                <w:sz w:val="20"/>
                <w:szCs w:val="20"/>
                <w:color w:val="auto"/>
              </w:rPr>
            </w:pPr>
            <w:r>
              <w:rPr>
                <w:rFonts w:ascii="Times New Roman" w:cs="Times New Roman" w:eastAsia="Times New Roman" w:hAnsi="Times New Roman"/>
                <w:sz w:val="18"/>
                <w:szCs w:val="18"/>
                <w:color w:val="auto"/>
                <w:w w:val="94"/>
              </w:rPr>
              <w:t>B3-1</w:t>
            </w:r>
          </w:p>
        </w:tc>
      </w:tr>
      <w:tr>
        <w:trPr>
          <w:trHeight w:val="364"/>
        </w:trPr>
        <w:tc>
          <w:tcPr>
            <w:tcW w:w="6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630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 iv -</w:t>
            </w:r>
          </w:p>
        </w:tc>
      </w:tr>
    </w:tbl>
    <w:p>
      <w:pPr>
        <w:ind w:left="1020"/>
        <w:spacing w:after="0"/>
        <w:rPr>
          <w:sz w:val="20"/>
          <w:szCs w:val="20"/>
          <w:color w:val="auto"/>
        </w:rPr>
        <w:sectPr>
          <w:pgSz w:w="11900" w:h="16838" w:orient="portrait"/>
          <w:cols w:equalWidth="0" w:num="1">
            <w:col w:w="10600"/>
          </w:cols>
          <w:pgMar w:left="440" w:top="365" w:right="85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3" w:name="page14"/>
    <w:bookmarkEnd w:id="13"/>
    <w:p>
      <w:pPr>
        <w:ind w:right="1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INDENTURE</w:t>
      </w:r>
      <w:r>
        <w:rPr>
          <w:rFonts w:ascii="Times New Roman" w:cs="Times New Roman" w:eastAsia="Times New Roman" w:hAnsi="Times New Roman"/>
          <w:sz w:val="18"/>
          <w:szCs w:val="18"/>
          <w:color w:val="auto"/>
        </w:rPr>
        <w:t>, dated as of May 23, 2024, among Spectrum Brands, Inc., a Delaware corporation, as issuer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Spectrum Brands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Holdings, Inc., a Delaware corporation (“</w:t>
      </w:r>
      <w:r>
        <w:rPr>
          <w:rFonts w:ascii="Times New Roman" w:cs="Times New Roman" w:eastAsia="Times New Roman" w:hAnsi="Times New Roman"/>
          <w:sz w:val="18"/>
          <w:szCs w:val="18"/>
          <w:b w:val="1"/>
          <w:bCs w:val="1"/>
          <w:color w:val="auto"/>
        </w:rPr>
        <w:t>Holdings</w:t>
      </w:r>
      <w:r>
        <w:rPr>
          <w:rFonts w:ascii="Times New Roman" w:cs="Times New Roman" w:eastAsia="Times New Roman" w:hAnsi="Times New Roman"/>
          <w:sz w:val="18"/>
          <w:szCs w:val="18"/>
          <w:color w:val="auto"/>
        </w:rPr>
        <w:t>”) and the Subsidiary Guarantors (as defined below) and U.S. Bank Trust Company, National Association,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Each party to this Indenture (as defined below) agrees as follows for the benefit of the other parties and for the equal and ratable benefit of the Holders (as defined below) of the Company’s 3.375% Exchangeable Senior Notes due 2029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w:t>
      </w:r>
    </w:p>
    <w:p>
      <w:pPr>
        <w:spacing w:after="0" w:line="37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Article 1. DEFINITIONS; RULES OF CONSTRUCTION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1.01. D</w:t>
      </w:r>
      <w:r>
        <w:rPr>
          <w:rFonts w:ascii="Times New Roman" w:cs="Times New Roman" w:eastAsia="Times New Roman" w:hAnsi="Times New Roman"/>
          <w:sz w:val="14"/>
          <w:szCs w:val="14"/>
          <w:b w:val="1"/>
          <w:bCs w:val="1"/>
          <w:color w:val="auto"/>
        </w:rPr>
        <w:t>EFINITIONS</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Interest</w:t>
      </w:r>
      <w:r>
        <w:rPr>
          <w:rFonts w:ascii="Times New Roman" w:cs="Times New Roman" w:eastAsia="Times New Roman" w:hAnsi="Times New Roman"/>
          <w:sz w:val="18"/>
          <w:szCs w:val="18"/>
          <w:color w:val="auto"/>
        </w:rPr>
        <w:t xml:space="preserve">” means any interest that accrues on any Note pursuant to </w:t>
      </w:r>
      <w:r>
        <w:rPr>
          <w:rFonts w:ascii="Times New Roman" w:cs="Times New Roman" w:eastAsia="Times New Roman" w:hAnsi="Times New Roman"/>
          <w:sz w:val="18"/>
          <w:szCs w:val="18"/>
          <w:b w:val="1"/>
          <w:bCs w:val="1"/>
          <w:color w:val="auto"/>
        </w:rPr>
        <w:t>Section 3.04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has the meaning set forth in Rule 144 as in effect on the Issue Date.</w:t>
      </w:r>
    </w:p>
    <w:p>
      <w:pPr>
        <w:spacing w:after="0" w:line="225" w:lineRule="exact"/>
        <w:rPr>
          <w:sz w:val="20"/>
          <w:szCs w:val="20"/>
          <w:color w:val="auto"/>
        </w:rPr>
      </w:pPr>
    </w:p>
    <w:p>
      <w:pPr>
        <w:ind w:right="3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Authorized Denomination</w:t>
      </w:r>
      <w:r>
        <w:rPr>
          <w:rFonts w:ascii="Times New Roman" w:cs="Times New Roman" w:eastAsia="Times New Roman" w:hAnsi="Times New Roman"/>
          <w:sz w:val="18"/>
          <w:szCs w:val="18"/>
          <w:color w:val="auto"/>
        </w:rPr>
        <w:t>” means, with respect to a Note, a principal amount thereof equal to $1,000 or any integral multiple of $1,000 in excess thereof.</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Bankruptcy Law</w:t>
      </w:r>
      <w:r>
        <w:rPr>
          <w:rFonts w:ascii="Times New Roman" w:cs="Times New Roman" w:eastAsia="Times New Roman" w:hAnsi="Times New Roman"/>
          <w:sz w:val="18"/>
          <w:szCs w:val="18"/>
          <w:color w:val="auto"/>
        </w:rPr>
        <w:t>” means Title 11, United States Code, or any similar U.S. federal or state or non-U.S. law for the relief of debtors.</w:t>
      </w:r>
    </w:p>
    <w:p>
      <w:pPr>
        <w:spacing w:after="0" w:line="225" w:lineRule="exact"/>
        <w:rPr>
          <w:sz w:val="20"/>
          <w:szCs w:val="20"/>
          <w:color w:val="auto"/>
        </w:rPr>
      </w:pPr>
    </w:p>
    <w:p>
      <w:pPr>
        <w:ind w:right="4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Bid Solicitation Agent</w:t>
      </w:r>
      <w:r>
        <w:rPr>
          <w:rFonts w:ascii="Times New Roman" w:cs="Times New Roman" w:eastAsia="Times New Roman" w:hAnsi="Times New Roman"/>
          <w:sz w:val="18"/>
          <w:szCs w:val="18"/>
          <w:color w:val="auto"/>
        </w:rPr>
        <w:t xml:space="preserve">” means the Person who is required to obtain bids for the Trading Price in accordance with </w:t>
      </w:r>
      <w:r>
        <w:rPr>
          <w:rFonts w:ascii="Times New Roman" w:cs="Times New Roman" w:eastAsia="Times New Roman" w:hAnsi="Times New Roman"/>
          <w:sz w:val="18"/>
          <w:szCs w:val="18"/>
          <w:b w:val="1"/>
          <w:bCs w:val="1"/>
          <w:color w:val="auto"/>
        </w:rPr>
        <w:t>Section 5.01(C)(i)(2</w:t>
      </w:r>
      <w:r>
        <w:rPr>
          <w:rFonts w:ascii="Times New Roman" w:cs="Times New Roman" w:eastAsia="Times New Roman" w:hAnsi="Times New Roman"/>
          <w:sz w:val="18"/>
          <w:szCs w:val="18"/>
          <w:color w:val="auto"/>
        </w:rPr>
        <w:t xml:space="preserve">) and the definition of “Trading Price.” The initial Bid Solicitation Agent on the Issue Date will be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may appoint any other Person (including Holdings or any of the Company’s Subsidiaries) to be the Bid Solicitation Agent at any time after the Issue Date without prior notice.</w:t>
      </w:r>
    </w:p>
    <w:p>
      <w:pPr>
        <w:spacing w:after="0" w:line="176" w:lineRule="exact"/>
        <w:rPr>
          <w:sz w:val="20"/>
          <w:szCs w:val="20"/>
          <w:color w:val="auto"/>
        </w:rPr>
      </w:pPr>
    </w:p>
    <w:p>
      <w:pPr>
        <w:ind w:right="1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means the board of directors (or, in the case of a non-corporate entity, the equivalent governing body) of the Company or Holdings, as the context requires, or a committee of such board (or governing body) duly authorized to act on behalf of such board.</w:t>
      </w:r>
    </w:p>
    <w:p>
      <w:pPr>
        <w:spacing w:after="0" w:line="155" w:lineRule="exact"/>
        <w:rPr>
          <w:sz w:val="20"/>
          <w:szCs w:val="20"/>
          <w:color w:val="auto"/>
        </w:rPr>
      </w:pPr>
    </w:p>
    <w:p>
      <w:pPr>
        <w:ind w:right="3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other than a Saturday, a Sunday or any day on which the Federal Reserve Bank of New York is authorized or required by law or executive order to close or be closed.</w:t>
      </w:r>
    </w:p>
    <w:p>
      <w:pPr>
        <w:spacing w:after="0" w:line="155"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Stock</w:t>
      </w:r>
      <w:r>
        <w:rPr>
          <w:rFonts w:ascii="Times New Roman" w:cs="Times New Roman" w:eastAsia="Times New Roman" w:hAnsi="Times New Roman"/>
          <w:sz w:val="18"/>
          <w:szCs w:val="18"/>
          <w:color w:val="auto"/>
        </w:rPr>
        <w:t>” of any Person means any and all shares of, interests in, rights to purchase, warrants or options for, participations in, or other equivalents of, in each case however designated, the equity of such Person, but excluding any debt securities convertible into, or exchangeable for, such equity.</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Close of Business</w:t>
      </w:r>
      <w:r>
        <w:rPr>
          <w:rFonts w:ascii="Times New Roman" w:cs="Times New Roman" w:eastAsia="Times New Roman" w:hAnsi="Times New Roman"/>
          <w:sz w:val="18"/>
          <w:szCs w:val="18"/>
          <w:color w:val="auto"/>
        </w:rPr>
        <w:t>” means 5:00 p.m., New York City time.</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- 1 -</w:t>
      </w:r>
    </w:p>
    <w:p>
      <w:pPr>
        <w:sectPr>
          <w:pgSz w:w="11900" w:h="16838" w:orient="portrait"/>
          <w:cols w:equalWidth="0" w:num="1">
            <w:col w:w="10920"/>
          </w:cols>
          <w:pgMar w:left="440" w:top="266" w:right="539" w:bottom="1440" w:gutter="0" w:footer="0" w:header="0"/>
        </w:sectPr>
      </w:pPr>
    </w:p>
    <w:bookmarkStart w:id="14" w:name="page15"/>
    <w:bookmarkEnd w:id="14"/>
    <w:p>
      <w:pPr>
        <w:ind w:right="80" w:firstLine="4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Common Equity</w:t>
      </w:r>
      <w:r>
        <w:rPr>
          <w:rFonts w:ascii="Times New Roman" w:cs="Times New Roman" w:eastAsia="Times New Roman" w:hAnsi="Times New Roman"/>
          <w:sz w:val="18"/>
          <w:szCs w:val="18"/>
          <w:color w:val="auto"/>
        </w:rPr>
        <w:t>” of any Person means the Capital Stock of such Person that is generally entitled (A) to vote in the election of directors of such Person; or (B) if such Person is not a corporation, to vote or otherwise participate in the selection of the governing body, partners, managers or others that will control the management or policies of such Person.</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xml:space="preserve">” means the common stock, $0.01 par value per share, of Holdings, subject to </w:t>
      </w:r>
      <w:r>
        <w:rPr>
          <w:rFonts w:ascii="Times New Roman" w:cs="Times New Roman" w:eastAsia="Times New Roman" w:hAnsi="Times New Roman"/>
          <w:sz w:val="18"/>
          <w:szCs w:val="18"/>
          <w:b w:val="1"/>
          <w:bCs w:val="1"/>
          <w:color w:val="auto"/>
        </w:rPr>
        <w:t>Section 5.09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means the Person named as such in the first paragraph of this Indenture and, subject to </w:t>
      </w:r>
      <w:r>
        <w:rPr>
          <w:rFonts w:ascii="Times New Roman" w:cs="Times New Roman" w:eastAsia="Times New Roman" w:hAnsi="Times New Roman"/>
          <w:sz w:val="18"/>
          <w:szCs w:val="18"/>
          <w:b w:val="1"/>
          <w:bCs w:val="1"/>
          <w:color w:val="auto"/>
        </w:rPr>
        <w:t>Article 6</w:t>
      </w:r>
      <w:r>
        <w:rPr>
          <w:rFonts w:ascii="Times New Roman" w:cs="Times New Roman" w:eastAsia="Times New Roman" w:hAnsi="Times New Roman"/>
          <w:sz w:val="18"/>
          <w:szCs w:val="18"/>
          <w:color w:val="auto"/>
        </w:rPr>
        <w:t>, its successors and assigns.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Order</w:t>
      </w:r>
      <w:r>
        <w:rPr>
          <w:rFonts w:ascii="Times New Roman" w:cs="Times New Roman" w:eastAsia="Times New Roman" w:hAnsi="Times New Roman"/>
          <w:sz w:val="18"/>
          <w:szCs w:val="18"/>
          <w:color w:val="auto"/>
        </w:rPr>
        <w:t>” means a written request or order signed on behalf of the Company by one (1) of its Officers and delivered to the Trustee.</w:t>
      </w:r>
    </w:p>
    <w:p>
      <w:pPr>
        <w:spacing w:after="0" w:line="225" w:lineRule="exact"/>
        <w:rPr>
          <w:sz w:val="20"/>
          <w:szCs w:val="20"/>
          <w:color w:val="auto"/>
        </w:rPr>
      </w:pPr>
    </w:p>
    <w:p>
      <w:pPr>
        <w:ind w:right="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Covered Debt Securities</w:t>
      </w:r>
      <w:r>
        <w:rPr>
          <w:rFonts w:ascii="Times New Roman" w:cs="Times New Roman" w:eastAsia="Times New Roman" w:hAnsi="Times New Roman"/>
          <w:sz w:val="18"/>
          <w:szCs w:val="18"/>
          <w:color w:val="auto"/>
        </w:rPr>
        <w:t>” means any debt securities issued by the Company or Holdings in the form of senior unsecured notes or convertible or exchangeable notes.</w:t>
      </w:r>
    </w:p>
    <w:p>
      <w:pPr>
        <w:spacing w:after="0" w:line="155" w:lineRule="exact"/>
        <w:rPr>
          <w:sz w:val="20"/>
          <w:szCs w:val="20"/>
          <w:color w:val="auto"/>
        </w:rPr>
      </w:pPr>
    </w:p>
    <w:p>
      <w:pPr>
        <w:ind w:right="5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Daily Cash Amount</w:t>
      </w:r>
      <w:r>
        <w:rPr>
          <w:rFonts w:ascii="Times New Roman" w:cs="Times New Roman" w:eastAsia="Times New Roman" w:hAnsi="Times New Roman"/>
          <w:sz w:val="18"/>
          <w:szCs w:val="18"/>
          <w:color w:val="auto"/>
        </w:rPr>
        <w:t>” means, with respect to any VWAP Trading Day, the lesser of (A) the applicable Daily Maximum Cash Amount; and (B) the Daily Exchange Value for such VWAP Trading Day.</w:t>
      </w:r>
    </w:p>
    <w:p>
      <w:pPr>
        <w:spacing w:after="0" w:line="155" w:lineRule="exact"/>
        <w:rPr>
          <w:sz w:val="20"/>
          <w:szCs w:val="20"/>
          <w:color w:val="auto"/>
        </w:rPr>
      </w:pPr>
    </w:p>
    <w:p>
      <w:pPr>
        <w:ind w:right="1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Daily Exchange Value</w:t>
      </w:r>
      <w:r>
        <w:rPr>
          <w:rFonts w:ascii="Times New Roman" w:cs="Times New Roman" w:eastAsia="Times New Roman" w:hAnsi="Times New Roman"/>
          <w:sz w:val="18"/>
          <w:szCs w:val="18"/>
          <w:color w:val="auto"/>
        </w:rPr>
        <w:t>” means, with respect to any VWAP Trading Day, one-fortieth (1/40th) of the product of (A) the Exchange Rate on such VWAP Trading Day; and (B) the Daily VWAP per share of Common Stock on such VWAP Trading Day.</w:t>
      </w:r>
    </w:p>
    <w:p>
      <w:pPr>
        <w:spacing w:after="0" w:line="155" w:lineRule="exact"/>
        <w:rPr>
          <w:sz w:val="20"/>
          <w:szCs w:val="20"/>
          <w:color w:val="auto"/>
        </w:rPr>
      </w:pPr>
    </w:p>
    <w:p>
      <w:pPr>
        <w:ind w:right="2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Daily Maximum Cash Amount</w:t>
      </w:r>
      <w:r>
        <w:rPr>
          <w:rFonts w:ascii="Times New Roman" w:cs="Times New Roman" w:eastAsia="Times New Roman" w:hAnsi="Times New Roman"/>
          <w:sz w:val="18"/>
          <w:szCs w:val="18"/>
          <w:color w:val="auto"/>
        </w:rPr>
        <w:t>” means, with respect to the Exchange of any Note, the quotient obtained by dividing (A) the Specified Dollar Amount applicable to such Exchange by (B) forty (40).</w:t>
      </w:r>
    </w:p>
    <w:p>
      <w:pPr>
        <w:spacing w:after="0" w:line="155"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Daily Share Amount</w:t>
      </w:r>
      <w:r>
        <w:rPr>
          <w:rFonts w:ascii="Times New Roman" w:cs="Times New Roman" w:eastAsia="Times New Roman" w:hAnsi="Times New Roman"/>
          <w:sz w:val="18"/>
          <w:szCs w:val="18"/>
          <w:color w:val="auto"/>
        </w:rPr>
        <w:t>” means, with respect to any VWAP Trading Day, the quotient obtained by dividing (A) the excess, if any, of the Daily Exchange Value for such VWAP Trading Day over the applicable Daily Maximum Cash Amount by (B) the Daily VWAP for such VWAP Trading Day. For the avoidance of doubt, the Daily Share Amount will be zero for such VWAP Trading Day if such Daily Exchange Value does not exceed such Daily Maximum Cash Amount.</w:t>
      </w:r>
    </w:p>
    <w:p>
      <w:pPr>
        <w:spacing w:after="0" w:line="176"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Daily VWAP</w:t>
      </w:r>
      <w:r>
        <w:rPr>
          <w:rFonts w:ascii="Times New Roman" w:cs="Times New Roman" w:eastAsia="Times New Roman" w:hAnsi="Times New Roman"/>
          <w:sz w:val="18"/>
          <w:szCs w:val="18"/>
          <w:color w:val="auto"/>
        </w:rPr>
        <w:t>” means, for any VWAP Trading Day, the per share volume-weighted average price of the Common Stock as displayed under the heading “Bloomberg VWAP” on Bloomberg page “SPB &lt;EQUITY&gt; AQR” (or, if such page is not available, its equivalent successor page) in respect of the period from the scheduled open of trading until the scheduled close of trading of the primary trading session on such VWAP Trading Day (or, if such volume-weighted average price is unavailable, the market value of one share of Common Stock on such VWAP Trading Day determined, using a volume-weighted average price method, by a nationally recognized independent investment banking firm selected by the Company, which may be any of the Initial Purchasers). The Daily VWAP will be determined without regard to after-hours trading or any other trading outside of the regular trading session.</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- 2 -</w:t>
      </w:r>
    </w:p>
    <w:p>
      <w:pPr>
        <w:sectPr>
          <w:pgSz w:w="11900" w:h="16838" w:orient="portrait"/>
          <w:cols w:equalWidth="0" w:num="1">
            <w:col w:w="11000"/>
          </w:cols>
          <w:pgMar w:left="440" w:top="266" w:right="459" w:bottom="1440" w:gutter="0" w:footer="0" w:header="0"/>
        </w:sectPr>
      </w:pPr>
    </w:p>
    <w:bookmarkStart w:id="15" w:name="page16"/>
    <w:bookmarkEnd w:id="15"/>
    <w:p>
      <w:pPr>
        <w:ind w:right="80" w:firstLine="44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De-Legending Deadline Date</w:t>
      </w:r>
      <w:r>
        <w:rPr>
          <w:rFonts w:ascii="Times New Roman" w:cs="Times New Roman" w:eastAsia="Times New Roman" w:hAnsi="Times New Roman"/>
          <w:sz w:val="18"/>
          <w:szCs w:val="18"/>
          <w:color w:val="auto"/>
        </w:rPr>
        <w:t xml:space="preserve">” means, with respect to any Note, the fifteenth (15th) day after the Free Trade Date of such Note;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the De-Legending Deadline Date determined as aforesaid would be after a Regular Record Date and before the fifth (5th) Business Day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immediately after the next Interest Payment Date, then the De-Legending Deadline Date for such Note will instead be the fifth (5th) Business Day immediately after such Interest Payment Date.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means any event that is (or, after notice, passage of time or both, would be) an Event of Default.</w:t>
      </w:r>
    </w:p>
    <w:p>
      <w:pPr>
        <w:spacing w:after="0" w:line="225" w:lineRule="exact"/>
        <w:rPr>
          <w:sz w:val="20"/>
          <w:szCs w:val="20"/>
          <w:color w:val="auto"/>
        </w:rPr>
      </w:pPr>
    </w:p>
    <w:p>
      <w:pPr>
        <w:ind w:right="6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 Settlement Method</w:t>
      </w:r>
      <w:r>
        <w:rPr>
          <w:rFonts w:ascii="Times New Roman" w:cs="Times New Roman" w:eastAsia="Times New Roman" w:hAnsi="Times New Roman"/>
          <w:sz w:val="18"/>
          <w:szCs w:val="18"/>
          <w:color w:val="auto"/>
        </w:rPr>
        <w:t xml:space="preserve">” means Combination Settlement with a Specified Dollar Amount of $1,000 per $1,000 principal amount of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(x)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5.03(A)(iii</w:t>
      </w:r>
      <w:r>
        <w:rPr>
          <w:rFonts w:ascii="Times New Roman" w:cs="Times New Roman" w:eastAsia="Times New Roman" w:hAnsi="Times New Roman"/>
          <w:sz w:val="18"/>
          <w:szCs w:val="18"/>
          <w:color w:val="auto"/>
        </w:rPr>
        <w:t>), the Company may, from time to time, change the Default Settlement Method, to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Settlement Method that the Company is then permitted to elect, by sending notice of the new Default Settlement Method to the Holders, the Trustee and the Exchange Agent; and (y) the Default Settlement Method will be subject to </w:t>
      </w:r>
      <w:r>
        <w:rPr>
          <w:rFonts w:ascii="Times New Roman" w:cs="Times New Roman" w:eastAsia="Times New Roman" w:hAnsi="Times New Roman"/>
          <w:sz w:val="18"/>
          <w:szCs w:val="18"/>
          <w:b w:val="1"/>
          <w:bCs w:val="1"/>
          <w:color w:val="auto"/>
        </w:rPr>
        <w:t>Section 5.03(A)(ii</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means The Depository Trust Company or its successor.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Depositary Participant</w:t>
      </w:r>
      <w:r>
        <w:rPr>
          <w:rFonts w:ascii="Times New Roman" w:cs="Times New Roman" w:eastAsia="Times New Roman" w:hAnsi="Times New Roman"/>
          <w:sz w:val="18"/>
          <w:szCs w:val="18"/>
          <w:color w:val="auto"/>
        </w:rPr>
        <w:t>” means any member of, or participant in, the Depositary.</w:t>
      </w:r>
    </w:p>
    <w:p>
      <w:pPr>
        <w:spacing w:after="0" w:line="225" w:lineRule="exact"/>
        <w:rPr>
          <w:sz w:val="20"/>
          <w:szCs w:val="20"/>
          <w:color w:val="auto"/>
        </w:rPr>
      </w:pPr>
    </w:p>
    <w:p>
      <w:pPr>
        <w:ind w:right="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Depositary Procedures</w:t>
      </w:r>
      <w:r>
        <w:rPr>
          <w:rFonts w:ascii="Times New Roman" w:cs="Times New Roman" w:eastAsia="Times New Roman" w:hAnsi="Times New Roman"/>
          <w:sz w:val="18"/>
          <w:szCs w:val="18"/>
          <w:color w:val="auto"/>
        </w:rPr>
        <w:t>” means, with respect to any Exchange, transfer, exchange or other transaction involving a Global Note or any beneficial interest therein, the rules and procedures of the Depositary applicable to such Exchange, transfer, exchange or transaction.</w:t>
      </w:r>
    </w:p>
    <w:p>
      <w:pPr>
        <w:spacing w:after="0" w:line="155" w:lineRule="exact"/>
        <w:rPr>
          <w:sz w:val="20"/>
          <w:szCs w:val="20"/>
          <w:color w:val="auto"/>
        </w:rPr>
      </w:pPr>
    </w:p>
    <w:p>
      <w:pPr>
        <w:ind w:right="6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Domestic Subsidiary</w:t>
      </w:r>
      <w:r>
        <w:rPr>
          <w:rFonts w:ascii="Times New Roman" w:cs="Times New Roman" w:eastAsia="Times New Roman" w:hAnsi="Times New Roman"/>
          <w:sz w:val="18"/>
          <w:szCs w:val="18"/>
          <w:color w:val="auto"/>
        </w:rPr>
        <w:t>” means any Subsidiary of the Company other than a Subsidiary that is (1) a “controlled foreign corporation” under Section 957 of the Internal Revenue Code of 1986, as amended or (2) a Subsidiary of any such controlled foreign corporation.</w:t>
      </w:r>
    </w:p>
    <w:p>
      <w:pPr>
        <w:spacing w:after="0" w:line="155" w:lineRule="exact"/>
        <w:rPr>
          <w:sz w:val="20"/>
          <w:szCs w:val="20"/>
          <w:color w:val="auto"/>
        </w:rPr>
      </w:pPr>
    </w:p>
    <w:p>
      <w:pPr>
        <w:ind w:right="16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Ex-Dividend Date</w:t>
      </w:r>
      <w:r>
        <w:rPr>
          <w:rFonts w:ascii="Times New Roman" w:cs="Times New Roman" w:eastAsia="Times New Roman" w:hAnsi="Times New Roman"/>
          <w:sz w:val="18"/>
          <w:szCs w:val="18"/>
          <w:color w:val="auto"/>
        </w:rPr>
        <w:t>” means, with respect to an issuance, dividend or distribution on the Common Stock, the first date on which shares of Common Stock trade on the applicable exchange or in the applicable market, regular way, without the right to receive such issuance, dividend or distribution (including pursuant to due bills or similar arrangements required by the relevant stock exchange). For the avoidance of doubt, any alternative trading convention on the applicable exchange or market in respect of the Common Stock under a separate ticker symbol or CUSIP number will not be considered “regular way” for this purpose.</w:t>
      </w:r>
    </w:p>
    <w:p>
      <w:pPr>
        <w:spacing w:after="0" w:line="179" w:lineRule="exact"/>
        <w:rPr>
          <w:sz w:val="20"/>
          <w:szCs w:val="20"/>
          <w:color w:val="auto"/>
        </w:rPr>
      </w:pPr>
    </w:p>
    <w:p>
      <w:pPr>
        <w:ind w:right="8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w:t>
      </w:r>
      <w:r>
        <w:rPr>
          <w:rFonts w:ascii="Times New Roman" w:cs="Times New Roman" w:eastAsia="Times New Roman" w:hAnsi="Times New Roman"/>
          <w:sz w:val="18"/>
          <w:szCs w:val="18"/>
          <w:color w:val="auto"/>
        </w:rPr>
        <w:t xml:space="preserve">” means, with respect to any Note, the exchange of such Note pursuant to </w:t>
      </w:r>
      <w:r>
        <w:rPr>
          <w:rFonts w:ascii="Times New Roman" w:cs="Times New Roman" w:eastAsia="Times New Roman" w:hAnsi="Times New Roman"/>
          <w:sz w:val="18"/>
          <w:szCs w:val="18"/>
          <w:b w:val="1"/>
          <w:bCs w:val="1"/>
          <w:color w:val="auto"/>
        </w:rPr>
        <w:t>Article 5</w:t>
      </w:r>
      <w:r>
        <w:rPr>
          <w:rFonts w:ascii="Times New Roman" w:cs="Times New Roman" w:eastAsia="Times New Roman" w:hAnsi="Times New Roman"/>
          <w:sz w:val="18"/>
          <w:szCs w:val="18"/>
          <w:color w:val="auto"/>
        </w:rPr>
        <w:t xml:space="preserve"> into Exchange Consideration. The terms “Exchanged,” “Exchanging” and “Exchangeable” have meanings correlative to the foregoing.</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U.S. Securities Exchange Act of 1934, as amended.</w:t>
      </w:r>
    </w:p>
    <w:p>
      <w:pPr>
        <w:spacing w:after="0" w:line="225" w:lineRule="exact"/>
        <w:rPr>
          <w:sz w:val="20"/>
          <w:szCs w:val="20"/>
          <w:color w:val="auto"/>
        </w:rPr>
      </w:pPr>
    </w:p>
    <w:p>
      <w:pPr>
        <w:ind w:right="1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Date</w:t>
      </w:r>
      <w:r>
        <w:rPr>
          <w:rFonts w:ascii="Times New Roman" w:cs="Times New Roman" w:eastAsia="Times New Roman" w:hAnsi="Times New Roman"/>
          <w:sz w:val="18"/>
          <w:szCs w:val="18"/>
          <w:color w:val="auto"/>
        </w:rPr>
        <w:t xml:space="preserve">” means, with respect to a Note, the first Business Day on which the requirements set forth in </w:t>
      </w:r>
      <w:r>
        <w:rPr>
          <w:rFonts w:ascii="Times New Roman" w:cs="Times New Roman" w:eastAsia="Times New Roman" w:hAnsi="Times New Roman"/>
          <w:sz w:val="18"/>
          <w:szCs w:val="18"/>
          <w:b w:val="1"/>
          <w:bCs w:val="1"/>
          <w:color w:val="auto"/>
        </w:rPr>
        <w:t>Section 5.02(A</w:t>
      </w:r>
      <w:r>
        <w:rPr>
          <w:rFonts w:ascii="Times New Roman" w:cs="Times New Roman" w:eastAsia="Times New Roman" w:hAnsi="Times New Roman"/>
          <w:sz w:val="18"/>
          <w:szCs w:val="18"/>
          <w:color w:val="auto"/>
        </w:rPr>
        <w:t>) to Exchange such Note are satisfied.</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Exchange Price</w:t>
      </w:r>
      <w:r>
        <w:rPr>
          <w:rFonts w:ascii="Times New Roman" w:cs="Times New Roman" w:eastAsia="Times New Roman" w:hAnsi="Times New Roman"/>
          <w:sz w:val="17"/>
          <w:szCs w:val="17"/>
          <w:color w:val="auto"/>
        </w:rPr>
        <w:t xml:space="preserve">” means, as of any time, an amount equal to (A) one thousand dollars ($1,000) </w:t>
      </w:r>
      <w:r>
        <w:rPr>
          <w:rFonts w:ascii="Times New Roman" w:cs="Times New Roman" w:eastAsia="Times New Roman" w:hAnsi="Times New Roman"/>
          <w:sz w:val="17"/>
          <w:szCs w:val="17"/>
          <w:i w:val="1"/>
          <w:iCs w:val="1"/>
          <w:color w:val="auto"/>
        </w:rPr>
        <w:t>divided by</w:t>
      </w:r>
      <w:r>
        <w:rPr>
          <w:rFonts w:ascii="Times New Roman" w:cs="Times New Roman" w:eastAsia="Times New Roman" w:hAnsi="Times New Roman"/>
          <w:sz w:val="17"/>
          <w:szCs w:val="17"/>
          <w:color w:val="auto"/>
        </w:rPr>
        <w:t xml:space="preserve"> (B) the Exchange Rate in effect at such</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- 3 -</w:t>
      </w:r>
    </w:p>
    <w:p>
      <w:pPr>
        <w:sectPr>
          <w:pgSz w:w="11900" w:h="16838" w:orient="portrait"/>
          <w:cols w:equalWidth="0" w:num="1">
            <w:col w:w="11000"/>
          </w:cols>
          <w:pgMar w:left="440" w:top="266" w:right="459" w:bottom="1440" w:gutter="0" w:footer="0" w:header="0"/>
        </w:sectPr>
      </w:pPr>
    </w:p>
    <w:bookmarkStart w:id="16" w:name="page17"/>
    <w:bookmarkEnd w:id="16"/>
    <w:p>
      <w:pPr>
        <w:ind w:right="180" w:firstLine="44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Exchange Rate</w:t>
      </w:r>
      <w:r>
        <w:rPr>
          <w:rFonts w:ascii="Times New Roman" w:cs="Times New Roman" w:eastAsia="Times New Roman" w:hAnsi="Times New Roman"/>
          <w:sz w:val="18"/>
          <w:szCs w:val="18"/>
          <w:color w:val="auto"/>
        </w:rPr>
        <w:t xml:space="preserve">” initially means 8.2060 shares of Common Stock per $1,000 principal amount of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Exchange Rate is subject to adjustment pursuant to </w:t>
      </w:r>
      <w:r>
        <w:rPr>
          <w:rFonts w:ascii="Times New Roman" w:cs="Times New Roman" w:eastAsia="Times New Roman" w:hAnsi="Times New Roman"/>
          <w:sz w:val="18"/>
          <w:szCs w:val="18"/>
          <w:b w:val="1"/>
          <w:bCs w:val="1"/>
          <w:color w:val="auto"/>
        </w:rPr>
        <w:t>Article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whenever this Indenture refers to the Exchange Rate as of a particular date without setting forth a particular time on such date, such reference will be deemed to be to the Exchange Rate immediately after the Close of Business on such date.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Share</w:t>
      </w:r>
      <w:r>
        <w:rPr>
          <w:rFonts w:ascii="Times New Roman" w:cs="Times New Roman" w:eastAsia="Times New Roman" w:hAnsi="Times New Roman"/>
          <w:sz w:val="18"/>
          <w:szCs w:val="18"/>
          <w:color w:val="auto"/>
        </w:rPr>
        <w:t>” means any share of Common Stock delivered or deliverable upon Exchange of any Note.</w:t>
      </w:r>
    </w:p>
    <w:p>
      <w:pPr>
        <w:spacing w:after="0" w:line="225" w:lineRule="exact"/>
        <w:rPr>
          <w:sz w:val="20"/>
          <w:szCs w:val="20"/>
          <w:color w:val="auto"/>
        </w:rPr>
      </w:pPr>
    </w:p>
    <w:p>
      <w:pPr>
        <w:ind w:right="2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Exempted Fundamental Change</w:t>
      </w:r>
      <w:r>
        <w:rPr>
          <w:rFonts w:ascii="Times New Roman" w:cs="Times New Roman" w:eastAsia="Times New Roman" w:hAnsi="Times New Roman"/>
          <w:sz w:val="18"/>
          <w:szCs w:val="18"/>
          <w:color w:val="auto"/>
        </w:rPr>
        <w:t xml:space="preserve">” means any Fundamental Change with respect to which, in accordance with </w:t>
      </w:r>
      <w:r>
        <w:rPr>
          <w:rFonts w:ascii="Times New Roman" w:cs="Times New Roman" w:eastAsia="Times New Roman" w:hAnsi="Times New Roman"/>
          <w:sz w:val="18"/>
          <w:szCs w:val="18"/>
          <w:b w:val="1"/>
          <w:bCs w:val="1"/>
          <w:color w:val="auto"/>
        </w:rPr>
        <w:t>Section 4.02(I</w:t>
      </w:r>
      <w:r>
        <w:rPr>
          <w:rFonts w:ascii="Times New Roman" w:cs="Times New Roman" w:eastAsia="Times New Roman" w:hAnsi="Times New Roman"/>
          <w:sz w:val="18"/>
          <w:szCs w:val="18"/>
          <w:color w:val="auto"/>
        </w:rPr>
        <w:t>), the Company does not offer to repurchase any Notes.</w:t>
      </w:r>
    </w:p>
    <w:p>
      <w:pPr>
        <w:spacing w:after="0" w:line="155" w:lineRule="exact"/>
        <w:rPr>
          <w:sz w:val="20"/>
          <w:szCs w:val="20"/>
          <w:color w:val="auto"/>
        </w:rPr>
      </w:pPr>
    </w:p>
    <w:p>
      <w:pPr>
        <w:ind w:right="2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 Notes</w:t>
      </w:r>
      <w:r>
        <w:rPr>
          <w:rFonts w:ascii="Times New Roman" w:cs="Times New Roman" w:eastAsia="Times New Roman" w:hAnsi="Times New Roman"/>
          <w:sz w:val="18"/>
          <w:szCs w:val="18"/>
          <w:color w:val="auto"/>
        </w:rPr>
        <w:t>” means, collectively, the Company’s 4.0% Senior Notes due 2026, 5.0% Senior Notes due 2029, 5.5% Senior Notes due 2030 and 3.875% Senior Notes due 2031.</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Free Trade Date</w:t>
      </w:r>
      <w:r>
        <w:rPr>
          <w:rFonts w:ascii="Times New Roman" w:cs="Times New Roman" w:eastAsia="Times New Roman" w:hAnsi="Times New Roman"/>
          <w:sz w:val="18"/>
          <w:szCs w:val="18"/>
          <w:color w:val="auto"/>
        </w:rPr>
        <w:t>” means, with respect to any Note, the date that is one (1) year after the Last Original Issue Date of such Note.</w:t>
      </w:r>
    </w:p>
    <w:p>
      <w:pPr>
        <w:spacing w:after="0" w:line="225"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Freely Tradable</w:t>
      </w:r>
      <w:r>
        <w:rPr>
          <w:rFonts w:ascii="Times New Roman" w:cs="Times New Roman" w:eastAsia="Times New Roman" w:hAnsi="Times New Roman"/>
          <w:sz w:val="18"/>
          <w:szCs w:val="18"/>
          <w:color w:val="auto"/>
        </w:rPr>
        <w:t xml:space="preserve">” means, with respect to any Note, that such Note would be eligible to be offered, sold or otherwise transferred pursuant to Rule 144 or otherwise if held by a Person that is not an Affiliate of the Company, and that has not been an Affiliate of the Company during the immediately preceding three (3) months, without any requirements as to volume, manner of sale, availability of current public information or notice under the Securities Act (except that, during the six (6)-month period beginning on, and including, the date that is six (6) months after the Last Original Issue Date of such Note, any such requirement as to the availability of current public information will be disregarded if the same is satisfied at that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from and after the Free Trade Date of such Note, such Note will not be “Freely Tradable” unless such Note (x) is not identified by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“restricted” CUSIP number; and (y) is not represented by any certificate that bears the Restricted Note Legend. For the avoidance of doubt, whether a Note is deemed to be identified by a “restricted” CUSIP number or to bear the Restricted Note Legend is subject to </w:t>
      </w:r>
      <w:r>
        <w:rPr>
          <w:rFonts w:ascii="Times New Roman" w:cs="Times New Roman" w:eastAsia="Times New Roman" w:hAnsi="Times New Roman"/>
          <w:sz w:val="18"/>
          <w:szCs w:val="18"/>
          <w:b w:val="1"/>
          <w:bCs w:val="1"/>
          <w:color w:val="auto"/>
        </w:rPr>
        <w:t>Section 2.12</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w:t>
      </w:r>
      <w:r>
        <w:rPr>
          <w:rFonts w:ascii="Times New Roman" w:cs="Times New Roman" w:eastAsia="Times New Roman" w:hAnsi="Times New Roman"/>
          <w:sz w:val="18"/>
          <w:szCs w:val="18"/>
          <w:color w:val="auto"/>
        </w:rPr>
        <w:t>” means any of the following events:</w:t>
      </w:r>
    </w:p>
    <w:p>
      <w:pPr>
        <w:spacing w:after="0" w:line="121" w:lineRule="exact"/>
        <w:rPr>
          <w:sz w:val="20"/>
          <w:szCs w:val="20"/>
          <w:color w:val="auto"/>
        </w:rPr>
      </w:pPr>
    </w:p>
    <w:p>
      <w:pPr>
        <w:ind w:right="80" w:firstLine="436"/>
        <w:spacing w:after="0" w:line="261" w:lineRule="auto"/>
        <w:tabs>
          <w:tab w:leader="none" w:pos="7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or “group” (within the meaning of Section 13(d)(3) of the Exchange Act), other than the Company, Holdings or the Company’s or Holdings’ respective Wholly Owned Subsidiaries, or their respective employee benefit plans, files any report with the SEC indicating that such person or group has become the direct or indirect “beneficial owner” (as defined below) of shares of the Common Stock representing more than fifty percent (50%) of the voting power of all of the Common Stock;</w:t>
      </w:r>
    </w:p>
    <w:p>
      <w:pPr>
        <w:spacing w:after="0" w:line="71" w:lineRule="exact"/>
        <w:rPr>
          <w:rFonts w:ascii="Times New Roman" w:cs="Times New Roman" w:eastAsia="Times New Roman" w:hAnsi="Times New Roman"/>
          <w:sz w:val="18"/>
          <w:szCs w:val="18"/>
          <w:color w:val="auto"/>
        </w:rPr>
      </w:pPr>
    </w:p>
    <w:p>
      <w:pPr>
        <w:ind w:right="40" w:firstLine="436"/>
        <w:spacing w:after="0" w:line="261" w:lineRule="auto"/>
        <w:tabs>
          <w:tab w:leader="none" w:pos="72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(i) any sale, lease or other transfer, in one transaction or a series of transactions, of all or substantially all of the assets of Holdings and its Subsidiaries, taken as a whole, to any Person, other than solely to the Company or one or more of the Company’s or Holdings’ respective Wholly Owned Subsidiaries; or (ii) any transaction or series of related transactions in connection with which (whether by means of merger, consolidation, share</w:t>
      </w:r>
    </w:p>
    <w:p>
      <w:pPr>
        <w:spacing w:after="0" w:line="112" w:lineRule="exact"/>
        <w:rPr>
          <w:rFonts w:ascii="Times New Roman" w:cs="Times New Roman" w:eastAsia="Times New Roman" w:hAnsi="Times New Roman"/>
          <w:sz w:val="18"/>
          <w:szCs w:val="18"/>
          <w:color w:val="auto"/>
        </w:rPr>
      </w:pPr>
    </w:p>
    <w:p>
      <w:pPr>
        <w:ind w:left="5460" w:hanging="106"/>
        <w:spacing w:after="0"/>
        <w:tabs>
          <w:tab w:leader="none" w:pos="54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w:t>
      </w:r>
    </w:p>
    <w:p>
      <w:pPr>
        <w:sectPr>
          <w:pgSz w:w="11900" w:h="16838" w:orient="portrait"/>
          <w:cols w:equalWidth="0" w:num="1">
            <w:col w:w="10980"/>
          </w:cols>
          <w:pgMar w:left="440" w:top="266" w:right="479" w:bottom="1440" w:gutter="0" w:footer="0" w:header="0"/>
        </w:sectPr>
      </w:pPr>
    </w:p>
    <w:bookmarkStart w:id="17" w:name="page18"/>
    <w:bookmarkEnd w:id="17"/>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exchange, combination, reclassification, recapitalization, acquisition, liquidation or otherwise) all of the Common Stock is exchanged for, converted into, acquired for, or constitutes solely the right to receive, other securities, cash or other property;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any merger, consolidation, share exchange or combination of Holdings pursuant to which the Persons that directly or indirectly “beneficially owned” (as defined below) all classes of Holdings’ Common Equity immediately before such transaction directly or indirectly “beneficially own,” immediately after such transaction, more than fifty percent (50%) of all classes of Common Equity of the surviving, continuing or acquiring company or other transferee, as applicable, or the parent thereof, in substantially the same proportions vis-à-vis each other as immediately before such transaction will be deemed not to be a Fundamental Change pursuant to this </w:t>
      </w:r>
      <w:r>
        <w:rPr>
          <w:rFonts w:ascii="Times New Roman" w:cs="Times New Roman" w:eastAsia="Times New Roman" w:hAnsi="Times New Roman"/>
          <w:sz w:val="18"/>
          <w:szCs w:val="18"/>
          <w:b w:val="1"/>
          <w:bCs w:val="1"/>
          <w:color w:val="auto"/>
        </w:rPr>
        <w:t>clause (B)</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ind w:left="720" w:hanging="284"/>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of the Company or Holdings approve any plan or proposal for the liquidation or dissolution of the Company or Holdings; or</w:t>
      </w:r>
    </w:p>
    <w:p>
      <w:pPr>
        <w:spacing w:after="0" w:line="117" w:lineRule="exact"/>
        <w:rPr>
          <w:rFonts w:ascii="Times New Roman" w:cs="Times New Roman" w:eastAsia="Times New Roman" w:hAnsi="Times New Roman"/>
          <w:sz w:val="18"/>
          <w:szCs w:val="18"/>
          <w:color w:val="auto"/>
        </w:rPr>
      </w:pPr>
    </w:p>
    <w:p>
      <w:pPr>
        <w:ind w:right="320" w:firstLine="436"/>
        <w:spacing w:after="0" w:line="282" w:lineRule="auto"/>
        <w:tabs>
          <w:tab w:leader="none" w:pos="7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Common Stock ceases to be listed on any of The New York Stock Exchange, The Nasdaq Global Market or The Nasdaq Global Select Market (or any of their respective successors);</w:t>
      </w:r>
    </w:p>
    <w:p>
      <w:pPr>
        <w:spacing w:after="0" w:line="15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a transaction or event described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clause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above will not constitute a Fundamental Change if at least ninety percent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(90%) of the consideration received or to be received by the holders of Common Stock (excluding cash payments for fractional shares or pursuant to dissenters rights), in connection with such transaction or event, consists of shares of common stock or other corporate Common Equity interests listed on any of The New York Stock Exchange, The Nasdaq Global Market or The Nasdaq Global Select Market (or any of their respective successors), or that will be so listed when issued or exchanged in connection with such transaction or event, and such transaction or event constitutes a Common Stock Change Event whose Reference Property consists of such consideration.</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For the purposes of this definition, (x) any transaction or event described in both </w:t>
      </w:r>
      <w:r>
        <w:rPr>
          <w:rFonts w:ascii="Times New Roman" w:cs="Times New Roman" w:eastAsia="Times New Roman" w:hAnsi="Times New Roman"/>
          <w:sz w:val="18"/>
          <w:szCs w:val="18"/>
          <w:b w:val="1"/>
          <w:bCs w:val="1"/>
          <w:color w:val="auto"/>
        </w:rPr>
        <w:t>clause (A)</w:t>
      </w:r>
      <w:r>
        <w:rPr>
          <w:rFonts w:ascii="Times New Roman" w:cs="Times New Roman" w:eastAsia="Times New Roman" w:hAnsi="Times New Roman"/>
          <w:sz w:val="18"/>
          <w:szCs w:val="18"/>
          <w:color w:val="auto"/>
        </w:rPr>
        <w:t xml:space="preserve"> and in </w:t>
      </w:r>
      <w:r>
        <w:rPr>
          <w:rFonts w:ascii="Times New Roman" w:cs="Times New Roman" w:eastAsia="Times New Roman" w:hAnsi="Times New Roman"/>
          <w:sz w:val="18"/>
          <w:szCs w:val="18"/>
          <w:b w:val="1"/>
          <w:bCs w:val="1"/>
          <w:color w:val="auto"/>
        </w:rPr>
        <w:t>clause (B)(i)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(ii)</w:t>
      </w:r>
      <w:r>
        <w:rPr>
          <w:rFonts w:ascii="Times New Roman" w:cs="Times New Roman" w:eastAsia="Times New Roman" w:hAnsi="Times New Roman"/>
          <w:sz w:val="18"/>
          <w:szCs w:val="18"/>
          <w:color w:val="auto"/>
        </w:rPr>
        <w:t xml:space="preserve"> above (without regard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proviso in </w:t>
      </w:r>
      <w:r>
        <w:rPr>
          <w:rFonts w:ascii="Times New Roman" w:cs="Times New Roman" w:eastAsia="Times New Roman" w:hAnsi="Times New Roman"/>
          <w:sz w:val="18"/>
          <w:szCs w:val="18"/>
          <w:b w:val="1"/>
          <w:bCs w:val="1"/>
          <w:color w:val="auto"/>
        </w:rPr>
        <w:t>clause (B)</w:t>
      </w:r>
      <w:r>
        <w:rPr>
          <w:rFonts w:ascii="Times New Roman" w:cs="Times New Roman" w:eastAsia="Times New Roman" w:hAnsi="Times New Roman"/>
          <w:sz w:val="18"/>
          <w:szCs w:val="18"/>
          <w:color w:val="auto"/>
        </w:rPr>
        <w:t xml:space="preserve">) will be deemed to occur solely pursuant to </w:t>
      </w:r>
      <w:r>
        <w:rPr>
          <w:rFonts w:ascii="Times New Roman" w:cs="Times New Roman" w:eastAsia="Times New Roman" w:hAnsi="Times New Roman"/>
          <w:sz w:val="18"/>
          <w:szCs w:val="18"/>
          <w:b w:val="1"/>
          <w:bCs w:val="1"/>
          <w:color w:val="auto"/>
        </w:rPr>
        <w:t>clause (B)</w:t>
      </w:r>
      <w:r>
        <w:rPr>
          <w:rFonts w:ascii="Times New Roman" w:cs="Times New Roman" w:eastAsia="Times New Roman" w:hAnsi="Times New Roman"/>
          <w:sz w:val="18"/>
          <w:szCs w:val="18"/>
          <w:color w:val="auto"/>
        </w:rPr>
        <w:t xml:space="preserve"> above (subject to such proviso); and (y) whether a Person is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beneficial owner</w:t>
      </w:r>
      <w:r>
        <w:rPr>
          <w:rFonts w:ascii="Times New Roman" w:cs="Times New Roman" w:eastAsia="Times New Roman" w:hAnsi="Times New Roman"/>
          <w:sz w:val="18"/>
          <w:szCs w:val="18"/>
          <w:color w:val="auto"/>
        </w:rPr>
        <w:t>,” whether shares are “</w:t>
      </w:r>
      <w:r>
        <w:rPr>
          <w:rFonts w:ascii="Times New Roman" w:cs="Times New Roman" w:eastAsia="Times New Roman" w:hAnsi="Times New Roman"/>
          <w:sz w:val="18"/>
          <w:szCs w:val="18"/>
          <w:b w:val="1"/>
          <w:bCs w:val="1"/>
          <w:color w:val="auto"/>
        </w:rPr>
        <w:t>beneficially owned</w:t>
      </w:r>
      <w:r>
        <w:rPr>
          <w:rFonts w:ascii="Times New Roman" w:cs="Times New Roman" w:eastAsia="Times New Roman" w:hAnsi="Times New Roman"/>
          <w:sz w:val="18"/>
          <w:szCs w:val="18"/>
          <w:color w:val="auto"/>
        </w:rPr>
        <w:t>,” and percentage beneficial ownership, will be determined in accordance with Rule 13d-3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Exchange Act.</w:t>
      </w:r>
    </w:p>
    <w:p>
      <w:pPr>
        <w:spacing w:after="0" w:line="203"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 Repurchase Date</w:t>
      </w:r>
      <w:r>
        <w:rPr>
          <w:rFonts w:ascii="Times New Roman" w:cs="Times New Roman" w:eastAsia="Times New Roman" w:hAnsi="Times New Roman"/>
          <w:sz w:val="18"/>
          <w:szCs w:val="18"/>
          <w:color w:val="auto"/>
        </w:rPr>
        <w:t>” means the date fixed for the repurchase of any Notes by the Company pursuant to a Repurchase Upon Fundamental Change.</w:t>
      </w:r>
    </w:p>
    <w:p>
      <w:pPr>
        <w:spacing w:after="0" w:line="155" w:lineRule="exact"/>
        <w:rPr>
          <w:sz w:val="20"/>
          <w:szCs w:val="20"/>
          <w:color w:val="auto"/>
        </w:rPr>
      </w:pPr>
    </w:p>
    <w:p>
      <w:pPr>
        <w:ind w:right="2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 Repurchase Notice</w:t>
      </w:r>
      <w:r>
        <w:rPr>
          <w:rFonts w:ascii="Times New Roman" w:cs="Times New Roman" w:eastAsia="Times New Roman" w:hAnsi="Times New Roman"/>
          <w:sz w:val="18"/>
          <w:szCs w:val="18"/>
          <w:color w:val="auto"/>
        </w:rPr>
        <w:t xml:space="preserve">” means a notice (including a notice substantially in the form of the “Fundamental Change Repurchase Notice” set forth in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xml:space="preserve">) containing the information, or otherwise complying with the requirements, set forth in </w:t>
      </w:r>
      <w:r>
        <w:rPr>
          <w:rFonts w:ascii="Times New Roman" w:cs="Times New Roman" w:eastAsia="Times New Roman" w:hAnsi="Times New Roman"/>
          <w:sz w:val="18"/>
          <w:szCs w:val="18"/>
          <w:b w:val="1"/>
          <w:bCs w:val="1"/>
          <w:color w:val="auto"/>
        </w:rPr>
        <w:t>Section 4.02(F)(i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Section 4.02(F)(ii</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right="3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 Repurchase Price</w:t>
      </w:r>
      <w:r>
        <w:rPr>
          <w:rFonts w:ascii="Times New Roman" w:cs="Times New Roman" w:eastAsia="Times New Roman" w:hAnsi="Times New Roman"/>
          <w:sz w:val="18"/>
          <w:szCs w:val="18"/>
          <w:color w:val="auto"/>
        </w:rPr>
        <w:t xml:space="preserve">” means the cash price payable by the Company to repurchase any Note upon its Repurchase Upon Fundamental Change, calculated pursuant to </w:t>
      </w:r>
      <w:r>
        <w:rPr>
          <w:rFonts w:ascii="Times New Roman" w:cs="Times New Roman" w:eastAsia="Times New Roman" w:hAnsi="Times New Roman"/>
          <w:sz w:val="18"/>
          <w:szCs w:val="18"/>
          <w:b w:val="1"/>
          <w:bCs w:val="1"/>
          <w:color w:val="auto"/>
        </w:rPr>
        <w:t>Section 4.02(D</w:t>
      </w:r>
      <w:r>
        <w:rPr>
          <w:rFonts w:ascii="Times New Roman" w:cs="Times New Roman" w:eastAsia="Times New Roman" w:hAnsi="Times New Roman"/>
          <w:sz w:val="18"/>
          <w:szCs w:val="18"/>
          <w:color w:val="auto"/>
        </w:rPr>
        <w:t>).</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- 5 -</w:t>
      </w:r>
    </w:p>
    <w:p>
      <w:pPr>
        <w:sectPr>
          <w:pgSz w:w="11900" w:h="16838" w:orient="portrait"/>
          <w:cols w:equalWidth="0" w:num="1">
            <w:col w:w="11000"/>
          </w:cols>
          <w:pgMar w:left="440" w:top="270" w:right="459" w:bottom="1440" w:gutter="0" w:footer="0" w:header="0"/>
        </w:sectPr>
      </w:pPr>
    </w:p>
    <w:bookmarkStart w:id="18" w:name="page19"/>
    <w:bookmarkEnd w:id="18"/>
    <w:p>
      <w:pPr>
        <w:ind w:right="440" w:firstLine="4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Global Note</w:t>
      </w:r>
      <w:r>
        <w:rPr>
          <w:rFonts w:ascii="Times New Roman" w:cs="Times New Roman" w:eastAsia="Times New Roman" w:hAnsi="Times New Roman"/>
          <w:sz w:val="18"/>
          <w:szCs w:val="18"/>
          <w:color w:val="auto"/>
        </w:rPr>
        <w:t xml:space="preserve">” means a Note that is represented by a certificate substantially in the form set forth in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registered in the name of the Depositary or its nominee, duly executed by the Company and authenticated by the Trustee, and deposited with the Trustee, as custodian for the Depositary.</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Global Note Legend</w:t>
      </w:r>
      <w:r>
        <w:rPr>
          <w:rFonts w:ascii="Times New Roman" w:cs="Times New Roman" w:eastAsia="Times New Roman" w:hAnsi="Times New Roman"/>
          <w:sz w:val="18"/>
          <w:szCs w:val="18"/>
          <w:color w:val="auto"/>
        </w:rPr>
        <w:t xml:space="preserve">” means a legend substantially in the form set forth in </w:t>
      </w:r>
      <w:r>
        <w:rPr>
          <w:rFonts w:ascii="Times New Roman" w:cs="Times New Roman" w:eastAsia="Times New Roman" w:hAnsi="Times New Roman"/>
          <w:sz w:val="18"/>
          <w:szCs w:val="18"/>
          <w:b w:val="1"/>
          <w:bCs w:val="1"/>
          <w:color w:val="auto"/>
        </w:rPr>
        <w:t>Exhibit B-2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Guarantees</w:t>
      </w:r>
      <w:r>
        <w:rPr>
          <w:rFonts w:ascii="Times New Roman" w:cs="Times New Roman" w:eastAsia="Times New Roman" w:hAnsi="Times New Roman"/>
          <w:sz w:val="18"/>
          <w:szCs w:val="18"/>
          <w:color w:val="auto"/>
        </w:rPr>
        <w:t xml:space="preserve">” means, collectively, each Guarantor’s respective guarantee of the Company’s obligations under this Indenture and the Notes pursuant to </w:t>
      </w:r>
      <w:r>
        <w:rPr>
          <w:rFonts w:ascii="Times New Roman" w:cs="Times New Roman" w:eastAsia="Times New Roman" w:hAnsi="Times New Roman"/>
          <w:sz w:val="18"/>
          <w:szCs w:val="18"/>
          <w:b w:val="1"/>
          <w:bCs w:val="1"/>
          <w:color w:val="auto"/>
        </w:rPr>
        <w:t>Article 9</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Guarantors</w:t>
      </w:r>
      <w:r>
        <w:rPr>
          <w:rFonts w:ascii="Times New Roman" w:cs="Times New Roman" w:eastAsia="Times New Roman" w:hAnsi="Times New Roman"/>
          <w:sz w:val="18"/>
          <w:szCs w:val="18"/>
          <w:color w:val="auto"/>
        </w:rPr>
        <w:t>” means:</w:t>
      </w:r>
    </w:p>
    <w:p>
      <w:pPr>
        <w:spacing w:after="0" w:line="121" w:lineRule="exact"/>
        <w:rPr>
          <w:sz w:val="20"/>
          <w:szCs w:val="20"/>
          <w:color w:val="auto"/>
        </w:rPr>
      </w:pPr>
    </w:p>
    <w:p>
      <w:pPr>
        <w:ind w:right="40" w:firstLine="436"/>
        <w:spacing w:after="0" w:line="282" w:lineRule="auto"/>
        <w:tabs>
          <w:tab w:leader="none" w:pos="6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Holdings and each direct or indirect Domestic Subsidiary of the Company that guarantees Indebtedness under any of the Existing Notes on the Issue Date; and</w:t>
      </w:r>
    </w:p>
    <w:p>
      <w:pPr>
        <w:spacing w:after="0" w:line="53"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Subsidiary that executes a Guarantee in accordance with the provisions of the Indenture;</w:t>
      </w:r>
    </w:p>
    <w:p>
      <w:pPr>
        <w:spacing w:after="0" w:line="22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and their respective successors and assigns until released from their obligations under their Guarantees and this Indenture in accordance with the terms of this Indenture.</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means a person in whose name a Note is registered on the Registrar’s books.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Holdings</w:t>
      </w:r>
      <w:r>
        <w:rPr>
          <w:rFonts w:ascii="Times New Roman" w:cs="Times New Roman" w:eastAsia="Times New Roman" w:hAnsi="Times New Roman"/>
          <w:sz w:val="18"/>
          <w:szCs w:val="18"/>
          <w:color w:val="auto"/>
        </w:rPr>
        <w:t xml:space="preserve">” means the Person named as such in the first paragraph of this Indenture and, subject to </w:t>
      </w:r>
      <w:r>
        <w:rPr>
          <w:rFonts w:ascii="Times New Roman" w:cs="Times New Roman" w:eastAsia="Times New Roman" w:hAnsi="Times New Roman"/>
          <w:sz w:val="18"/>
          <w:szCs w:val="18"/>
          <w:b w:val="1"/>
          <w:bCs w:val="1"/>
          <w:color w:val="auto"/>
        </w:rPr>
        <w:t>Section 9.04</w:t>
      </w:r>
      <w:r>
        <w:rPr>
          <w:rFonts w:ascii="Times New Roman" w:cs="Times New Roman" w:eastAsia="Times New Roman" w:hAnsi="Times New Roman"/>
          <w:sz w:val="18"/>
          <w:szCs w:val="18"/>
          <w:color w:val="auto"/>
        </w:rPr>
        <w:t>, its successors and assigns.</w:t>
      </w:r>
    </w:p>
    <w:p>
      <w:pPr>
        <w:spacing w:after="0" w:line="225" w:lineRule="exact"/>
        <w:rPr>
          <w:sz w:val="20"/>
          <w:szCs w:val="20"/>
          <w:color w:val="auto"/>
        </w:rPr>
      </w:pPr>
    </w:p>
    <w:p>
      <w:pPr>
        <w:ind w:right="3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Holdings Charter</w:t>
      </w:r>
      <w:r>
        <w:rPr>
          <w:rFonts w:ascii="Times New Roman" w:cs="Times New Roman" w:eastAsia="Times New Roman" w:hAnsi="Times New Roman"/>
          <w:sz w:val="18"/>
          <w:szCs w:val="18"/>
          <w:color w:val="auto"/>
        </w:rPr>
        <w:t>” means the Amended and Restated Certificate of Incorporation of Holdings dated as of July 13, 2018, as the same may be amended, restated or supplemented from time to time.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means this Indenture, as amended or supplemented from time to time.</w:t>
      </w:r>
    </w:p>
    <w:p>
      <w:pPr>
        <w:spacing w:after="0" w:line="225" w:lineRule="exact"/>
        <w:rPr>
          <w:sz w:val="20"/>
          <w:szCs w:val="20"/>
          <w:color w:val="auto"/>
        </w:rPr>
      </w:pPr>
    </w:p>
    <w:p>
      <w:pPr>
        <w:ind w:right="4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Purchasers</w:t>
      </w:r>
      <w:r>
        <w:rPr>
          <w:rFonts w:ascii="Times New Roman" w:cs="Times New Roman" w:eastAsia="Times New Roman" w:hAnsi="Times New Roman"/>
          <w:sz w:val="18"/>
          <w:szCs w:val="18"/>
          <w:color w:val="auto"/>
        </w:rPr>
        <w:t>” means J.P. Morgan Securities LLC, RBC Capital Markets, LLC, UBS Securities LLC, Barclays Capital Inc., Goldman Sachs &amp; Co. LLC, BMO Capital Markets Corp. and BNP Paribas Securities Corp.</w:t>
      </w:r>
    </w:p>
    <w:p>
      <w:pPr>
        <w:spacing w:after="0" w:line="155"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Payment Date</w:t>
      </w:r>
      <w:r>
        <w:rPr>
          <w:rFonts w:ascii="Times New Roman" w:cs="Times New Roman" w:eastAsia="Times New Roman" w:hAnsi="Times New Roman"/>
          <w:sz w:val="18"/>
          <w:szCs w:val="18"/>
          <w:color w:val="auto"/>
        </w:rPr>
        <w:t>” means, with respect to a Note, each June 1 and December 1 of each year, commencing on December 1, 2024 (or commencing on such other date specified in the certificate representing such Note). For the avoidance of doubt, the Maturity Date is an Interest Payment Date.</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Issue Date</w:t>
      </w:r>
      <w:r>
        <w:rPr>
          <w:rFonts w:ascii="Times New Roman" w:cs="Times New Roman" w:eastAsia="Times New Roman" w:hAnsi="Times New Roman"/>
          <w:sz w:val="18"/>
          <w:szCs w:val="18"/>
          <w:color w:val="auto"/>
        </w:rPr>
        <w:t>” means May 23, 2024.</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- 6 -</w:t>
      </w:r>
    </w:p>
    <w:p>
      <w:pPr>
        <w:sectPr>
          <w:pgSz w:w="11900" w:h="16838" w:orient="portrait"/>
          <w:cols w:equalWidth="0" w:num="1">
            <w:col w:w="11000"/>
          </w:cols>
          <w:pgMar w:left="440" w:top="266" w:right="459" w:bottom="1440" w:gutter="0" w:footer="0" w:header="0"/>
        </w:sectPr>
      </w:pPr>
    </w:p>
    <w:bookmarkStart w:id="19" w:name="page20"/>
    <w:bookmarkEnd w:id="19"/>
    <w:p>
      <w:pPr>
        <w:ind w:left="4" w:firstLine="440"/>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Last Original Issue Date</w:t>
      </w:r>
      <w:r>
        <w:rPr>
          <w:rFonts w:ascii="Times New Roman" w:cs="Times New Roman" w:eastAsia="Times New Roman" w:hAnsi="Times New Roman"/>
          <w:sz w:val="18"/>
          <w:szCs w:val="18"/>
          <w:color w:val="auto"/>
        </w:rPr>
        <w:t xml:space="preserve">” means (A) with respect to any Notes issued pursuant to the Purchase Agreement, and any Notes issued in exchange therefor or in substitution thereof, the Issue Date; and (B) with respect to any Notes issued pursuant to </w:t>
      </w:r>
      <w:r>
        <w:rPr>
          <w:rFonts w:ascii="Times New Roman" w:cs="Times New Roman" w:eastAsia="Times New Roman" w:hAnsi="Times New Roman"/>
          <w:sz w:val="18"/>
          <w:szCs w:val="18"/>
          <w:b w:val="1"/>
          <w:bCs w:val="1"/>
          <w:color w:val="auto"/>
        </w:rPr>
        <w:t>Section 2.03(B)</w:t>
      </w:r>
      <w:r>
        <w:rPr>
          <w:rFonts w:ascii="Times New Roman" w:cs="Times New Roman" w:eastAsia="Times New Roman" w:hAnsi="Times New Roman"/>
          <w:sz w:val="18"/>
          <w:szCs w:val="18"/>
          <w:color w:val="auto"/>
        </w:rPr>
        <w:t>, and any Notes issued in exchange therefor or in substitution thereof, either (i) the later of (x) the date such Notes are originally issued and (y) the last date any Notes are originally issued as part of the same offering pursuant to the exercise of an option granted to the initial purchaser(s) of such Notes to purchase additional Notes; or (ii) such other date as is specified in an Officer’s Certificate delivered to the Trustee before the original issuance of such Notes.</w:t>
      </w:r>
    </w:p>
    <w:p>
      <w:pPr>
        <w:spacing w:after="0" w:line="179"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Last Reported Sale Price</w:t>
      </w:r>
      <w:r>
        <w:rPr>
          <w:rFonts w:ascii="Times New Roman" w:cs="Times New Roman" w:eastAsia="Times New Roman" w:hAnsi="Times New Roman"/>
          <w:sz w:val="18"/>
          <w:szCs w:val="18"/>
          <w:color w:val="auto"/>
        </w:rPr>
        <w:t>” of the Common Stock for any Trading Day means the closing sale price per share (or, if no closing sale price is reported, the average of the last bid price and the last ask price per share or, if more than one in either case, the average of the average last bid prices and the average last ask prices per share) of Common Stock on such Trading Day as reported in composite transactions for the principal U.S. national or regional securities exchange on which the Common Stock is then listed. If the Common Stock is not listed on a U.S. national or regional securities exchange on such Trading Day, then the Last Reported Sale Price will be the last quoted bid price per share of Common Stock on such Trading Day in the over-the-counter market as reported by OTC Markets Group Inc. or a similar organization. If the Common Stock is not so quoted on such Trading Day, then the Last Reported Sale Price will be the average of the mid-point of the last bid price and the last ask price per share of Common Stock on such Trading Day from a nationally recognized independent investment banking firm selected by the Company, which may be any of the Initial Purchasers. Neither the Trustee nor the Exchange Agent will have any duty to determine the Last Reported Sale Price.</w:t>
      </w:r>
    </w:p>
    <w:p>
      <w:pPr>
        <w:spacing w:after="0" w:line="18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Make-Whole Fundamental Change</w:t>
      </w:r>
      <w:r>
        <w:rPr>
          <w:rFonts w:ascii="Times New Roman" w:cs="Times New Roman" w:eastAsia="Times New Roman" w:hAnsi="Times New Roman"/>
          <w:sz w:val="18"/>
          <w:szCs w:val="18"/>
          <w:color w:val="auto"/>
        </w:rPr>
        <w:t xml:space="preserve">” means (A) a Fundamental Change (determined after giving effect to the proviso immediately after </w:t>
      </w:r>
      <w:r>
        <w:rPr>
          <w:rFonts w:ascii="Times New Roman" w:cs="Times New Roman" w:eastAsia="Times New Roman" w:hAnsi="Times New Roman"/>
          <w:sz w:val="18"/>
          <w:szCs w:val="18"/>
          <w:b w:val="1"/>
          <w:bCs w:val="1"/>
          <w:color w:val="auto"/>
        </w:rPr>
        <w:t>clause</w:t>
      </w:r>
    </w:p>
    <w:p>
      <w:pPr>
        <w:spacing w:after="0" w:line="31" w:lineRule="exact"/>
        <w:rPr>
          <w:sz w:val="20"/>
          <w:szCs w:val="20"/>
          <w:color w:val="auto"/>
        </w:rPr>
      </w:pPr>
    </w:p>
    <w:p>
      <w:pPr>
        <w:jc w:val="both"/>
        <w:ind w:left="4" w:right="60" w:hanging="4"/>
        <w:spacing w:after="0" w:line="253" w:lineRule="auto"/>
        <w:tabs>
          <w:tab w:leader="none" w:pos="299"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of the definition thereof, but without regard to the proviso to </w:t>
      </w:r>
      <w:r>
        <w:rPr>
          <w:rFonts w:ascii="Times New Roman" w:cs="Times New Roman" w:eastAsia="Times New Roman" w:hAnsi="Times New Roman"/>
          <w:sz w:val="18"/>
          <w:szCs w:val="18"/>
          <w:b w:val="1"/>
          <w:bCs w:val="1"/>
          <w:color w:val="auto"/>
        </w:rPr>
        <w:t>clause (B)(ii)</w:t>
      </w:r>
      <w:r>
        <w:rPr>
          <w:rFonts w:ascii="Times New Roman" w:cs="Times New Roman" w:eastAsia="Times New Roman" w:hAnsi="Times New Roman"/>
          <w:sz w:val="18"/>
          <w:szCs w:val="18"/>
          <w:color w:val="auto"/>
        </w:rPr>
        <w:t xml:space="preserve"> of such definition); or (B) the sending of a Redemption Notice pursuant to </w:t>
      </w:r>
      <w:r>
        <w:rPr>
          <w:rFonts w:ascii="Times New Roman" w:cs="Times New Roman" w:eastAsia="Times New Roman" w:hAnsi="Times New Roman"/>
          <w:sz w:val="18"/>
          <w:szCs w:val="18"/>
          <w:b w:val="1"/>
          <w:bCs w:val="1"/>
          <w:color w:val="auto"/>
        </w:rPr>
        <w:t>Section 4.03(F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subject to </w:t>
      </w:r>
      <w:r>
        <w:rPr>
          <w:rFonts w:ascii="Times New Roman" w:cs="Times New Roman" w:eastAsia="Times New Roman" w:hAnsi="Times New Roman"/>
          <w:sz w:val="18"/>
          <w:szCs w:val="18"/>
          <w:b w:val="1"/>
          <w:bCs w:val="1"/>
          <w:color w:val="auto"/>
        </w:rPr>
        <w:t>Section 4.03(I</w:t>
      </w:r>
      <w:r>
        <w:rPr>
          <w:rFonts w:ascii="Times New Roman" w:cs="Times New Roman" w:eastAsia="Times New Roman" w:hAnsi="Times New Roman"/>
          <w:sz w:val="18"/>
          <w:szCs w:val="18"/>
          <w:color w:val="auto"/>
        </w:rPr>
        <w:t xml:space="preserve">), the sending of a Redemption Notice will constitute a Make-Whole Fundamental Change only with respect to the Notes called for Redemption (or deemed called pursuant to </w:t>
      </w:r>
      <w:r>
        <w:rPr>
          <w:rFonts w:ascii="Times New Roman" w:cs="Times New Roman" w:eastAsia="Times New Roman" w:hAnsi="Times New Roman"/>
          <w:sz w:val="18"/>
          <w:szCs w:val="18"/>
          <w:b w:val="1"/>
          <w:bCs w:val="1"/>
          <w:color w:val="auto"/>
        </w:rPr>
        <w:t>Section 4.03(I</w:t>
      </w:r>
      <w:r>
        <w:rPr>
          <w:rFonts w:ascii="Times New Roman" w:cs="Times New Roman" w:eastAsia="Times New Roman" w:hAnsi="Times New Roman"/>
          <w:sz w:val="18"/>
          <w:szCs w:val="18"/>
          <w:color w:val="auto"/>
        </w:rPr>
        <w:t>)) pursuant to such Redemption Notice and not with respect to any other Notes.</w:t>
      </w:r>
    </w:p>
    <w:p>
      <w:pPr>
        <w:spacing w:after="0" w:line="185" w:lineRule="exact"/>
        <w:rPr>
          <w:sz w:val="20"/>
          <w:szCs w:val="20"/>
          <w:color w:val="auto"/>
        </w:rPr>
      </w:pPr>
    </w:p>
    <w:p>
      <w:pPr>
        <w:ind w:left="4" w:right="1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Make-Whole Fundamental Change Effective Date</w:t>
      </w:r>
      <w:r>
        <w:rPr>
          <w:rFonts w:ascii="Times New Roman" w:cs="Times New Roman" w:eastAsia="Times New Roman" w:hAnsi="Times New Roman"/>
          <w:sz w:val="18"/>
          <w:szCs w:val="18"/>
          <w:color w:val="auto"/>
        </w:rPr>
        <w:t xml:space="preserve">” means (A) with respect to a Make-Whole Fundamental Change pursuant to </w:t>
      </w:r>
      <w:r>
        <w:rPr>
          <w:rFonts w:ascii="Times New Roman" w:cs="Times New Roman" w:eastAsia="Times New Roman" w:hAnsi="Times New Roman"/>
          <w:sz w:val="18"/>
          <w:szCs w:val="18"/>
          <w:b w:val="1"/>
          <w:bCs w:val="1"/>
          <w:color w:val="auto"/>
        </w:rPr>
        <w:t>clause (A)</w:t>
      </w:r>
      <w:r>
        <w:rPr>
          <w:rFonts w:ascii="Times New Roman" w:cs="Times New Roman" w:eastAsia="Times New Roman" w:hAnsi="Times New Roman"/>
          <w:sz w:val="18"/>
          <w:szCs w:val="18"/>
          <w:color w:val="auto"/>
        </w:rPr>
        <w:t xml:space="preserve"> of the definition thereof, the date on which such Make-Whole Fundamental Change occurs or becomes effective; and (B) with respect to a Make-Whole Fundamental Change pursuant to </w:t>
      </w:r>
      <w:r>
        <w:rPr>
          <w:rFonts w:ascii="Times New Roman" w:cs="Times New Roman" w:eastAsia="Times New Roman" w:hAnsi="Times New Roman"/>
          <w:sz w:val="18"/>
          <w:szCs w:val="18"/>
          <w:b w:val="1"/>
          <w:bCs w:val="1"/>
          <w:color w:val="auto"/>
        </w:rPr>
        <w:t>clause (B)</w:t>
      </w:r>
      <w:r>
        <w:rPr>
          <w:rFonts w:ascii="Times New Roman" w:cs="Times New Roman" w:eastAsia="Times New Roman" w:hAnsi="Times New Roman"/>
          <w:sz w:val="18"/>
          <w:szCs w:val="18"/>
          <w:color w:val="auto"/>
        </w:rPr>
        <w:t xml:space="preserve"> of the definition thereof, the applicable Redemption Notice Date.</w:t>
      </w:r>
    </w:p>
    <w:p>
      <w:pPr>
        <w:spacing w:after="0" w:line="17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Make-Whole Fundamental Change Exchange Period</w:t>
      </w:r>
      <w:r>
        <w:rPr>
          <w:rFonts w:ascii="Times New Roman" w:cs="Times New Roman" w:eastAsia="Times New Roman" w:hAnsi="Times New Roman"/>
          <w:sz w:val="18"/>
          <w:szCs w:val="18"/>
          <w:color w:val="auto"/>
        </w:rPr>
        <w:t>” has the following meaning:</w:t>
      </w:r>
    </w:p>
    <w:p>
      <w:pPr>
        <w:spacing w:after="0" w:line="117" w:lineRule="exact"/>
        <w:rPr>
          <w:sz w:val="20"/>
          <w:szCs w:val="20"/>
          <w:color w:val="auto"/>
        </w:rPr>
      </w:pPr>
    </w:p>
    <w:p>
      <w:pPr>
        <w:ind w:left="4" w:right="80" w:firstLine="436"/>
        <w:spacing w:after="0" w:line="262" w:lineRule="auto"/>
        <w:tabs>
          <w:tab w:leader="none" w:pos="73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 Make-Whole Fundamental Change pursuant to </w:t>
      </w:r>
      <w:r>
        <w:rPr>
          <w:rFonts w:ascii="Times New Roman" w:cs="Times New Roman" w:eastAsia="Times New Roman" w:hAnsi="Times New Roman"/>
          <w:sz w:val="18"/>
          <w:szCs w:val="18"/>
          <w:b w:val="1"/>
          <w:bCs w:val="1"/>
          <w:color w:val="auto"/>
        </w:rPr>
        <w:t>clause (A)</w:t>
      </w:r>
      <w:r>
        <w:rPr>
          <w:rFonts w:ascii="Times New Roman" w:cs="Times New Roman" w:eastAsia="Times New Roman" w:hAnsi="Times New Roman"/>
          <w:sz w:val="18"/>
          <w:szCs w:val="18"/>
          <w:color w:val="auto"/>
        </w:rPr>
        <w:t xml:space="preserve"> of the definition thereof, the period from, and including, the Make-Whole Fundamental Change Effective Date of such Make-Whole Fundamental Change to, and including, the thirty-fifth (35th) Trading Day after such Make-Whole Fundamental Change Effective Date (or, if such Make-Whole Fundamental Change also constitutes a Fundamental Change (other than an Exempted Fundamental Change), to, but excluding, the related Fundamental Change Repurchase Date); and</w:t>
      </w:r>
    </w:p>
    <w:p>
      <w:pPr>
        <w:spacing w:after="0" w:line="68" w:lineRule="exact"/>
        <w:rPr>
          <w:rFonts w:ascii="Times New Roman" w:cs="Times New Roman" w:eastAsia="Times New Roman" w:hAnsi="Times New Roman"/>
          <w:sz w:val="18"/>
          <w:szCs w:val="18"/>
          <w:color w:val="auto"/>
        </w:rPr>
      </w:pPr>
    </w:p>
    <w:p>
      <w:pPr>
        <w:ind w:left="4" w:right="600" w:firstLine="436"/>
        <w:spacing w:after="0" w:line="268" w:lineRule="auto"/>
        <w:tabs>
          <w:tab w:leader="none" w:pos="72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 Make-Whole Fundamental Change pursuant to </w:t>
      </w:r>
      <w:r>
        <w:rPr>
          <w:rFonts w:ascii="Times New Roman" w:cs="Times New Roman" w:eastAsia="Times New Roman" w:hAnsi="Times New Roman"/>
          <w:sz w:val="18"/>
          <w:szCs w:val="18"/>
          <w:b w:val="1"/>
          <w:bCs w:val="1"/>
          <w:color w:val="auto"/>
        </w:rPr>
        <w:t>clause (B)</w:t>
      </w:r>
      <w:r>
        <w:rPr>
          <w:rFonts w:ascii="Times New Roman" w:cs="Times New Roman" w:eastAsia="Times New Roman" w:hAnsi="Times New Roman"/>
          <w:sz w:val="18"/>
          <w:szCs w:val="18"/>
          <w:color w:val="auto"/>
        </w:rPr>
        <w:t xml:space="preserve"> of the definition thereof, the period from, and including, the Redemption Notice Date for the related Redemption to, and including, the second (2nd) Scheduled Trading Day immediately before the related Redemption Date;</w:t>
      </w:r>
    </w:p>
    <w:p>
      <w:pPr>
        <w:spacing w:after="0" w:line="107" w:lineRule="exact"/>
        <w:rPr>
          <w:rFonts w:ascii="Times New Roman" w:cs="Times New Roman" w:eastAsia="Times New Roman" w:hAnsi="Times New Roman"/>
          <w:sz w:val="18"/>
          <w:szCs w:val="18"/>
          <w:color w:val="auto"/>
        </w:rPr>
      </w:pPr>
    </w:p>
    <w:p>
      <w:pPr>
        <w:ind w:left="5464" w:hanging="106"/>
        <w:spacing w:after="0"/>
        <w:tabs>
          <w:tab w:leader="none" w:pos="546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w:t>
      </w:r>
    </w:p>
    <w:p>
      <w:pPr>
        <w:sectPr>
          <w:pgSz w:w="11900" w:h="16838" w:orient="portrait"/>
          <w:cols w:equalWidth="0" w:num="1">
            <w:col w:w="10984"/>
          </w:cols>
          <w:pgMar w:left="436" w:top="266" w:right="479" w:bottom="1440" w:gutter="0" w:footer="0" w:header="0"/>
        </w:sectPr>
      </w:pPr>
    </w:p>
    <w:bookmarkStart w:id="20" w:name="page21"/>
    <w:bookmarkEnd w:id="20"/>
    <w:p>
      <w:pPr>
        <w:ind w:right="60"/>
        <w:spacing w:after="0" w:line="256"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if the Exchange Date for the Exchange of a Note that has been called (or deemed,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4.03(I</w:t>
      </w:r>
      <w:r>
        <w:rPr>
          <w:rFonts w:ascii="Times New Roman" w:cs="Times New Roman" w:eastAsia="Times New Roman" w:hAnsi="Times New Roman"/>
          <w:sz w:val="18"/>
          <w:szCs w:val="18"/>
          <w:color w:val="auto"/>
        </w:rPr>
        <w:t>), to be called)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Redemption occurs during the Make-Whole Fundamental Change Exchange Period for both a Make-Whole Fundamental Change occurring pursuant to </w:t>
      </w:r>
      <w:r>
        <w:rPr>
          <w:rFonts w:ascii="Times New Roman" w:cs="Times New Roman" w:eastAsia="Times New Roman" w:hAnsi="Times New Roman"/>
          <w:sz w:val="18"/>
          <w:szCs w:val="18"/>
          <w:b w:val="1"/>
          <w:bCs w:val="1"/>
          <w:color w:val="auto"/>
        </w:rPr>
        <w:t xml:space="preserve">clause (A) </w:t>
      </w:r>
      <w:r>
        <w:rPr>
          <w:rFonts w:ascii="Times New Roman" w:cs="Times New Roman" w:eastAsia="Times New Roman" w:hAnsi="Times New Roman"/>
          <w:sz w:val="18"/>
          <w:szCs w:val="18"/>
          <w:color w:val="auto"/>
        </w:rPr>
        <w:t>of the definition of “Make-Whole Fundamental Change” and a Make-Whole Fundamental Change resulting from such Redemption pursuant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 </w:t>
      </w:r>
      <w:r>
        <w:rPr>
          <w:rFonts w:ascii="Times New Roman" w:cs="Times New Roman" w:eastAsia="Times New Roman" w:hAnsi="Times New Roman"/>
          <w:sz w:val="18"/>
          <w:szCs w:val="18"/>
          <w:b w:val="1"/>
          <w:bCs w:val="1"/>
          <w:color w:val="auto"/>
        </w:rPr>
        <w:t>clause (B)</w:t>
      </w:r>
      <w:r>
        <w:rPr>
          <w:rFonts w:ascii="Times New Roman" w:cs="Times New Roman" w:eastAsia="Times New Roman" w:hAnsi="Times New Roman"/>
          <w:sz w:val="18"/>
          <w:szCs w:val="18"/>
          <w:color w:val="auto"/>
        </w:rPr>
        <w:t xml:space="preserve"> of such definition, then, notwithstanding anything to the contrary in </w:t>
      </w:r>
      <w:r>
        <w:rPr>
          <w:rFonts w:ascii="Times New Roman" w:cs="Times New Roman" w:eastAsia="Times New Roman" w:hAnsi="Times New Roman"/>
          <w:sz w:val="18"/>
          <w:szCs w:val="18"/>
          <w:b w:val="1"/>
          <w:bCs w:val="1"/>
          <w:color w:val="auto"/>
        </w:rPr>
        <w:t>Section 5.07</w:t>
      </w:r>
      <w:r>
        <w:rPr>
          <w:rFonts w:ascii="Times New Roman" w:cs="Times New Roman" w:eastAsia="Times New Roman" w:hAnsi="Times New Roman"/>
          <w:sz w:val="18"/>
          <w:szCs w:val="18"/>
          <w:color w:val="auto"/>
        </w:rPr>
        <w:t>, solely for purposes of such Exchange, (x) such Exchange Date will be deemed to occur solely during the Make-Whole Fundamental Change Exchange Period for the Make-Whole Fundamental Change with the earlier Make-Whole Fundamental Change Effective Date; and (y) the Make-Whole Fundamental Change with the later Make-Whole Fundamental Change Effective Date will be deemed not to have occurred.</w:t>
      </w:r>
    </w:p>
    <w:p>
      <w:pPr>
        <w:spacing w:after="0" w:line="183"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Market Disruption Event</w:t>
      </w:r>
      <w:r>
        <w:rPr>
          <w:rFonts w:ascii="Times New Roman" w:cs="Times New Roman" w:eastAsia="Times New Roman" w:hAnsi="Times New Roman"/>
          <w:sz w:val="18"/>
          <w:szCs w:val="18"/>
          <w:color w:val="auto"/>
        </w:rPr>
        <w:t>” means, with respect to any date, the occurrence or existence, during the one-half hour period ending at the scheduled close of trading on such date on the principal U.S. national or regional securities exchange or other market on which the Common Stock is listed for trading or trades, of any material suspension or limitation imposed on trading (by reason of movements in price exceeding limits permitted by the relevant exchange or otherwise) in the Common Stock or in any options contracts or futures contracts relating to the Common Stock.</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Maturity Date</w:t>
      </w:r>
      <w:r>
        <w:rPr>
          <w:rFonts w:ascii="Times New Roman" w:cs="Times New Roman" w:eastAsia="Times New Roman" w:hAnsi="Times New Roman"/>
          <w:sz w:val="18"/>
          <w:szCs w:val="18"/>
          <w:color w:val="auto"/>
        </w:rPr>
        <w:t>” means June 1, 2029.</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Non-Affiliate Legend</w:t>
      </w:r>
      <w:r>
        <w:rPr>
          <w:rFonts w:ascii="Times New Roman" w:cs="Times New Roman" w:eastAsia="Times New Roman" w:hAnsi="Times New Roman"/>
          <w:sz w:val="18"/>
          <w:szCs w:val="18"/>
          <w:color w:val="auto"/>
        </w:rPr>
        <w:t xml:space="preserve">” means a legend substantially in the form set forth in </w:t>
      </w:r>
      <w:r>
        <w:rPr>
          <w:rFonts w:ascii="Times New Roman" w:cs="Times New Roman" w:eastAsia="Times New Roman" w:hAnsi="Times New Roman"/>
          <w:sz w:val="18"/>
          <w:szCs w:val="18"/>
          <w:b w:val="1"/>
          <w:bCs w:val="1"/>
          <w:color w:val="auto"/>
        </w:rPr>
        <w:t>Exhibit B-3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 Agent</w:t>
      </w:r>
      <w:r>
        <w:rPr>
          <w:rFonts w:ascii="Times New Roman" w:cs="Times New Roman" w:eastAsia="Times New Roman" w:hAnsi="Times New Roman"/>
          <w:sz w:val="18"/>
          <w:szCs w:val="18"/>
          <w:color w:val="auto"/>
        </w:rPr>
        <w:t>” means any Registrar, Paying Agent or Exchange Agent.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means the 3.375% Exchangeable Senior Notes due 2029 issued by the Company pursuant to this Indenture.</w:t>
      </w:r>
    </w:p>
    <w:p>
      <w:pPr>
        <w:spacing w:after="0" w:line="225"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Observation Period</w:t>
      </w:r>
      <w:r>
        <w:rPr>
          <w:rFonts w:ascii="Times New Roman" w:cs="Times New Roman" w:eastAsia="Times New Roman" w:hAnsi="Times New Roman"/>
          <w:sz w:val="18"/>
          <w:szCs w:val="18"/>
          <w:color w:val="auto"/>
        </w:rPr>
        <w:t xml:space="preserve">” means, with respect to any Note to be Exchanged, (A) subject to </w:t>
      </w:r>
      <w:r>
        <w:rPr>
          <w:rFonts w:ascii="Times New Roman" w:cs="Times New Roman" w:eastAsia="Times New Roman" w:hAnsi="Times New Roman"/>
          <w:sz w:val="18"/>
          <w:szCs w:val="18"/>
          <w:b w:val="1"/>
          <w:bCs w:val="1"/>
          <w:color w:val="auto"/>
        </w:rPr>
        <w:t>clause (B)</w:t>
      </w:r>
      <w:r>
        <w:rPr>
          <w:rFonts w:ascii="Times New Roman" w:cs="Times New Roman" w:eastAsia="Times New Roman" w:hAnsi="Times New Roman"/>
          <w:sz w:val="18"/>
          <w:szCs w:val="18"/>
          <w:color w:val="auto"/>
        </w:rPr>
        <w:t xml:space="preserve"> below, if the Exchange Date for such Note occurs on or before March 1, 2029, the forty (40) consecutive VWAP Trading Days beginning on, and including, the second (2nd) VWAP Trading Day immediately after such Exchange Date; (B) if such Exchange Date occurs on or after the date the Company has sent a Redemption Notice calling all or any Notes for Redemption pursuant to </w:t>
      </w:r>
      <w:r>
        <w:rPr>
          <w:rFonts w:ascii="Times New Roman" w:cs="Times New Roman" w:eastAsia="Times New Roman" w:hAnsi="Times New Roman"/>
          <w:sz w:val="18"/>
          <w:szCs w:val="18"/>
          <w:b w:val="1"/>
          <w:bCs w:val="1"/>
          <w:color w:val="auto"/>
        </w:rPr>
        <w:t>Section 4.03(F</w:t>
      </w:r>
      <w:r>
        <w:rPr>
          <w:rFonts w:ascii="Times New Roman" w:cs="Times New Roman" w:eastAsia="Times New Roman" w:hAnsi="Times New Roman"/>
          <w:sz w:val="18"/>
          <w:szCs w:val="18"/>
          <w:color w:val="auto"/>
        </w:rPr>
        <w:t xml:space="preserve">) and on or before the second (2nd) Scheduled Trading Day before the related Redemption Date, the forty (40) consecutive VWAP Trading Days beginning on, and including, the forty first (41st) Scheduled Trading Day immediately before such Redemption Date; and (C) subject to </w:t>
      </w:r>
      <w:r>
        <w:rPr>
          <w:rFonts w:ascii="Times New Roman" w:cs="Times New Roman" w:eastAsia="Times New Roman" w:hAnsi="Times New Roman"/>
          <w:sz w:val="18"/>
          <w:szCs w:val="18"/>
          <w:b w:val="1"/>
          <w:bCs w:val="1"/>
          <w:color w:val="auto"/>
        </w:rPr>
        <w:t>clause (B)</w:t>
      </w:r>
      <w:r>
        <w:rPr>
          <w:rFonts w:ascii="Times New Roman" w:cs="Times New Roman" w:eastAsia="Times New Roman" w:hAnsi="Times New Roman"/>
          <w:sz w:val="18"/>
          <w:szCs w:val="18"/>
          <w:color w:val="auto"/>
        </w:rPr>
        <w:t xml:space="preserve"> above, if such Exchange Date occurs after March 1, 2029, the forty (40) consecutive VWAP Trading Days beginning on, and including, the forty first (41st) Scheduled Trading Day immediately before the Maturity Date.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- 8 -</w:t>
      </w:r>
    </w:p>
    <w:p>
      <w:pPr>
        <w:sectPr>
          <w:pgSz w:w="11900" w:h="16838" w:orient="portrait"/>
          <w:cols w:equalWidth="0" w:num="1">
            <w:col w:w="10980"/>
          </w:cols>
          <w:pgMar w:left="440" w:top="266" w:right="479" w:bottom="1440" w:gutter="0" w:footer="0" w:header="0"/>
        </w:sectPr>
      </w:pPr>
    </w:p>
    <w:bookmarkStart w:id="21" w:name="page22"/>
    <w:bookmarkEnd w:id="21"/>
    <w:p>
      <w:pPr>
        <w:ind w:right="560" w:firstLine="4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Officer</w:t>
      </w:r>
      <w:r>
        <w:rPr>
          <w:rFonts w:ascii="Times New Roman" w:cs="Times New Roman" w:eastAsia="Times New Roman" w:hAnsi="Times New Roman"/>
          <w:sz w:val="18"/>
          <w:szCs w:val="18"/>
          <w:color w:val="auto"/>
        </w:rPr>
        <w:t>” means the Chairman of the Board of Directors, the Chief Executive Officer, the President, the Chief Operating Officer, the Chief Financial Officer, the General Counsel, the Treasurer, any Assistant Treasurer, the Controller, the Secretary, any Assistant Secretary or any Vice President of the Company.</w:t>
      </w:r>
    </w:p>
    <w:p>
      <w:pPr>
        <w:spacing w:after="0" w:line="171" w:lineRule="exact"/>
        <w:rPr>
          <w:sz w:val="20"/>
          <w:szCs w:val="20"/>
          <w:color w:val="auto"/>
        </w:rPr>
      </w:pPr>
    </w:p>
    <w:p>
      <w:pPr>
        <w:ind w:right="2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Officer’s Certificate</w:t>
      </w:r>
      <w:r>
        <w:rPr>
          <w:rFonts w:ascii="Times New Roman" w:cs="Times New Roman" w:eastAsia="Times New Roman" w:hAnsi="Times New Roman"/>
          <w:sz w:val="18"/>
          <w:szCs w:val="18"/>
          <w:color w:val="auto"/>
        </w:rPr>
        <w:t xml:space="preserve">” means a certificate that is signed on behalf of the Company by one (1) of its Officers and that meets the requirements of </w:t>
      </w:r>
      <w:r>
        <w:rPr>
          <w:rFonts w:ascii="Times New Roman" w:cs="Times New Roman" w:eastAsia="Times New Roman" w:hAnsi="Times New Roman"/>
          <w:sz w:val="18"/>
          <w:szCs w:val="18"/>
          <w:b w:val="1"/>
          <w:bCs w:val="1"/>
          <w:color w:val="auto"/>
        </w:rPr>
        <w:t>Section 12.03</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Open of Business</w:t>
      </w:r>
      <w:r>
        <w:rPr>
          <w:rFonts w:ascii="Times New Roman" w:cs="Times New Roman" w:eastAsia="Times New Roman" w:hAnsi="Times New Roman"/>
          <w:sz w:val="18"/>
          <w:szCs w:val="18"/>
          <w:color w:val="auto"/>
        </w:rPr>
        <w:t>” means 9:00 a.m., New York City time.</w:t>
      </w:r>
    </w:p>
    <w:p>
      <w:pPr>
        <w:spacing w:after="0" w:line="225" w:lineRule="exact"/>
        <w:rPr>
          <w:sz w:val="20"/>
          <w:szCs w:val="20"/>
          <w:color w:val="auto"/>
        </w:rPr>
      </w:pPr>
    </w:p>
    <w:p>
      <w:pPr>
        <w:ind w:right="2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Opinion of Counsel</w:t>
      </w:r>
      <w:r>
        <w:rPr>
          <w:rFonts w:ascii="Times New Roman" w:cs="Times New Roman" w:eastAsia="Times New Roman" w:hAnsi="Times New Roman"/>
          <w:sz w:val="18"/>
          <w:szCs w:val="18"/>
          <w:color w:val="auto"/>
        </w:rPr>
        <w:t xml:space="preserve">” means an opinion, from legal counsel (including an employee of, or counsel to, the Company or any of its Subsidiaries) reasonably acceptable to the Trustee, that meets the requirements of </w:t>
      </w:r>
      <w:r>
        <w:rPr>
          <w:rFonts w:ascii="Times New Roman" w:cs="Times New Roman" w:eastAsia="Times New Roman" w:hAnsi="Times New Roman"/>
          <w:sz w:val="18"/>
          <w:szCs w:val="18"/>
          <w:b w:val="1"/>
          <w:bCs w:val="1"/>
          <w:color w:val="auto"/>
        </w:rPr>
        <w:t>Section 12.03</w:t>
      </w:r>
      <w:r>
        <w:rPr>
          <w:rFonts w:ascii="Times New Roman" w:cs="Times New Roman" w:eastAsia="Times New Roman" w:hAnsi="Times New Roman"/>
          <w:sz w:val="18"/>
          <w:szCs w:val="18"/>
          <w:color w:val="auto"/>
        </w:rPr>
        <w:t>, subject to customary qualifications and exclusions.</w:t>
      </w:r>
    </w:p>
    <w:p>
      <w:pPr>
        <w:spacing w:after="0" w:line="155" w:lineRule="exact"/>
        <w:rPr>
          <w:sz w:val="20"/>
          <w:szCs w:val="20"/>
          <w:color w:val="auto"/>
        </w:rPr>
      </w:pPr>
    </w:p>
    <w:p>
      <w:pPr>
        <w:jc w:val="both"/>
        <w:ind w:right="1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individual, corporation, partnership, limited liability company, joint venture, association, joint-stock company, trust, unincorporated organization or government or other agency or political subdivision thereof. Any division or series of a limited liability company, limited partnership or trust will constitute a separate “person” under this Indenture.</w:t>
      </w:r>
    </w:p>
    <w:p>
      <w:pPr>
        <w:spacing w:after="0" w:line="171" w:lineRule="exact"/>
        <w:rPr>
          <w:sz w:val="20"/>
          <w:szCs w:val="20"/>
          <w:color w:val="auto"/>
        </w:rPr>
      </w:pPr>
    </w:p>
    <w:p>
      <w:pPr>
        <w:ind w:right="4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Physical Note</w:t>
      </w:r>
      <w:r>
        <w:rPr>
          <w:rFonts w:ascii="Times New Roman" w:cs="Times New Roman" w:eastAsia="Times New Roman" w:hAnsi="Times New Roman"/>
          <w:sz w:val="18"/>
          <w:szCs w:val="18"/>
          <w:color w:val="auto"/>
        </w:rPr>
        <w:t xml:space="preserve">” means a Note (other than a Global Note) that is represented by a certificate substantially in the form set forth in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registered in the name of the Holder of such Note and duly executed by the Company and authenticated by the Trustee.</w:t>
      </w:r>
    </w:p>
    <w:p>
      <w:pPr>
        <w:spacing w:after="0" w:line="155" w:lineRule="exact"/>
        <w:rPr>
          <w:sz w:val="20"/>
          <w:szCs w:val="20"/>
          <w:color w:val="auto"/>
        </w:rPr>
      </w:pPr>
    </w:p>
    <w:p>
      <w:pPr>
        <w:ind w:right="3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 means that certain Purchase Agreement, dated May 20, 2024, between the Company and J.P. Morgan Securities LLC, RBC Capital Markets, LLC and UBS Securities LLC, as representatives of the several Initial Purchasers.</w:t>
      </w:r>
    </w:p>
    <w:p>
      <w:pPr>
        <w:spacing w:after="0" w:line="15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Qualified Successor Entity</w:t>
      </w:r>
      <w:r>
        <w:rPr>
          <w:rFonts w:ascii="Times New Roman" w:cs="Times New Roman" w:eastAsia="Times New Roman" w:hAnsi="Times New Roman"/>
          <w:sz w:val="18"/>
          <w:szCs w:val="18"/>
          <w:color w:val="auto"/>
        </w:rPr>
        <w:t xml:space="preserve">” means, with respect to a Holdings Business Combination Event, a corporation;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 limited liability company, limited partnership or other similar entity will also constitute a Qualified Successor Entity with respect to such Holdings Business Combination Event if either (A) such Holdings Business Combination Event is an Exempted Fundamental Change; or (B) such Holdings Business Combination Event constitutes a Common Stock Change Event whose Reference Property consists solely of any combination of cash and shares of common stock or other corporate Common Equity interests of an entity that is (x) treated as a corporation for U.S. federal income tax purposes; (y) duly organized and existing under the laws of the United States of America, any State thereof or the District of Columbia; and (z) a direct or indirect parent of such limited liability company, limited partnership or other similar entity, as applicable.</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w:t>
      </w:r>
      <w:r>
        <w:rPr>
          <w:rFonts w:ascii="Times New Roman" w:cs="Times New Roman" w:eastAsia="Times New Roman" w:hAnsi="Times New Roman"/>
          <w:sz w:val="18"/>
          <w:szCs w:val="18"/>
          <w:color w:val="auto"/>
        </w:rPr>
        <w:t xml:space="preserve">” means the repurchase of any Note by the Company pursuant to </w:t>
      </w:r>
      <w:r>
        <w:rPr>
          <w:rFonts w:ascii="Times New Roman" w:cs="Times New Roman" w:eastAsia="Times New Roman" w:hAnsi="Times New Roman"/>
          <w:sz w:val="18"/>
          <w:szCs w:val="18"/>
          <w:b w:val="1"/>
          <w:bCs w:val="1"/>
          <w:color w:val="auto"/>
        </w:rPr>
        <w:t>Section 4.03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Date</w:t>
      </w:r>
      <w:r>
        <w:rPr>
          <w:rFonts w:ascii="Times New Roman" w:cs="Times New Roman" w:eastAsia="Times New Roman" w:hAnsi="Times New Roman"/>
          <w:sz w:val="18"/>
          <w:szCs w:val="18"/>
          <w:color w:val="auto"/>
        </w:rPr>
        <w:t xml:space="preserve">” means the date fixed, pursuant to </w:t>
      </w:r>
      <w:r>
        <w:rPr>
          <w:rFonts w:ascii="Times New Roman" w:cs="Times New Roman" w:eastAsia="Times New Roman" w:hAnsi="Times New Roman"/>
          <w:sz w:val="18"/>
          <w:szCs w:val="18"/>
          <w:b w:val="1"/>
          <w:bCs w:val="1"/>
          <w:color w:val="auto"/>
        </w:rPr>
        <w:t>Section 4.03(D</w:t>
      </w:r>
      <w:r>
        <w:rPr>
          <w:rFonts w:ascii="Times New Roman" w:cs="Times New Roman" w:eastAsia="Times New Roman" w:hAnsi="Times New Roman"/>
          <w:sz w:val="18"/>
          <w:szCs w:val="18"/>
          <w:color w:val="auto"/>
        </w:rPr>
        <w:t>), for the settlement of the repurchase of any Notes by the Company pursuant to a Redemption.</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- 9 -</w:t>
      </w:r>
    </w:p>
    <w:p>
      <w:pPr>
        <w:sectPr>
          <w:pgSz w:w="11900" w:h="16838" w:orient="portrait"/>
          <w:cols w:equalWidth="0" w:num="1">
            <w:col w:w="11000"/>
          </w:cols>
          <w:pgMar w:left="440" w:top="266" w:right="459" w:bottom="1440" w:gutter="0" w:footer="0" w:header="0"/>
        </w:sectPr>
      </w:pPr>
    </w:p>
    <w:bookmarkStart w:id="22" w:name="page23"/>
    <w:bookmarkEnd w:id="22"/>
    <w:p>
      <w:pPr>
        <w:ind w:right="62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Redemption Notice Date</w:t>
      </w:r>
      <w:r>
        <w:rPr>
          <w:rFonts w:ascii="Times New Roman" w:cs="Times New Roman" w:eastAsia="Times New Roman" w:hAnsi="Times New Roman"/>
          <w:sz w:val="18"/>
          <w:szCs w:val="18"/>
          <w:color w:val="auto"/>
        </w:rPr>
        <w:t xml:space="preserve">” means, with respect to a Redemption, the date on which the Company sends the Redemption Notice for such Redemption pursuant to </w:t>
      </w:r>
      <w:r>
        <w:rPr>
          <w:rFonts w:ascii="Times New Roman" w:cs="Times New Roman" w:eastAsia="Times New Roman" w:hAnsi="Times New Roman"/>
          <w:sz w:val="18"/>
          <w:szCs w:val="18"/>
          <w:b w:val="1"/>
          <w:bCs w:val="1"/>
          <w:color w:val="auto"/>
        </w:rPr>
        <w:t>Section 4.03(F</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right="9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Price</w:t>
      </w:r>
      <w:r>
        <w:rPr>
          <w:rFonts w:ascii="Times New Roman" w:cs="Times New Roman" w:eastAsia="Times New Roman" w:hAnsi="Times New Roman"/>
          <w:sz w:val="18"/>
          <w:szCs w:val="18"/>
          <w:color w:val="auto"/>
        </w:rPr>
        <w:t xml:space="preserve">” means the cash price payable by the Company to redeem any Note upon its Redemption, calculated pursuant to </w:t>
      </w:r>
      <w:r>
        <w:rPr>
          <w:rFonts w:ascii="Times New Roman" w:cs="Times New Roman" w:eastAsia="Times New Roman" w:hAnsi="Times New Roman"/>
          <w:sz w:val="18"/>
          <w:szCs w:val="18"/>
          <w:b w:val="1"/>
          <w:bCs w:val="1"/>
          <w:color w:val="auto"/>
        </w:rPr>
        <w:t>Section 4.03(E</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Regular Record Date</w:t>
      </w:r>
      <w:r>
        <w:rPr>
          <w:rFonts w:ascii="Times New Roman" w:cs="Times New Roman" w:eastAsia="Times New Roman" w:hAnsi="Times New Roman"/>
          <w:sz w:val="18"/>
          <w:szCs w:val="18"/>
          <w:color w:val="auto"/>
        </w:rPr>
        <w:t>” has the following meaning with respect to an Interest Payment Date: (A) if such Interest Payment Date occurs on June 1, the immediately preceding May 15; and (B) if such Interest Payment Date occurs on December 1, the immediately preceding November 15.</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Repurchase Upon Fundamental Change</w:t>
      </w:r>
      <w:r>
        <w:rPr>
          <w:rFonts w:ascii="Times New Roman" w:cs="Times New Roman" w:eastAsia="Times New Roman" w:hAnsi="Times New Roman"/>
          <w:sz w:val="18"/>
          <w:szCs w:val="18"/>
          <w:color w:val="auto"/>
        </w:rPr>
        <w:t xml:space="preserve">” means the repurchase of any Note by the Company pursuant to </w:t>
      </w:r>
      <w:r>
        <w:rPr>
          <w:rFonts w:ascii="Times New Roman" w:cs="Times New Roman" w:eastAsia="Times New Roman" w:hAnsi="Times New Roman"/>
          <w:sz w:val="18"/>
          <w:szCs w:val="18"/>
          <w:b w:val="1"/>
          <w:bCs w:val="1"/>
          <w:color w:val="auto"/>
        </w:rPr>
        <w:t>Section 4.02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Responsible Officer</w:t>
      </w:r>
      <w:r>
        <w:rPr>
          <w:rFonts w:ascii="Times New Roman" w:cs="Times New Roman" w:eastAsia="Times New Roman" w:hAnsi="Times New Roman"/>
          <w:sz w:val="18"/>
          <w:szCs w:val="18"/>
          <w:color w:val="auto"/>
        </w:rPr>
        <w:t>” means (A) any officer within the corporate trust group of the Trustee (or any successor group of the Trustee) or any other officer of the Trustee customarily performing functions similar to those performed by any of such officers; and (B) with respect to a particular corporate trust matter relating to this Indenture, any other officer to whom such matter is referred because of his or her knowledge of, and familiarity with, the particular subject, and who, in each case, has direct responsibility for the administration of this Indenture.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Note Legend</w:t>
      </w:r>
      <w:r>
        <w:rPr>
          <w:rFonts w:ascii="Times New Roman" w:cs="Times New Roman" w:eastAsia="Times New Roman" w:hAnsi="Times New Roman"/>
          <w:sz w:val="18"/>
          <w:szCs w:val="18"/>
          <w:color w:val="auto"/>
        </w:rPr>
        <w:t xml:space="preserve">” means a legend substantially in the form set forth in </w:t>
      </w:r>
      <w:r>
        <w:rPr>
          <w:rFonts w:ascii="Times New Roman" w:cs="Times New Roman" w:eastAsia="Times New Roman" w:hAnsi="Times New Roman"/>
          <w:sz w:val="18"/>
          <w:szCs w:val="18"/>
          <w:b w:val="1"/>
          <w:bCs w:val="1"/>
          <w:color w:val="auto"/>
        </w:rPr>
        <w:t>Exhibit B-1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Restricted Stock Legend</w:t>
      </w:r>
      <w:r>
        <w:rPr>
          <w:rFonts w:ascii="Times New Roman" w:cs="Times New Roman" w:eastAsia="Times New Roman" w:hAnsi="Times New Roman"/>
          <w:sz w:val="17"/>
          <w:szCs w:val="17"/>
          <w:color w:val="auto"/>
        </w:rPr>
        <w:t>” means, with respect to any Exchange Share, a legend substantially to the effect that the offer and sale of such Exchange Share have not been registered under the Securities Act and that such Exchange Share cannot be sold or otherwise transferred except pursuant to a transaction that is registered under the Securities Act or that is exempt from, or not subject to, the registration requirements of the Securities Act.</w:t>
      </w:r>
    </w:p>
    <w:p>
      <w:pPr>
        <w:spacing w:after="0" w:line="15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 144</w:t>
      </w:r>
      <w:r>
        <w:rPr>
          <w:rFonts w:ascii="Times New Roman" w:cs="Times New Roman" w:eastAsia="Times New Roman" w:hAnsi="Times New Roman"/>
          <w:sz w:val="18"/>
          <w:szCs w:val="18"/>
          <w:color w:val="auto"/>
        </w:rPr>
        <w:t>” means Rule 144 under the Securities Act (or any successor rule thereto), as the same may be amended from time to time.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 144A</w:t>
      </w:r>
      <w:r>
        <w:rPr>
          <w:rFonts w:ascii="Times New Roman" w:cs="Times New Roman" w:eastAsia="Times New Roman" w:hAnsi="Times New Roman"/>
          <w:sz w:val="18"/>
          <w:szCs w:val="18"/>
          <w:color w:val="auto"/>
        </w:rPr>
        <w:t>” means Rule 144A under the Securities Act (or any successor rule thereto), as the same may be amended from time to time.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 501</w:t>
      </w:r>
      <w:r>
        <w:rPr>
          <w:rFonts w:ascii="Times New Roman" w:cs="Times New Roman" w:eastAsia="Times New Roman" w:hAnsi="Times New Roman"/>
          <w:sz w:val="18"/>
          <w:szCs w:val="18"/>
          <w:color w:val="auto"/>
        </w:rPr>
        <w:t>” means Rule 501 of Regulation D under the Securities Act (or any successor rule thereto), as the same may be amended from time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w:t>
      </w:r>
    </w:p>
    <w:p>
      <w:pPr>
        <w:spacing w:after="0" w:line="203" w:lineRule="exact"/>
        <w:rPr>
          <w:sz w:val="20"/>
          <w:szCs w:val="20"/>
          <w:color w:val="auto"/>
        </w:rPr>
      </w:pPr>
    </w:p>
    <w:p>
      <w:pPr>
        <w:ind w:right="6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Scheduled Trading Day</w:t>
      </w:r>
      <w:r>
        <w:rPr>
          <w:rFonts w:ascii="Times New Roman" w:cs="Times New Roman" w:eastAsia="Times New Roman" w:hAnsi="Times New Roman"/>
          <w:sz w:val="18"/>
          <w:szCs w:val="18"/>
          <w:color w:val="auto"/>
        </w:rPr>
        <w:t>” means any day that is scheduled to be a Trading Day on the principal U.S. national or regional securities exchange on which the Common Stock is then listed or, if the Common Stock is not then listed on a U.S. national or regional securities exchange, on the principal other market on which the Common Stock is then traded. If the Common Stock is not so listed or traded, then “Scheduled Trading Day” means a Business Day.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U.S. Securities and Exchange Commission.</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- 10 -</w:t>
      </w:r>
    </w:p>
    <w:p>
      <w:pPr>
        <w:sectPr>
          <w:pgSz w:w="11900" w:h="16838" w:orient="portrait"/>
          <w:cols w:equalWidth="0" w:num="1">
            <w:col w:w="10960"/>
          </w:cols>
          <w:pgMar w:left="440" w:top="266" w:right="499" w:bottom="1440" w:gutter="0" w:footer="0" w:header="0"/>
        </w:sectPr>
      </w:pPr>
    </w:p>
    <w:bookmarkStart w:id="23" w:name="page24"/>
    <w:bookmarkEnd w:id="23"/>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U.S. Securities Act of 1933, as amended.</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Security</w:t>
      </w:r>
      <w:r>
        <w:rPr>
          <w:rFonts w:ascii="Times New Roman" w:cs="Times New Roman" w:eastAsia="Times New Roman" w:hAnsi="Times New Roman"/>
          <w:sz w:val="18"/>
          <w:szCs w:val="18"/>
          <w:color w:val="auto"/>
        </w:rPr>
        <w:t>” means any Note or Exchange Share.</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Settlement Method</w:t>
      </w:r>
      <w:r>
        <w:rPr>
          <w:rFonts w:ascii="Times New Roman" w:cs="Times New Roman" w:eastAsia="Times New Roman" w:hAnsi="Times New Roman"/>
          <w:sz w:val="18"/>
          <w:szCs w:val="18"/>
          <w:color w:val="auto"/>
        </w:rPr>
        <w:t>” means Cash Settlement or Combination Settlement.</w:t>
      </w:r>
    </w:p>
    <w:p>
      <w:pPr>
        <w:spacing w:after="0" w:line="225" w:lineRule="exact"/>
        <w:rPr>
          <w:sz w:val="20"/>
          <w:szCs w:val="20"/>
          <w:color w:val="auto"/>
        </w:rPr>
      </w:pPr>
    </w:p>
    <w:p>
      <w:pPr>
        <w:ind w:left="4" w:right="4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Significant Subsidiary</w:t>
      </w:r>
      <w:r>
        <w:rPr>
          <w:rFonts w:ascii="Times New Roman" w:cs="Times New Roman" w:eastAsia="Times New Roman" w:hAnsi="Times New Roman"/>
          <w:sz w:val="18"/>
          <w:szCs w:val="18"/>
          <w:color w:val="auto"/>
        </w:rPr>
        <w:t xml:space="preserve">” means, with respect to any Person, any Subsidiary of such Person that constitutes a “significant subsidiary” (as defined in Rule 1-02(w) of Regulation S-X under the Exchange Act) of such 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a Subsidiary meets the criteria of clause (1)(iii), but not clause (1)(i) or (1)(ii), of the definition of “significant subsidiary” in Rule 1-02(w) (or, if applicable, the respective successor clauses to the aforementioned clauses), then such Subsidiary will be deemed not to be a Significant Subsidiary of such Person unless such Subsidiary’s income from continuing operations before income taxes, exclusive of amounts attributable to any non-controlling interests, for the last completed fiscal year before the date of determination exceeds seventy-five million dollars ($75,000,000).</w:t>
      </w:r>
    </w:p>
    <w:p>
      <w:pPr>
        <w:spacing w:after="0" w:line="18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Special Interest</w:t>
      </w:r>
      <w:r>
        <w:rPr>
          <w:rFonts w:ascii="Times New Roman" w:cs="Times New Roman" w:eastAsia="Times New Roman" w:hAnsi="Times New Roman"/>
          <w:sz w:val="18"/>
          <w:szCs w:val="18"/>
          <w:color w:val="auto"/>
        </w:rPr>
        <w:t xml:space="preserve">” means any interest that accrues on any Note pursuant to </w:t>
      </w:r>
      <w:r>
        <w:rPr>
          <w:rFonts w:ascii="Times New Roman" w:cs="Times New Roman" w:eastAsia="Times New Roman" w:hAnsi="Times New Roman"/>
          <w:sz w:val="18"/>
          <w:szCs w:val="18"/>
          <w:b w:val="1"/>
          <w:bCs w:val="1"/>
          <w:color w:val="auto"/>
        </w:rPr>
        <w:t>Section 7.03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Dollar Amount</w:t>
      </w:r>
      <w:r>
        <w:rPr>
          <w:rFonts w:ascii="Times New Roman" w:cs="Times New Roman" w:eastAsia="Times New Roman" w:hAnsi="Times New Roman"/>
          <w:sz w:val="18"/>
          <w:szCs w:val="18"/>
          <w:color w:val="auto"/>
        </w:rPr>
        <w:t xml:space="preserve">” means, with respect to the Exchange of a Note to which Combination Settlement applies, the maximum cash amount per $1,000 principal amount of such Note deliverable upon such Exchange (excluding cash in lieu of any fractional share of Common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no event will the Specified Dollar Amount be less than $1,000 per $1,000 principal amount of such Note.</w:t>
      </w:r>
    </w:p>
    <w:p>
      <w:pPr>
        <w:spacing w:after="0" w:line="171" w:lineRule="exact"/>
        <w:rPr>
          <w:sz w:val="20"/>
          <w:szCs w:val="20"/>
          <w:color w:val="auto"/>
        </w:rPr>
      </w:pPr>
    </w:p>
    <w:p>
      <w:pPr>
        <w:ind w:left="4" w:firstLine="440"/>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Stock Price</w:t>
      </w:r>
      <w:r>
        <w:rPr>
          <w:rFonts w:ascii="Times New Roman" w:cs="Times New Roman" w:eastAsia="Times New Roman" w:hAnsi="Times New Roman"/>
          <w:sz w:val="17"/>
          <w:szCs w:val="17"/>
          <w:color w:val="auto"/>
        </w:rPr>
        <w:t xml:space="preserve">” has the following meaning for any Make-Whole Fundamental Change: (A) if the holders of Common Stock receive only cash in consideration for their shares of Common Stock in such Make-Whole Fundamental Change and such Make-Whole Fundamental Change is pursuant to </w:t>
      </w:r>
      <w:r>
        <w:rPr>
          <w:rFonts w:ascii="Times New Roman" w:cs="Times New Roman" w:eastAsia="Times New Roman" w:hAnsi="Times New Roman"/>
          <w:sz w:val="17"/>
          <w:szCs w:val="17"/>
          <w:b w:val="1"/>
          <w:bCs w:val="1"/>
          <w:color w:val="auto"/>
        </w:rPr>
        <w:t xml:space="preserve">clause (B) </w:t>
      </w:r>
      <w:r>
        <w:rPr>
          <w:rFonts w:ascii="Times New Roman" w:cs="Times New Roman" w:eastAsia="Times New Roman" w:hAnsi="Times New Roman"/>
          <w:sz w:val="17"/>
          <w:szCs w:val="17"/>
          <w:color w:val="auto"/>
        </w:rPr>
        <w:t>of the definition of “Fundamental Change,” then the Stock Price is the amount of cash paid per share of Common Stock in such Make-Whole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Fundamental Change; and (B) in all other cases, the Stock Price is the average of the Last Reported Sale Prices per share of Common Stock for the five</w:t>
      </w:r>
    </w:p>
    <w:p>
      <w:pPr>
        <w:ind w:left="4" w:right="180" w:hanging="4"/>
        <w:spacing w:after="0" w:line="260" w:lineRule="auto"/>
        <w:tabs>
          <w:tab w:leader="none" w:pos="25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consecutive Trading Days ending on, and including, the Trading Day immediately before the Make-Whole Fundamental Change Effective Date of such Make-Whole Fundamental Change.</w:t>
      </w:r>
    </w:p>
    <w:p>
      <w:pPr>
        <w:spacing w:after="0" w:line="177" w:lineRule="exact"/>
        <w:rPr>
          <w:sz w:val="20"/>
          <w:szCs w:val="20"/>
          <w:color w:val="auto"/>
        </w:rPr>
      </w:pPr>
    </w:p>
    <w:p>
      <w:pPr>
        <w:ind w:left="4" w:right="12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with respect to any Person, (A) any corporation, association or other business entity (other than a partnership or limited liability company) of which more than fifty percent (50%) of the total voting power of the Capital Stock entitled (without regard to the occurrence of any contingency, but after giving effect to any voting agreement or stockholders’ agreement that effectively transfers voting power) to vote in the election of directors, managers or trustees, as applicable, of such corporation, association or other business entity is owned or controlled, directly or indirectly, by such Person or one or more of the other Subsidiaries of such Person; and (B) any partnership or limited liability company where (i) more than fifty percent (50%) of the capital accounts, distribution rights, equity and voting interests, or of the general and limited partnership interests, as applicable, of such partnership or limited liability company are owned or controlled, directly or indirectly, by such Person or one or more of the other Subsidiaries of such Person, whether in the form of membership, general, special or limited partnership or limited liability company interests or otherwise; and (ii) such Person or any one or more of the other Subsidiaries of such Person is a controlling general partner of, or otherwise controls, such partnership or limited liability company.</w:t>
      </w:r>
    </w:p>
    <w:p>
      <w:pPr>
        <w:spacing w:after="0" w:line="12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- 11 -</w:t>
      </w:r>
    </w:p>
    <w:p>
      <w:pPr>
        <w:sectPr>
          <w:pgSz w:w="11900" w:h="16838" w:orient="portrait"/>
          <w:cols w:equalWidth="0" w:num="1">
            <w:col w:w="10964"/>
          </w:cols>
          <w:pgMar w:left="436" w:top="266" w:right="499" w:bottom="1440" w:gutter="0" w:footer="0" w:header="0"/>
        </w:sectPr>
      </w:pPr>
    </w:p>
    <w:bookmarkStart w:id="24" w:name="page25"/>
    <w:bookmarkEnd w:id="24"/>
    <w:p>
      <w:pPr>
        <w:ind w:right="30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Subsidiary Guarantors</w:t>
      </w:r>
      <w:r>
        <w:rPr>
          <w:rFonts w:ascii="Times New Roman" w:cs="Times New Roman" w:eastAsia="Times New Roman" w:hAnsi="Times New Roman"/>
          <w:sz w:val="18"/>
          <w:szCs w:val="18"/>
          <w:color w:val="auto"/>
        </w:rPr>
        <w:t xml:space="preserve">” means each Guarantor other than Holdings and, in each case, subject to </w:t>
      </w:r>
      <w:r>
        <w:rPr>
          <w:rFonts w:ascii="Times New Roman" w:cs="Times New Roman" w:eastAsia="Times New Roman" w:hAnsi="Times New Roman"/>
          <w:sz w:val="18"/>
          <w:szCs w:val="18"/>
          <w:b w:val="1"/>
          <w:bCs w:val="1"/>
          <w:color w:val="auto"/>
        </w:rPr>
        <w:t>Section 9.06</w:t>
      </w:r>
      <w:r>
        <w:rPr>
          <w:rFonts w:ascii="Times New Roman" w:cs="Times New Roman" w:eastAsia="Times New Roman" w:hAnsi="Times New Roman"/>
          <w:sz w:val="18"/>
          <w:szCs w:val="18"/>
          <w:color w:val="auto"/>
        </w:rPr>
        <w:t>, the successors and assigns of each such Guarantor.</w:t>
      </w:r>
    </w:p>
    <w:p>
      <w:pPr>
        <w:spacing w:after="0" w:line="155"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any day on which (A) trading in the Common Stock generally occurs on the principal U.S. national or regional securities exchange on which the Common Stock is then listed or, if the Common Stock is not then listed on a U.S. national or regional securities exchange, on the principal other market on which the Common Stock is then traded; and (B) there is no Market Disruption Event. If the Common Stock is not so listed or traded, then “Trading Day” means a Business Day.</w:t>
      </w:r>
    </w:p>
    <w:p>
      <w:pPr>
        <w:spacing w:after="0" w:line="176" w:lineRule="exact"/>
        <w:rPr>
          <w:sz w:val="20"/>
          <w:szCs w:val="20"/>
          <w:color w:val="auto"/>
        </w:rPr>
      </w:pPr>
    </w:p>
    <w:p>
      <w:pPr>
        <w:ind w:right="8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Price</w:t>
      </w:r>
      <w:r>
        <w:rPr>
          <w:rFonts w:ascii="Times New Roman" w:cs="Times New Roman" w:eastAsia="Times New Roman" w:hAnsi="Times New Roman"/>
          <w:sz w:val="18"/>
          <w:szCs w:val="18"/>
          <w:color w:val="auto"/>
        </w:rPr>
        <w:t xml:space="preserve">” of the Notes on any Trading Day means the average of the secondary market bid quotations, expressed as a cash amount per $1,000 principal amount of Notes, obtained by the Bid Solicitation Agent for one million dollars ($1,000,000) (or such lesser amount as may then be outstanding) in principal amount of Notes at approximately 3:30 p.m., New York City time, on such Trading Day from three (3) nationally recognized independent securities dealers selected by the Company, which may include any of the Initial Purchasers;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three (3) such bids cannot reasonably be obtained by the Bid Solicitation Agent but two (2) such bids are obtained, then the average of the two (2) bids will be used, and if only one (1) such bid can reasonably be obtained by the Bid Solicitation Agent, then that one (1) bid will be used. If, on any Trading Day, (A) the Bid Solicitation Agent cannot reasonably obtain at least one (1) bid for one million dollars ($1,000,000) (or such lesser amount as may then be outstanding) in principal amount of Notes from a nationally recognized independent securities dealer; (B) the Company is not acting as the Bid Solicitation Agent and the Company fails to instruct the Bid Solicitation Agent to obtain bids when required; or (C) the Bid Solicitation Agent fails to solicit bids when required, then, in each case, the Trading Price per $1,000 principal amount of Notes on such Trading Day will be deemed to be less than ninety eight percent (98%) of the product of the Last Reported Sale Price per share of Common Stock on such Trading Day and the Exchange Rate on such Trading Day.</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Transfer-Restricted Security</w:t>
      </w:r>
      <w:r>
        <w:rPr>
          <w:rFonts w:ascii="Times New Roman" w:cs="Times New Roman" w:eastAsia="Times New Roman" w:hAnsi="Times New Roman"/>
          <w:sz w:val="18"/>
          <w:szCs w:val="18"/>
          <w:color w:val="auto"/>
        </w:rPr>
        <w:t xml:space="preserve">” means any Security that constitutes a “restricted security” (as defined in Rule 144);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 will cease to be a Transfer-Restricted Security upon the earliest to occur of the following events:</w:t>
      </w:r>
    </w:p>
    <w:p>
      <w:pPr>
        <w:spacing w:after="0" w:line="99" w:lineRule="exact"/>
        <w:rPr>
          <w:sz w:val="20"/>
          <w:szCs w:val="20"/>
          <w:color w:val="auto"/>
        </w:rPr>
      </w:pPr>
    </w:p>
    <w:p>
      <w:pPr>
        <w:ind w:right="160" w:firstLine="436"/>
        <w:spacing w:after="0" w:line="282" w:lineRule="auto"/>
        <w:tabs>
          <w:tab w:leader="none" w:pos="7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Security is sold or otherwise transferred to a Person (other than the Company or an Affiliate of the Company) pursuant to a registration statement that was effective under the Securities Act at the time of such sale or transfer;</w:t>
      </w:r>
    </w:p>
    <w:p>
      <w:pPr>
        <w:spacing w:after="0" w:line="53" w:lineRule="exact"/>
        <w:rPr>
          <w:rFonts w:ascii="Times New Roman" w:cs="Times New Roman" w:eastAsia="Times New Roman" w:hAnsi="Times New Roman"/>
          <w:sz w:val="18"/>
          <w:szCs w:val="18"/>
          <w:color w:val="auto"/>
        </w:rPr>
      </w:pPr>
    </w:p>
    <w:p>
      <w:pPr>
        <w:ind w:right="100" w:firstLine="436"/>
        <w:spacing w:after="0" w:line="266" w:lineRule="auto"/>
        <w:tabs>
          <w:tab w:leader="none" w:pos="72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Security is sold or otherwise transferred to a Person (other than the Company or an Affiliate of the Company) pursuant to an available exemption (including Rule 144) from the registration and prospectus-delivery requirements of, or in a transaction not subject to, the Securities Act and, immediately after such sale or transfer, such Security ceases to constitute a “restricted security” (as defined in Rule 144); and</w:t>
      </w:r>
    </w:p>
    <w:p>
      <w:pPr>
        <w:spacing w:after="0" w:line="108"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w:t>
      </w:r>
    </w:p>
    <w:p>
      <w:pPr>
        <w:sectPr>
          <w:pgSz w:w="11900" w:h="16838" w:orient="portrait"/>
          <w:cols w:equalWidth="0" w:num="1">
            <w:col w:w="10980"/>
          </w:cols>
          <w:pgMar w:left="440" w:top="266" w:right="479" w:bottom="1440" w:gutter="0" w:footer="0" w:header="0"/>
        </w:sectPr>
      </w:pPr>
    </w:p>
    <w:bookmarkStart w:id="25" w:name="page26"/>
    <w:bookmarkEnd w:id="25"/>
    <w:p>
      <w:pPr>
        <w:ind w:firstLine="436"/>
        <w:spacing w:after="0" w:line="266" w:lineRule="auto"/>
        <w:tabs>
          <w:tab w:leader="none" w:pos="72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Security is eligible for resale, by a Person that is not an Affiliate of the Company and that has not been an Affiliate of the Company during the immediately preceding three (3) months, pursuant to Rule 144 without any limitations thereunder as to volume, manner of sale, availability of current public information or notice.</w:t>
      </w:r>
    </w:p>
    <w:p>
      <w:pPr>
        <w:spacing w:after="0" w:line="176"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The Trustee is under no obligation to determine whether any Security is a Transfer-Restricted Security and may conclusively rely on an Officer’s Certificate with respect thereto.</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Trust Indenture Act</w:t>
      </w:r>
      <w:r>
        <w:rPr>
          <w:rFonts w:ascii="Times New Roman" w:cs="Times New Roman" w:eastAsia="Times New Roman" w:hAnsi="Times New Roman"/>
          <w:sz w:val="18"/>
          <w:szCs w:val="18"/>
          <w:color w:val="auto"/>
        </w:rPr>
        <w:t>” means the U.S. Trust Indenture Act of 1939, as amended.</w:t>
      </w:r>
    </w:p>
    <w:p>
      <w:pPr>
        <w:spacing w:after="0" w:line="225" w:lineRule="exact"/>
        <w:rPr>
          <w:sz w:val="20"/>
          <w:szCs w:val="20"/>
          <w:color w:val="auto"/>
        </w:rPr>
      </w:pPr>
    </w:p>
    <w:p>
      <w:pPr>
        <w:ind w:right="1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means the Person named as such in the first paragraph of this Indenture until a successor replaces it in accordance with the provisions of this Indenture and, thereafter, means such successor.</w:t>
      </w:r>
    </w:p>
    <w:p>
      <w:pPr>
        <w:spacing w:after="0" w:line="155" w:lineRule="exact"/>
        <w:rPr>
          <w:sz w:val="20"/>
          <w:szCs w:val="20"/>
          <w:color w:val="auto"/>
        </w:rPr>
      </w:pPr>
    </w:p>
    <w:p>
      <w:pPr>
        <w:ind w:right="20" w:firstLine="440"/>
        <w:spacing w:after="0" w:line="27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VWAP Market Disruption Event</w:t>
      </w:r>
      <w:r>
        <w:rPr>
          <w:rFonts w:ascii="Times New Roman" w:cs="Times New Roman" w:eastAsia="Times New Roman" w:hAnsi="Times New Roman"/>
          <w:sz w:val="17"/>
          <w:szCs w:val="17"/>
          <w:color w:val="auto"/>
        </w:rPr>
        <w:t>” means, with respect to any date, (A) the failure by the principal U.S. national or regional securities exchange on which the Common Stock is then listed, or, if the Common Stock is not then listed on a U.S. national or regional securities exchange, the principal other market on which the Common Stock is then traded, to open for trading during its regular trading session on such date; or (B) the occurrence or existence, for more than one half hour period in the aggregate, of any suspension or limitation imposed on trading (by reason of movements in price exceeding limits permitted by the relevant exchange or otherwise) in the Common Stock or in any options contracts or futures contracts relating to the Common Stock, and such suspension or limitation occurs or exists at any time before 1:00 p.m., New York City time, on such date.</w:t>
      </w:r>
    </w:p>
    <w:p>
      <w:pPr>
        <w:spacing w:after="0" w:line="168" w:lineRule="exact"/>
        <w:rPr>
          <w:sz w:val="20"/>
          <w:szCs w:val="20"/>
          <w:color w:val="auto"/>
        </w:rPr>
      </w:pPr>
    </w:p>
    <w:p>
      <w:pPr>
        <w:ind w:right="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VWAP Trading Day</w:t>
      </w:r>
      <w:r>
        <w:rPr>
          <w:rFonts w:ascii="Times New Roman" w:cs="Times New Roman" w:eastAsia="Times New Roman" w:hAnsi="Times New Roman"/>
          <w:sz w:val="18"/>
          <w:szCs w:val="18"/>
          <w:color w:val="auto"/>
        </w:rPr>
        <w:t>” means a day on which (A) there is no VWAP Market Disruption Event; and (B) trading in the Common Stock generally occurs on the principal U.S. national or regional securities exchange on which the Common Stock is then listed or, if the Common Stock is not then listed on a U.S. national or regional securities exchange, on the principal other market on which the Common Stock is then traded. If the Common Stock is not so listed or traded, then “VWAP Trading Day” means a Business Day.</w:t>
      </w:r>
    </w:p>
    <w:p>
      <w:pPr>
        <w:spacing w:after="0" w:line="176" w:lineRule="exact"/>
        <w:rPr>
          <w:sz w:val="20"/>
          <w:szCs w:val="20"/>
          <w:color w:val="auto"/>
        </w:rPr>
      </w:pPr>
    </w:p>
    <w:p>
      <w:pPr>
        <w:ind w:right="1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Wholly Owned Subsidiary</w:t>
      </w:r>
      <w:r>
        <w:rPr>
          <w:rFonts w:ascii="Times New Roman" w:cs="Times New Roman" w:eastAsia="Times New Roman" w:hAnsi="Times New Roman"/>
          <w:sz w:val="18"/>
          <w:szCs w:val="18"/>
          <w:color w:val="auto"/>
        </w:rPr>
        <w:t>” of a Person means any Subsidiary of such Person all of the outstanding Capital Stock or other ownership interests of which (other than directors’ qualifying shares) are owned by such Person or one or more Wholly Owned Subsidiaries of such Person.</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1.02. O</w:t>
      </w:r>
      <w:r>
        <w:rPr>
          <w:rFonts w:ascii="Times New Roman" w:cs="Times New Roman" w:eastAsia="Times New Roman" w:hAnsi="Times New Roman"/>
          <w:sz w:val="14"/>
          <w:szCs w:val="14"/>
          <w:b w:val="1"/>
          <w:bCs w:val="1"/>
          <w:color w:val="auto"/>
        </w:rPr>
        <w:t>THER</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EFINITIONS</w:t>
      </w:r>
      <w:r>
        <w:rPr>
          <w:rFonts w:ascii="Times New Roman" w:cs="Times New Roman" w:eastAsia="Times New Roman" w:hAnsi="Times New Roman"/>
          <w:sz w:val="18"/>
          <w:szCs w:val="18"/>
          <w:b w:val="1"/>
          <w:bCs w:val="1"/>
          <w:color w:val="auto"/>
        </w:rPr>
        <w: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5820" w:type="dxa"/>
            <w:vAlign w:val="bottom"/>
          </w:tcPr>
          <w:p>
            <w:pPr>
              <w:spacing w:after="0"/>
              <w:rPr>
                <w:sz w:val="13"/>
                <w:szCs w:val="13"/>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Defined</w:t>
            </w:r>
          </w:p>
        </w:tc>
        <w:tc>
          <w:tcPr>
            <w:tcW w:w="0" w:type="dxa"/>
            <w:vAlign w:val="bottom"/>
          </w:tcPr>
          <w:p>
            <w:pPr>
              <w:spacing w:after="0"/>
              <w:rPr>
                <w:sz w:val="1"/>
                <w:szCs w:val="1"/>
                <w:color w:val="auto"/>
              </w:rPr>
            </w:pPr>
          </w:p>
        </w:tc>
      </w:tr>
      <w:tr>
        <w:trPr>
          <w:trHeight w:val="148"/>
        </w:trPr>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92"/>
              </w:rPr>
              <w:t>Term</w:t>
            </w:r>
          </w:p>
        </w:tc>
        <w:tc>
          <w:tcPr>
            <w:tcW w:w="3940" w:type="dxa"/>
            <w:vAlign w:val="bottom"/>
            <w:vMerge w:val="restart"/>
          </w:tcPr>
          <w:p>
            <w:pPr>
              <w:spacing w:after="0"/>
              <w:rPr>
                <w:sz w:val="12"/>
                <w:szCs w:val="12"/>
                <w:color w:val="auto"/>
              </w:rPr>
            </w:pPr>
          </w:p>
        </w:tc>
        <w:tc>
          <w:tcPr>
            <w:tcW w:w="5820" w:type="dxa"/>
            <w:vAlign w:val="bottom"/>
          </w:tcPr>
          <w:p>
            <w:pPr>
              <w:spacing w:after="0"/>
              <w:rPr>
                <w:sz w:val="12"/>
                <w:szCs w:val="12"/>
                <w:color w:val="auto"/>
              </w:rPr>
            </w:pPr>
          </w:p>
        </w:tc>
        <w:tc>
          <w:tcPr>
            <w:tcW w:w="90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in</w:t>
            </w:r>
          </w:p>
        </w:tc>
        <w:tc>
          <w:tcPr>
            <w:tcW w:w="0" w:type="dxa"/>
            <w:vAlign w:val="bottom"/>
          </w:tcPr>
          <w:p>
            <w:pPr>
              <w:spacing w:after="0"/>
              <w:rPr>
                <w:sz w:val="1"/>
                <w:szCs w:val="1"/>
                <w:color w:val="auto"/>
              </w:rPr>
            </w:pPr>
          </w:p>
        </w:tc>
      </w:tr>
      <w:tr>
        <w:trPr>
          <w:trHeight w:val="178"/>
        </w:trPr>
        <w:tc>
          <w:tcPr>
            <w:tcW w:w="300" w:type="dxa"/>
            <w:vAlign w:val="bottom"/>
            <w:tcBorders>
              <w:bottom w:val="single" w:sz="8" w:color="auto"/>
            </w:tcBorders>
            <w:vMerge w:val="continue"/>
          </w:tcPr>
          <w:p>
            <w:pPr>
              <w:spacing w:after="0"/>
              <w:rPr>
                <w:sz w:val="15"/>
                <w:szCs w:val="15"/>
                <w:color w:val="auto"/>
              </w:rPr>
            </w:pPr>
          </w:p>
        </w:tc>
        <w:tc>
          <w:tcPr>
            <w:tcW w:w="3940" w:type="dxa"/>
            <w:vAlign w:val="bottom"/>
            <w:vMerge w:val="continue"/>
          </w:tcPr>
          <w:p>
            <w:pPr>
              <w:spacing w:after="0"/>
              <w:rPr>
                <w:sz w:val="15"/>
                <w:szCs w:val="15"/>
                <w:color w:val="auto"/>
              </w:rPr>
            </w:pPr>
          </w:p>
        </w:tc>
        <w:tc>
          <w:tcPr>
            <w:tcW w:w="5820" w:type="dxa"/>
            <w:vAlign w:val="bottom"/>
          </w:tcPr>
          <w:p>
            <w:pPr>
              <w:spacing w:after="0"/>
              <w:rPr>
                <w:sz w:val="15"/>
                <w:szCs w:val="15"/>
                <w:color w:val="auto"/>
              </w:rPr>
            </w:pPr>
          </w:p>
        </w:tc>
        <w:tc>
          <w:tcPr>
            <w:tcW w:w="480" w:type="dxa"/>
            <w:vAlign w:val="bottom"/>
            <w:tcBorders>
              <w:bottom w:val="single" w:sz="8" w:color="auto"/>
            </w:tcBorders>
          </w:tcPr>
          <w:p>
            <w:pPr>
              <w:ind w:left="20"/>
              <w:spacing w:after="0" w:line="158" w:lineRule="exact"/>
              <w:rPr>
                <w:sz w:val="20"/>
                <w:szCs w:val="20"/>
                <w:color w:val="auto"/>
              </w:rPr>
            </w:pPr>
            <w:r>
              <w:rPr>
                <w:rFonts w:ascii="Times New Roman" w:cs="Times New Roman" w:eastAsia="Times New Roman" w:hAnsi="Times New Roman"/>
                <w:sz w:val="14"/>
                <w:szCs w:val="14"/>
                <w:color w:val="auto"/>
              </w:rPr>
              <w:t>Section</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24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b w:val="1"/>
                <w:bCs w:val="1"/>
                <w:color w:val="auto"/>
              </w:rPr>
              <w:t>“Additional Shares”</w:t>
            </w:r>
          </w:p>
        </w:tc>
        <w:tc>
          <w:tcPr>
            <w:tcW w:w="5820" w:type="dxa"/>
            <w:vAlign w:val="bottom"/>
          </w:tcPr>
          <w:p>
            <w:pPr>
              <w:spacing w:after="0"/>
              <w:rPr>
                <w:sz w:val="15"/>
                <w:szCs w:val="15"/>
                <w:color w:val="auto"/>
              </w:rPr>
            </w:pPr>
          </w:p>
        </w:tc>
        <w:tc>
          <w:tcPr>
            <w:tcW w:w="900" w:type="dxa"/>
            <w:vAlign w:val="bottom"/>
            <w:gridSpan w:val="2"/>
          </w:tcPr>
          <w:p>
            <w:pPr>
              <w:ind w:left="160"/>
              <w:spacing w:after="0" w:line="181" w:lineRule="exact"/>
              <w:rPr>
                <w:sz w:val="20"/>
                <w:szCs w:val="20"/>
                <w:color w:val="auto"/>
              </w:rPr>
            </w:pPr>
            <w:r>
              <w:rPr>
                <w:rFonts w:ascii="Times New Roman" w:cs="Times New Roman" w:eastAsia="Times New Roman" w:hAnsi="Times New Roman"/>
                <w:sz w:val="18"/>
                <w:szCs w:val="18"/>
                <w:b w:val="1"/>
                <w:bCs w:val="1"/>
                <w:color w:val="auto"/>
              </w:rPr>
              <w:t>5.07(A)</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Settlement”</w:t>
            </w:r>
          </w:p>
        </w:tc>
        <w:tc>
          <w:tcPr>
            <w:tcW w:w="5820" w:type="dxa"/>
            <w:vAlign w:val="bottom"/>
          </w:tcPr>
          <w:p>
            <w:pPr>
              <w:spacing w:after="0"/>
              <w:rPr>
                <w:sz w:val="18"/>
                <w:szCs w:val="18"/>
                <w:color w:val="auto"/>
              </w:rPr>
            </w:pPr>
          </w:p>
        </w:tc>
        <w:tc>
          <w:tcPr>
            <w:tcW w:w="9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5.03(A)</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“Combination Settlement”</w:t>
            </w:r>
          </w:p>
        </w:tc>
        <w:tc>
          <w:tcPr>
            <w:tcW w:w="5820" w:type="dxa"/>
            <w:vAlign w:val="bottom"/>
          </w:tcPr>
          <w:p>
            <w:pPr>
              <w:spacing w:after="0"/>
              <w:rPr>
                <w:sz w:val="18"/>
                <w:szCs w:val="18"/>
                <w:color w:val="auto"/>
              </w:rPr>
            </w:pPr>
          </w:p>
        </w:tc>
        <w:tc>
          <w:tcPr>
            <w:tcW w:w="9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5.03(A)</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“Common Stock Change Event”</w:t>
            </w:r>
          </w:p>
        </w:tc>
        <w:tc>
          <w:tcPr>
            <w:tcW w:w="5820" w:type="dxa"/>
            <w:vAlign w:val="bottom"/>
          </w:tcPr>
          <w:p>
            <w:pPr>
              <w:spacing w:after="0"/>
              <w:rPr>
                <w:sz w:val="18"/>
                <w:szCs w:val="18"/>
                <w:color w:val="auto"/>
              </w:rPr>
            </w:pPr>
          </w:p>
        </w:tc>
        <w:tc>
          <w:tcPr>
            <w:tcW w:w="9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5.09(A)</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“Company Business Combination Event”</w:t>
            </w:r>
          </w:p>
        </w:tc>
        <w:tc>
          <w:tcPr>
            <w:tcW w:w="5820" w:type="dxa"/>
            <w:vAlign w:val="bottom"/>
          </w:tcPr>
          <w:p>
            <w:pPr>
              <w:spacing w:after="0"/>
              <w:rPr>
                <w:sz w:val="18"/>
                <w:szCs w:val="18"/>
                <w:color w:val="auto"/>
              </w:rPr>
            </w:pPr>
          </w:p>
        </w:tc>
        <w:tc>
          <w:tcPr>
            <w:tcW w:w="9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6.01(A)</w:t>
            </w:r>
          </w:p>
        </w:tc>
        <w:tc>
          <w:tcPr>
            <w:tcW w:w="0" w:type="dxa"/>
            <w:vAlign w:val="bottom"/>
          </w:tcPr>
          <w:p>
            <w:pPr>
              <w:spacing w:after="0"/>
              <w:rPr>
                <w:sz w:val="1"/>
                <w:szCs w:val="1"/>
                <w:color w:val="auto"/>
              </w:rPr>
            </w:pPr>
          </w:p>
        </w:tc>
      </w:tr>
      <w:tr>
        <w:trPr>
          <w:trHeight w:val="238"/>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“Company Successor Entity”</w:t>
            </w:r>
          </w:p>
        </w:tc>
        <w:tc>
          <w:tcPr>
            <w:tcW w:w="5820" w:type="dxa"/>
            <w:vAlign w:val="bottom"/>
          </w:tcPr>
          <w:p>
            <w:pPr>
              <w:spacing w:after="0"/>
              <w:rPr>
                <w:sz w:val="20"/>
                <w:szCs w:val="20"/>
                <w:color w:val="auto"/>
              </w:rPr>
            </w:pPr>
          </w:p>
        </w:tc>
        <w:tc>
          <w:tcPr>
            <w:tcW w:w="9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w w:val="97"/>
              </w:rPr>
              <w:t>6.01(A)(i)</w:t>
            </w:r>
          </w:p>
        </w:tc>
        <w:tc>
          <w:tcPr>
            <w:tcW w:w="0" w:type="dxa"/>
            <w:vAlign w:val="bottom"/>
          </w:tcPr>
          <w:p>
            <w:pPr>
              <w:spacing w:after="0"/>
              <w:rPr>
                <w:sz w:val="1"/>
                <w:szCs w:val="1"/>
                <w:color w:val="auto"/>
              </w:rPr>
            </w:pPr>
          </w:p>
        </w:tc>
      </w:tr>
      <w:tr>
        <w:trPr>
          <w:trHeight w:val="365"/>
        </w:trPr>
        <w:tc>
          <w:tcPr>
            <w:tcW w:w="3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5820" w:type="dxa"/>
            <w:vAlign w:val="bottom"/>
          </w:tcPr>
          <w:p>
            <w:pPr>
              <w:jc w:val="right"/>
              <w:ind w:right="4270"/>
              <w:spacing w:after="0"/>
              <w:rPr>
                <w:sz w:val="20"/>
                <w:szCs w:val="20"/>
                <w:color w:val="auto"/>
              </w:rPr>
            </w:pPr>
            <w:r>
              <w:rPr>
                <w:rFonts w:ascii="Times New Roman" w:cs="Times New Roman" w:eastAsia="Times New Roman" w:hAnsi="Times New Roman"/>
                <w:sz w:val="18"/>
                <w:szCs w:val="18"/>
                <w:color w:val="auto"/>
              </w:rPr>
              <w:t>- 13 -</w:t>
            </w: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440" w:top="270" w:right="459" w:bottom="1440" w:gutter="0" w:footer="0" w:header="0"/>
        </w:sectPr>
      </w:pPr>
    </w:p>
    <w:bookmarkStart w:id="26" w:name="page27"/>
    <w:bookmarkEnd w:id="2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“Default Certificate”</w:t>
            </w:r>
          </w:p>
        </w:tc>
        <w:tc>
          <w:tcPr>
            <w:tcW w:w="3980" w:type="dxa"/>
            <w:vAlign w:val="bottom"/>
          </w:tcPr>
          <w:p>
            <w:pPr>
              <w:ind w:left="2940"/>
              <w:spacing w:after="0"/>
              <w:rPr>
                <w:sz w:val="20"/>
                <w:szCs w:val="20"/>
                <w:color w:val="auto"/>
              </w:rPr>
            </w:pPr>
            <w:r>
              <w:rPr>
                <w:rFonts w:ascii="Times New Roman" w:cs="Times New Roman" w:eastAsia="Times New Roman" w:hAnsi="Times New Roman"/>
                <w:sz w:val="18"/>
                <w:szCs w:val="18"/>
                <w:b w:val="1"/>
                <w:bCs w:val="1"/>
                <w:color w:val="auto"/>
              </w:rPr>
              <w:t>3.05(B)</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“Default Interest”</w:t>
            </w:r>
          </w:p>
        </w:tc>
        <w:tc>
          <w:tcPr>
            <w:tcW w:w="3980" w:type="dxa"/>
            <w:vAlign w:val="bottom"/>
          </w:tcPr>
          <w:p>
            <w:pPr>
              <w:ind w:left="2940"/>
              <w:spacing w:after="0"/>
              <w:rPr>
                <w:sz w:val="20"/>
                <w:szCs w:val="20"/>
                <w:color w:val="auto"/>
              </w:rPr>
            </w:pPr>
            <w:r>
              <w:rPr>
                <w:rFonts w:ascii="Times New Roman" w:cs="Times New Roman" w:eastAsia="Times New Roman" w:hAnsi="Times New Roman"/>
                <w:sz w:val="18"/>
                <w:szCs w:val="18"/>
                <w:b w:val="1"/>
                <w:bCs w:val="1"/>
                <w:color w:val="auto"/>
              </w:rPr>
              <w:t>2.05(B)</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“Defaulted Amount”</w:t>
            </w:r>
          </w:p>
        </w:tc>
        <w:tc>
          <w:tcPr>
            <w:tcW w:w="3980" w:type="dxa"/>
            <w:vAlign w:val="bottom"/>
          </w:tcPr>
          <w:p>
            <w:pPr>
              <w:ind w:left="2940"/>
              <w:spacing w:after="0"/>
              <w:rPr>
                <w:sz w:val="20"/>
                <w:szCs w:val="20"/>
                <w:color w:val="auto"/>
              </w:rPr>
            </w:pPr>
            <w:r>
              <w:rPr>
                <w:rFonts w:ascii="Times New Roman" w:cs="Times New Roman" w:eastAsia="Times New Roman" w:hAnsi="Times New Roman"/>
                <w:sz w:val="18"/>
                <w:szCs w:val="18"/>
                <w:b w:val="1"/>
                <w:bCs w:val="1"/>
                <w:color w:val="auto"/>
              </w:rPr>
              <w:t>2.05(B)</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“Dividend Threshold”</w:t>
            </w:r>
          </w:p>
        </w:tc>
        <w:tc>
          <w:tcPr>
            <w:tcW w:w="3980" w:type="dxa"/>
            <w:vAlign w:val="bottom"/>
          </w:tcPr>
          <w:p>
            <w:pPr>
              <w:ind w:left="2940"/>
              <w:spacing w:after="0"/>
              <w:rPr>
                <w:sz w:val="20"/>
                <w:szCs w:val="20"/>
                <w:color w:val="auto"/>
              </w:rPr>
            </w:pPr>
            <w:r>
              <w:rPr>
                <w:rFonts w:ascii="Times New Roman" w:cs="Times New Roman" w:eastAsia="Times New Roman" w:hAnsi="Times New Roman"/>
                <w:sz w:val="18"/>
                <w:szCs w:val="18"/>
                <w:b w:val="1"/>
                <w:bCs w:val="1"/>
                <w:color w:val="auto"/>
              </w:rPr>
              <w:t>5.05(A)(iv)</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“Event of Default”</w:t>
            </w:r>
          </w:p>
        </w:tc>
        <w:tc>
          <w:tcPr>
            <w:tcW w:w="3980" w:type="dxa"/>
            <w:vAlign w:val="bottom"/>
          </w:tcPr>
          <w:p>
            <w:pPr>
              <w:ind w:left="2940"/>
              <w:spacing w:after="0"/>
              <w:rPr>
                <w:sz w:val="20"/>
                <w:szCs w:val="20"/>
                <w:color w:val="auto"/>
              </w:rPr>
            </w:pPr>
            <w:r>
              <w:rPr>
                <w:rFonts w:ascii="Times New Roman" w:cs="Times New Roman" w:eastAsia="Times New Roman" w:hAnsi="Times New Roman"/>
                <w:sz w:val="18"/>
                <w:szCs w:val="18"/>
                <w:b w:val="1"/>
                <w:bCs w:val="1"/>
                <w:color w:val="auto"/>
              </w:rPr>
              <w:t>7.01(A)</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“Exchange Agent”</w:t>
            </w:r>
          </w:p>
        </w:tc>
        <w:tc>
          <w:tcPr>
            <w:tcW w:w="3980" w:type="dxa"/>
            <w:vAlign w:val="bottom"/>
          </w:tcPr>
          <w:p>
            <w:pPr>
              <w:ind w:left="2940"/>
              <w:spacing w:after="0"/>
              <w:rPr>
                <w:sz w:val="20"/>
                <w:szCs w:val="20"/>
                <w:color w:val="auto"/>
              </w:rPr>
            </w:pPr>
            <w:r>
              <w:rPr>
                <w:rFonts w:ascii="Times New Roman" w:cs="Times New Roman" w:eastAsia="Times New Roman" w:hAnsi="Times New Roman"/>
                <w:sz w:val="18"/>
                <w:szCs w:val="18"/>
                <w:b w:val="1"/>
                <w:bCs w:val="1"/>
                <w:color w:val="auto"/>
              </w:rPr>
              <w:t>2.06(A)</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“Exchange Consideration”</w:t>
            </w:r>
          </w:p>
        </w:tc>
        <w:tc>
          <w:tcPr>
            <w:tcW w:w="3980" w:type="dxa"/>
            <w:vAlign w:val="bottom"/>
          </w:tcPr>
          <w:p>
            <w:pPr>
              <w:ind w:left="2940"/>
              <w:spacing w:after="0"/>
              <w:rPr>
                <w:sz w:val="20"/>
                <w:szCs w:val="20"/>
                <w:color w:val="auto"/>
              </w:rPr>
            </w:pPr>
            <w:r>
              <w:rPr>
                <w:rFonts w:ascii="Times New Roman" w:cs="Times New Roman" w:eastAsia="Times New Roman" w:hAnsi="Times New Roman"/>
                <w:sz w:val="18"/>
                <w:szCs w:val="18"/>
                <w:b w:val="1"/>
                <w:bCs w:val="1"/>
                <w:color w:val="auto"/>
              </w:rPr>
              <w:t>5.03(B)(i)</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“Expiration Date”</w:t>
            </w:r>
          </w:p>
        </w:tc>
        <w:tc>
          <w:tcPr>
            <w:tcW w:w="3980" w:type="dxa"/>
            <w:vAlign w:val="bottom"/>
          </w:tcPr>
          <w:p>
            <w:pPr>
              <w:ind w:left="2940"/>
              <w:spacing w:after="0"/>
              <w:rPr>
                <w:sz w:val="20"/>
                <w:szCs w:val="20"/>
                <w:color w:val="auto"/>
              </w:rPr>
            </w:pPr>
            <w:r>
              <w:rPr>
                <w:rFonts w:ascii="Times New Roman" w:cs="Times New Roman" w:eastAsia="Times New Roman" w:hAnsi="Times New Roman"/>
                <w:sz w:val="18"/>
                <w:szCs w:val="18"/>
                <w:b w:val="1"/>
                <w:bCs w:val="1"/>
                <w:color w:val="auto"/>
              </w:rPr>
              <w:t>5.05(A)(v)</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“Expiration Time”</w:t>
            </w:r>
          </w:p>
        </w:tc>
        <w:tc>
          <w:tcPr>
            <w:tcW w:w="3980" w:type="dxa"/>
            <w:vAlign w:val="bottom"/>
          </w:tcPr>
          <w:p>
            <w:pPr>
              <w:ind w:left="2940"/>
              <w:spacing w:after="0"/>
              <w:rPr>
                <w:sz w:val="20"/>
                <w:szCs w:val="20"/>
                <w:color w:val="auto"/>
              </w:rPr>
            </w:pPr>
            <w:r>
              <w:rPr>
                <w:rFonts w:ascii="Times New Roman" w:cs="Times New Roman" w:eastAsia="Times New Roman" w:hAnsi="Times New Roman"/>
                <w:sz w:val="18"/>
                <w:szCs w:val="18"/>
                <w:b w:val="1"/>
                <w:bCs w:val="1"/>
                <w:color w:val="auto"/>
              </w:rPr>
              <w:t>5.05(A)(v)</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“Fundamental Change Notice”</w:t>
            </w:r>
          </w:p>
        </w:tc>
        <w:tc>
          <w:tcPr>
            <w:tcW w:w="3980" w:type="dxa"/>
            <w:vAlign w:val="bottom"/>
          </w:tcPr>
          <w:p>
            <w:pPr>
              <w:ind w:left="2940"/>
              <w:spacing w:after="0"/>
              <w:rPr>
                <w:sz w:val="20"/>
                <w:szCs w:val="20"/>
                <w:color w:val="auto"/>
              </w:rPr>
            </w:pPr>
            <w:r>
              <w:rPr>
                <w:rFonts w:ascii="Times New Roman" w:cs="Times New Roman" w:eastAsia="Times New Roman" w:hAnsi="Times New Roman"/>
                <w:sz w:val="18"/>
                <w:szCs w:val="18"/>
                <w:b w:val="1"/>
                <w:bCs w:val="1"/>
                <w:color w:val="auto"/>
              </w:rPr>
              <w:t>4.02(E)</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“Fundamental Change Repurchase Right”</w:t>
            </w:r>
          </w:p>
        </w:tc>
        <w:tc>
          <w:tcPr>
            <w:tcW w:w="3980" w:type="dxa"/>
            <w:vAlign w:val="bottom"/>
          </w:tcPr>
          <w:p>
            <w:pPr>
              <w:ind w:left="2940"/>
              <w:spacing w:after="0"/>
              <w:rPr>
                <w:sz w:val="20"/>
                <w:szCs w:val="20"/>
                <w:color w:val="auto"/>
              </w:rPr>
            </w:pPr>
            <w:r>
              <w:rPr>
                <w:rFonts w:ascii="Times New Roman" w:cs="Times New Roman" w:eastAsia="Times New Roman" w:hAnsi="Times New Roman"/>
                <w:sz w:val="18"/>
                <w:szCs w:val="18"/>
                <w:b w:val="1"/>
                <w:bCs w:val="1"/>
                <w:color w:val="auto"/>
              </w:rPr>
              <w:t>4.02(A)</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“Guaranteed Obligations”</w:t>
            </w:r>
          </w:p>
        </w:tc>
        <w:tc>
          <w:tcPr>
            <w:tcW w:w="3980" w:type="dxa"/>
            <w:vAlign w:val="bottom"/>
          </w:tcPr>
          <w:p>
            <w:pPr>
              <w:ind w:left="2940"/>
              <w:spacing w:after="0"/>
              <w:rPr>
                <w:sz w:val="20"/>
                <w:szCs w:val="20"/>
                <w:color w:val="auto"/>
              </w:rPr>
            </w:pPr>
            <w:r>
              <w:rPr>
                <w:rFonts w:ascii="Times New Roman" w:cs="Times New Roman" w:eastAsia="Times New Roman" w:hAnsi="Times New Roman"/>
                <w:sz w:val="18"/>
                <w:szCs w:val="18"/>
                <w:b w:val="1"/>
                <w:bCs w:val="1"/>
                <w:color w:val="auto"/>
              </w:rPr>
              <w:t>9.05(A)</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“Holdings Business Combination Event”</w:t>
            </w:r>
          </w:p>
        </w:tc>
        <w:tc>
          <w:tcPr>
            <w:tcW w:w="3980" w:type="dxa"/>
            <w:vAlign w:val="bottom"/>
          </w:tcPr>
          <w:p>
            <w:pPr>
              <w:ind w:left="2940"/>
              <w:spacing w:after="0"/>
              <w:rPr>
                <w:sz w:val="20"/>
                <w:szCs w:val="20"/>
                <w:color w:val="auto"/>
              </w:rPr>
            </w:pPr>
            <w:r>
              <w:rPr>
                <w:rFonts w:ascii="Times New Roman" w:cs="Times New Roman" w:eastAsia="Times New Roman" w:hAnsi="Times New Roman"/>
                <w:sz w:val="18"/>
                <w:szCs w:val="18"/>
                <w:b w:val="1"/>
                <w:bCs w:val="1"/>
                <w:color w:val="auto"/>
              </w:rPr>
              <w:t>9.05(A)</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“Holdings Successor Entity”</w:t>
            </w:r>
          </w:p>
        </w:tc>
        <w:tc>
          <w:tcPr>
            <w:tcW w:w="3980" w:type="dxa"/>
            <w:vAlign w:val="bottom"/>
          </w:tcPr>
          <w:p>
            <w:pPr>
              <w:ind w:left="2940"/>
              <w:spacing w:after="0"/>
              <w:rPr>
                <w:sz w:val="20"/>
                <w:szCs w:val="20"/>
                <w:color w:val="auto"/>
              </w:rPr>
            </w:pPr>
            <w:r>
              <w:rPr>
                <w:rFonts w:ascii="Times New Roman" w:cs="Times New Roman" w:eastAsia="Times New Roman" w:hAnsi="Times New Roman"/>
                <w:sz w:val="18"/>
                <w:szCs w:val="18"/>
                <w:b w:val="1"/>
                <w:bCs w:val="1"/>
                <w:color w:val="auto"/>
              </w:rPr>
              <w:t>9.05(A)(i)</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“Initial Notes”</w:t>
            </w:r>
          </w:p>
        </w:tc>
        <w:tc>
          <w:tcPr>
            <w:tcW w:w="3980" w:type="dxa"/>
            <w:vAlign w:val="bottom"/>
          </w:tcPr>
          <w:p>
            <w:pPr>
              <w:ind w:left="2940"/>
              <w:spacing w:after="0"/>
              <w:rPr>
                <w:sz w:val="20"/>
                <w:szCs w:val="20"/>
                <w:color w:val="auto"/>
              </w:rPr>
            </w:pPr>
            <w:r>
              <w:rPr>
                <w:rFonts w:ascii="Times New Roman" w:cs="Times New Roman" w:eastAsia="Times New Roman" w:hAnsi="Times New Roman"/>
                <w:sz w:val="18"/>
                <w:szCs w:val="18"/>
                <w:b w:val="1"/>
                <w:bCs w:val="1"/>
                <w:color w:val="auto"/>
              </w:rPr>
              <w:t>2.03(A)</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“Measurement Period”</w:t>
            </w:r>
          </w:p>
        </w:tc>
        <w:tc>
          <w:tcPr>
            <w:tcW w:w="3980" w:type="dxa"/>
            <w:vAlign w:val="bottom"/>
          </w:tcPr>
          <w:p>
            <w:pPr>
              <w:ind w:left="2940"/>
              <w:spacing w:after="0"/>
              <w:rPr>
                <w:sz w:val="20"/>
                <w:szCs w:val="20"/>
                <w:color w:val="auto"/>
              </w:rPr>
            </w:pPr>
            <w:r>
              <w:rPr>
                <w:rFonts w:ascii="Times New Roman" w:cs="Times New Roman" w:eastAsia="Times New Roman" w:hAnsi="Times New Roman"/>
                <w:sz w:val="18"/>
                <w:szCs w:val="18"/>
                <w:b w:val="1"/>
                <w:bCs w:val="1"/>
                <w:color w:val="auto"/>
              </w:rPr>
              <w:t>5.01(C)(i)(2)</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“Paying Agent”</w:t>
            </w:r>
          </w:p>
        </w:tc>
        <w:tc>
          <w:tcPr>
            <w:tcW w:w="3980" w:type="dxa"/>
            <w:vAlign w:val="bottom"/>
          </w:tcPr>
          <w:p>
            <w:pPr>
              <w:ind w:left="2940"/>
              <w:spacing w:after="0"/>
              <w:rPr>
                <w:sz w:val="20"/>
                <w:szCs w:val="20"/>
                <w:color w:val="auto"/>
              </w:rPr>
            </w:pPr>
            <w:r>
              <w:rPr>
                <w:rFonts w:ascii="Times New Roman" w:cs="Times New Roman" w:eastAsia="Times New Roman" w:hAnsi="Times New Roman"/>
                <w:sz w:val="18"/>
                <w:szCs w:val="18"/>
                <w:b w:val="1"/>
                <w:bCs w:val="1"/>
                <w:color w:val="auto"/>
              </w:rPr>
              <w:t>2.06(A)</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“Redemption Notice”</w:t>
            </w:r>
          </w:p>
        </w:tc>
        <w:tc>
          <w:tcPr>
            <w:tcW w:w="3980" w:type="dxa"/>
            <w:vAlign w:val="bottom"/>
          </w:tcPr>
          <w:p>
            <w:pPr>
              <w:ind w:left="2940"/>
              <w:spacing w:after="0"/>
              <w:rPr>
                <w:sz w:val="20"/>
                <w:szCs w:val="20"/>
                <w:color w:val="auto"/>
              </w:rPr>
            </w:pPr>
            <w:r>
              <w:rPr>
                <w:rFonts w:ascii="Times New Roman" w:cs="Times New Roman" w:eastAsia="Times New Roman" w:hAnsi="Times New Roman"/>
                <w:sz w:val="18"/>
                <w:szCs w:val="18"/>
                <w:b w:val="1"/>
                <w:bCs w:val="1"/>
                <w:color w:val="auto"/>
              </w:rPr>
              <w:t>4.03(F)</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“Reference Property”</w:t>
            </w:r>
          </w:p>
        </w:tc>
        <w:tc>
          <w:tcPr>
            <w:tcW w:w="3980" w:type="dxa"/>
            <w:vAlign w:val="bottom"/>
          </w:tcPr>
          <w:p>
            <w:pPr>
              <w:ind w:left="2940"/>
              <w:spacing w:after="0"/>
              <w:rPr>
                <w:sz w:val="20"/>
                <w:szCs w:val="20"/>
                <w:color w:val="auto"/>
              </w:rPr>
            </w:pPr>
            <w:r>
              <w:rPr>
                <w:rFonts w:ascii="Times New Roman" w:cs="Times New Roman" w:eastAsia="Times New Roman" w:hAnsi="Times New Roman"/>
                <w:sz w:val="18"/>
                <w:szCs w:val="18"/>
                <w:b w:val="1"/>
                <w:bCs w:val="1"/>
                <w:color w:val="auto"/>
              </w:rPr>
              <w:t>5.09(A)</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“Reference Property Unit”</w:t>
            </w:r>
          </w:p>
        </w:tc>
        <w:tc>
          <w:tcPr>
            <w:tcW w:w="3980" w:type="dxa"/>
            <w:vAlign w:val="bottom"/>
          </w:tcPr>
          <w:p>
            <w:pPr>
              <w:ind w:left="2940"/>
              <w:spacing w:after="0"/>
              <w:rPr>
                <w:sz w:val="20"/>
                <w:szCs w:val="20"/>
                <w:color w:val="auto"/>
              </w:rPr>
            </w:pPr>
            <w:r>
              <w:rPr>
                <w:rFonts w:ascii="Times New Roman" w:cs="Times New Roman" w:eastAsia="Times New Roman" w:hAnsi="Times New Roman"/>
                <w:sz w:val="18"/>
                <w:szCs w:val="18"/>
                <w:b w:val="1"/>
                <w:bCs w:val="1"/>
                <w:color w:val="auto"/>
              </w:rPr>
              <w:t>5.09(A)</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“Register”</w:t>
            </w:r>
          </w:p>
        </w:tc>
        <w:tc>
          <w:tcPr>
            <w:tcW w:w="3980" w:type="dxa"/>
            <w:vAlign w:val="bottom"/>
          </w:tcPr>
          <w:p>
            <w:pPr>
              <w:ind w:left="2940"/>
              <w:spacing w:after="0"/>
              <w:rPr>
                <w:sz w:val="20"/>
                <w:szCs w:val="20"/>
                <w:color w:val="auto"/>
              </w:rPr>
            </w:pPr>
            <w:r>
              <w:rPr>
                <w:rFonts w:ascii="Times New Roman" w:cs="Times New Roman" w:eastAsia="Times New Roman" w:hAnsi="Times New Roman"/>
                <w:sz w:val="18"/>
                <w:szCs w:val="18"/>
                <w:b w:val="1"/>
                <w:bCs w:val="1"/>
                <w:color w:val="auto"/>
              </w:rPr>
              <w:t>2.06(B)</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“Registrar”</w:t>
            </w:r>
          </w:p>
        </w:tc>
        <w:tc>
          <w:tcPr>
            <w:tcW w:w="3980" w:type="dxa"/>
            <w:vAlign w:val="bottom"/>
          </w:tcPr>
          <w:p>
            <w:pPr>
              <w:ind w:left="2940"/>
              <w:spacing w:after="0"/>
              <w:rPr>
                <w:sz w:val="20"/>
                <w:szCs w:val="20"/>
                <w:color w:val="auto"/>
              </w:rPr>
            </w:pPr>
            <w:r>
              <w:rPr>
                <w:rFonts w:ascii="Times New Roman" w:cs="Times New Roman" w:eastAsia="Times New Roman" w:hAnsi="Times New Roman"/>
                <w:sz w:val="18"/>
                <w:szCs w:val="18"/>
                <w:b w:val="1"/>
                <w:bCs w:val="1"/>
                <w:color w:val="auto"/>
              </w:rPr>
              <w:t>2.06(A)</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“Reporting Event of Default”</w:t>
            </w:r>
          </w:p>
        </w:tc>
        <w:tc>
          <w:tcPr>
            <w:tcW w:w="3980" w:type="dxa"/>
            <w:vAlign w:val="bottom"/>
          </w:tcPr>
          <w:p>
            <w:pPr>
              <w:ind w:left="2940"/>
              <w:spacing w:after="0"/>
              <w:rPr>
                <w:sz w:val="20"/>
                <w:szCs w:val="20"/>
                <w:color w:val="auto"/>
              </w:rPr>
            </w:pPr>
            <w:r>
              <w:rPr>
                <w:rFonts w:ascii="Times New Roman" w:cs="Times New Roman" w:eastAsia="Times New Roman" w:hAnsi="Times New Roman"/>
                <w:sz w:val="18"/>
                <w:szCs w:val="18"/>
                <w:b w:val="1"/>
                <w:bCs w:val="1"/>
                <w:color w:val="auto"/>
              </w:rPr>
              <w:t>7.03(A)</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“Specified Courts”</w:t>
            </w:r>
          </w:p>
        </w:tc>
        <w:tc>
          <w:tcPr>
            <w:tcW w:w="3980" w:type="dxa"/>
            <w:vAlign w:val="bottom"/>
          </w:tcPr>
          <w:p>
            <w:pPr>
              <w:ind w:left="2840"/>
              <w:spacing w:after="0"/>
              <w:rPr>
                <w:sz w:val="20"/>
                <w:szCs w:val="20"/>
                <w:color w:val="auto"/>
              </w:rPr>
            </w:pPr>
            <w:r>
              <w:rPr>
                <w:rFonts w:ascii="Times New Roman" w:cs="Times New Roman" w:eastAsia="Times New Roman" w:hAnsi="Times New Roman"/>
                <w:sz w:val="18"/>
                <w:szCs w:val="18"/>
                <w:b w:val="1"/>
                <w:bCs w:val="1"/>
                <w:color w:val="auto"/>
              </w:rPr>
              <w:t>12.07</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“Spin-Off”</w:t>
            </w:r>
          </w:p>
        </w:tc>
        <w:tc>
          <w:tcPr>
            <w:tcW w:w="3980" w:type="dxa"/>
            <w:vAlign w:val="bottom"/>
          </w:tcPr>
          <w:p>
            <w:pPr>
              <w:ind w:left="2940"/>
              <w:spacing w:after="0"/>
              <w:rPr>
                <w:sz w:val="20"/>
                <w:szCs w:val="20"/>
                <w:color w:val="auto"/>
              </w:rPr>
            </w:pPr>
            <w:r>
              <w:rPr>
                <w:rFonts w:ascii="Times New Roman" w:cs="Times New Roman" w:eastAsia="Times New Roman" w:hAnsi="Times New Roman"/>
                <w:sz w:val="18"/>
                <w:szCs w:val="18"/>
                <w:b w:val="1"/>
                <w:bCs w:val="1"/>
                <w:color w:val="auto"/>
                <w:w w:val="97"/>
              </w:rPr>
              <w:t>5.05(A)(iii)(2)</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“Spin-Off Valuation Period”</w:t>
            </w:r>
          </w:p>
        </w:tc>
        <w:tc>
          <w:tcPr>
            <w:tcW w:w="3980" w:type="dxa"/>
            <w:vAlign w:val="bottom"/>
          </w:tcPr>
          <w:p>
            <w:pPr>
              <w:ind w:left="2940"/>
              <w:spacing w:after="0"/>
              <w:rPr>
                <w:sz w:val="20"/>
                <w:szCs w:val="20"/>
                <w:color w:val="auto"/>
              </w:rPr>
            </w:pPr>
            <w:r>
              <w:rPr>
                <w:rFonts w:ascii="Times New Roman" w:cs="Times New Roman" w:eastAsia="Times New Roman" w:hAnsi="Times New Roman"/>
                <w:sz w:val="18"/>
                <w:szCs w:val="18"/>
                <w:b w:val="1"/>
                <w:bCs w:val="1"/>
                <w:color w:val="auto"/>
                <w:w w:val="97"/>
              </w:rPr>
              <w:t>5.05(A)(iii)(2)</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“Stated Interest”</w:t>
            </w:r>
          </w:p>
        </w:tc>
        <w:tc>
          <w:tcPr>
            <w:tcW w:w="3980" w:type="dxa"/>
            <w:vAlign w:val="bottom"/>
          </w:tcPr>
          <w:p>
            <w:pPr>
              <w:ind w:left="2940"/>
              <w:spacing w:after="0"/>
              <w:rPr>
                <w:sz w:val="20"/>
                <w:szCs w:val="20"/>
                <w:color w:val="auto"/>
              </w:rPr>
            </w:pPr>
            <w:r>
              <w:rPr>
                <w:rFonts w:ascii="Times New Roman" w:cs="Times New Roman" w:eastAsia="Times New Roman" w:hAnsi="Times New Roman"/>
                <w:sz w:val="18"/>
                <w:szCs w:val="18"/>
                <w:b w:val="1"/>
                <w:bCs w:val="1"/>
                <w:color w:val="auto"/>
              </w:rPr>
              <w:t>2.05(A)</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“Subsidiary Guarantor Business Combination Event”</w:t>
            </w:r>
          </w:p>
        </w:tc>
        <w:tc>
          <w:tcPr>
            <w:tcW w:w="3980" w:type="dxa"/>
            <w:vAlign w:val="bottom"/>
          </w:tcPr>
          <w:p>
            <w:pPr>
              <w:ind w:left="2940"/>
              <w:spacing w:after="0"/>
              <w:rPr>
                <w:sz w:val="20"/>
                <w:szCs w:val="20"/>
                <w:color w:val="auto"/>
              </w:rPr>
            </w:pPr>
            <w:r>
              <w:rPr>
                <w:rFonts w:ascii="Times New Roman" w:cs="Times New Roman" w:eastAsia="Times New Roman" w:hAnsi="Times New Roman"/>
                <w:sz w:val="18"/>
                <w:szCs w:val="18"/>
                <w:b w:val="1"/>
                <w:bCs w:val="1"/>
                <w:color w:val="auto"/>
              </w:rPr>
              <w:t>9.06(A)</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“Subsidiary Guarantor Successor Entity”</w:t>
            </w:r>
          </w:p>
        </w:tc>
        <w:tc>
          <w:tcPr>
            <w:tcW w:w="3980" w:type="dxa"/>
            <w:vAlign w:val="bottom"/>
          </w:tcPr>
          <w:p>
            <w:pPr>
              <w:ind w:left="2940"/>
              <w:spacing w:after="0"/>
              <w:rPr>
                <w:sz w:val="20"/>
                <w:szCs w:val="20"/>
                <w:color w:val="auto"/>
              </w:rPr>
            </w:pPr>
            <w:r>
              <w:rPr>
                <w:rFonts w:ascii="Times New Roman" w:cs="Times New Roman" w:eastAsia="Times New Roman" w:hAnsi="Times New Roman"/>
                <w:sz w:val="18"/>
                <w:szCs w:val="18"/>
                <w:b w:val="1"/>
                <w:bCs w:val="1"/>
                <w:color w:val="auto"/>
              </w:rPr>
              <w:t>9.06(A)(i)</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“Successor Person”</w:t>
            </w:r>
          </w:p>
        </w:tc>
        <w:tc>
          <w:tcPr>
            <w:tcW w:w="3980" w:type="dxa"/>
            <w:vAlign w:val="bottom"/>
          </w:tcPr>
          <w:p>
            <w:pPr>
              <w:ind w:left="2940"/>
              <w:spacing w:after="0"/>
              <w:rPr>
                <w:sz w:val="20"/>
                <w:szCs w:val="20"/>
                <w:color w:val="auto"/>
              </w:rPr>
            </w:pPr>
            <w:r>
              <w:rPr>
                <w:rFonts w:ascii="Times New Roman" w:cs="Times New Roman" w:eastAsia="Times New Roman" w:hAnsi="Times New Roman"/>
                <w:sz w:val="18"/>
                <w:szCs w:val="18"/>
                <w:b w:val="1"/>
                <w:bCs w:val="1"/>
                <w:color w:val="auto"/>
              </w:rPr>
              <w:t>5.09(A)</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“Tender/Exchange Offer Valuation Period”</w:t>
            </w:r>
          </w:p>
        </w:tc>
        <w:tc>
          <w:tcPr>
            <w:tcW w:w="3980" w:type="dxa"/>
            <w:vAlign w:val="bottom"/>
          </w:tcPr>
          <w:p>
            <w:pPr>
              <w:ind w:left="2940"/>
              <w:spacing w:after="0"/>
              <w:rPr>
                <w:sz w:val="20"/>
                <w:szCs w:val="20"/>
                <w:color w:val="auto"/>
              </w:rPr>
            </w:pPr>
            <w:r>
              <w:rPr>
                <w:rFonts w:ascii="Times New Roman" w:cs="Times New Roman" w:eastAsia="Times New Roman" w:hAnsi="Times New Roman"/>
                <w:sz w:val="18"/>
                <w:szCs w:val="18"/>
                <w:b w:val="1"/>
                <w:bCs w:val="1"/>
                <w:color w:val="auto"/>
              </w:rPr>
              <w:t>5.05(A)(v)</w:t>
            </w:r>
          </w:p>
        </w:tc>
      </w:tr>
      <w:tr>
        <w:trPr>
          <w:trHeight w:val="238"/>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“Trading Price Condition”</w:t>
            </w:r>
          </w:p>
        </w:tc>
        <w:tc>
          <w:tcPr>
            <w:tcW w:w="3980" w:type="dxa"/>
            <w:vAlign w:val="bottom"/>
          </w:tcPr>
          <w:p>
            <w:pPr>
              <w:ind w:left="2940"/>
              <w:spacing w:after="0"/>
              <w:rPr>
                <w:sz w:val="20"/>
                <w:szCs w:val="20"/>
                <w:color w:val="auto"/>
              </w:rPr>
            </w:pPr>
            <w:r>
              <w:rPr>
                <w:rFonts w:ascii="Times New Roman" w:cs="Times New Roman" w:eastAsia="Times New Roman" w:hAnsi="Times New Roman"/>
                <w:sz w:val="18"/>
                <w:szCs w:val="18"/>
                <w:b w:val="1"/>
                <w:bCs w:val="1"/>
                <w:color w:val="auto"/>
              </w:rPr>
              <w:t>5.01(C)(i)(2)</w:t>
            </w:r>
          </w:p>
        </w:tc>
      </w:tr>
    </w:tbl>
    <w:p>
      <w:pPr>
        <w:spacing w:after="0" w:line="194" w:lineRule="exact"/>
        <w:rPr>
          <w:sz w:val="20"/>
          <w:szCs w:val="20"/>
          <w:color w:val="auto"/>
        </w:rPr>
      </w:pPr>
    </w:p>
    <w:p>
      <w:pPr>
        <w:jc w:val="center"/>
        <w:ind w:right="7836"/>
        <w:spacing w:after="0"/>
        <w:rPr>
          <w:sz w:val="20"/>
          <w:szCs w:val="20"/>
          <w:color w:val="auto"/>
        </w:rPr>
      </w:pPr>
      <w:r>
        <w:rPr>
          <w:rFonts w:ascii="Times New Roman" w:cs="Times New Roman" w:eastAsia="Times New Roman" w:hAnsi="Times New Roman"/>
          <w:sz w:val="18"/>
          <w:szCs w:val="18"/>
          <w:b w:val="1"/>
          <w:bCs w:val="1"/>
          <w:color w:val="auto"/>
        </w:rPr>
        <w:t>Section 1.03. R</w:t>
      </w:r>
      <w:r>
        <w:rPr>
          <w:rFonts w:ascii="Times New Roman" w:cs="Times New Roman" w:eastAsia="Times New Roman" w:hAnsi="Times New Roman"/>
          <w:sz w:val="14"/>
          <w:szCs w:val="14"/>
          <w:b w:val="1"/>
          <w:bCs w:val="1"/>
          <w:color w:val="auto"/>
        </w:rPr>
        <w:t>ULES OF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ONSTRUCTION</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For purposes of this Indenture:</w:t>
      </w:r>
    </w:p>
    <w:p>
      <w:pPr>
        <w:spacing w:after="0" w:line="117" w:lineRule="exact"/>
        <w:rPr>
          <w:sz w:val="20"/>
          <w:szCs w:val="20"/>
          <w:color w:val="auto"/>
        </w:rPr>
      </w:pPr>
    </w:p>
    <w:p>
      <w:pPr>
        <w:ind w:left="304" w:hanging="304"/>
        <w:spacing w:after="0"/>
        <w:tabs>
          <w:tab w:leader="none" w:pos="30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is not exclusive;</w:t>
      </w:r>
    </w:p>
    <w:p>
      <w:pPr>
        <w:spacing w:after="0" w:line="117" w:lineRule="exact"/>
        <w:rPr>
          <w:rFonts w:ascii="Times New Roman" w:cs="Times New Roman" w:eastAsia="Times New Roman" w:hAnsi="Times New Roman"/>
          <w:sz w:val="18"/>
          <w:szCs w:val="18"/>
          <w:color w:val="auto"/>
        </w:rPr>
      </w:pPr>
    </w:p>
    <w:p>
      <w:pPr>
        <w:ind w:left="284" w:hanging="284"/>
        <w:spacing w:after="0"/>
        <w:tabs>
          <w:tab w:leader="none" w:pos="28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means “including without limitation”;</w:t>
      </w:r>
    </w:p>
    <w:p>
      <w:pPr>
        <w:spacing w:after="0" w:line="117" w:lineRule="exact"/>
        <w:rPr>
          <w:rFonts w:ascii="Times New Roman" w:cs="Times New Roman" w:eastAsia="Times New Roman" w:hAnsi="Times New Roman"/>
          <w:sz w:val="18"/>
          <w:szCs w:val="18"/>
          <w:color w:val="auto"/>
        </w:rPr>
      </w:pPr>
    </w:p>
    <w:p>
      <w:pPr>
        <w:ind w:left="284" w:hanging="284"/>
        <w:spacing w:after="0"/>
        <w:tabs>
          <w:tab w:leader="none" w:pos="28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expresses a command;</w:t>
      </w:r>
    </w:p>
    <w:p>
      <w:pPr>
        <w:spacing w:after="0" w:line="117" w:lineRule="exact"/>
        <w:rPr>
          <w:rFonts w:ascii="Times New Roman" w:cs="Times New Roman" w:eastAsia="Times New Roman" w:hAnsi="Times New Roman"/>
          <w:sz w:val="18"/>
          <w:szCs w:val="18"/>
          <w:color w:val="auto"/>
        </w:rPr>
      </w:pPr>
    </w:p>
    <w:p>
      <w:pPr>
        <w:ind w:left="304" w:hanging="304"/>
        <w:spacing w:after="0"/>
        <w:tabs>
          <w:tab w:leader="none" w:pos="30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of a set of numerical values refers to the arithmetic average of such numerical values;</w:t>
      </w:r>
    </w:p>
    <w:p>
      <w:pPr>
        <w:spacing w:after="0" w:line="157"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w:t>
      </w:r>
    </w:p>
    <w:p>
      <w:pPr>
        <w:sectPr>
          <w:pgSz w:w="11900" w:h="16838" w:orient="portrait"/>
          <w:cols w:equalWidth="0" w:num="1">
            <w:col w:w="10964"/>
          </w:cols>
          <w:pgMar w:left="436" w:top="266" w:right="499" w:bottom="1440" w:gutter="0" w:footer="0" w:header="0"/>
        </w:sectPr>
      </w:pPr>
    </w:p>
    <w:bookmarkStart w:id="27" w:name="page28"/>
    <w:bookmarkEnd w:id="27"/>
    <w:p>
      <w:pPr>
        <w:ind w:left="4" w:hanging="4"/>
        <w:spacing w:after="0" w:line="312" w:lineRule="auto"/>
        <w:tabs>
          <w:tab w:leader="none" w:pos="279"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merger involving, or a transfer of assets by, a limited liability company, limited partnership or trust will be deemed to include any division of or by, or an allocation of assets to a series of, such limited liability company, limited partnership or trust, or any unwinding of any such division or allocation;</w:t>
      </w:r>
    </w:p>
    <w:p>
      <w:pPr>
        <w:spacing w:after="0" w:line="31"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in the singular include the plural and in the plural include the singular, unless the context requires otherwise;</w:t>
      </w:r>
    </w:p>
    <w:p>
      <w:pPr>
        <w:spacing w:after="0" w:line="117" w:lineRule="exact"/>
        <w:rPr>
          <w:rFonts w:ascii="Times New Roman" w:cs="Times New Roman" w:eastAsia="Times New Roman" w:hAnsi="Times New Roman"/>
          <w:sz w:val="18"/>
          <w:szCs w:val="18"/>
          <w:color w:val="auto"/>
        </w:rPr>
      </w:pPr>
    </w:p>
    <w:p>
      <w:pPr>
        <w:ind w:left="4" w:right="20" w:hanging="4"/>
        <w:spacing w:after="0" w:line="282" w:lineRule="auto"/>
        <w:tabs>
          <w:tab w:leader="none" w:pos="29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“herein,” “hereof” and other words of similar import refer to this Indenture as a whole and not to any particular Article, Section or other subdivision of this Indenture, unless the context requires otherwise;</w:t>
      </w:r>
    </w:p>
    <w:p>
      <w:pPr>
        <w:spacing w:after="0" w:line="53" w:lineRule="exact"/>
        <w:rPr>
          <w:rFonts w:ascii="Times New Roman" w:cs="Times New Roman" w:eastAsia="Times New Roman" w:hAnsi="Times New Roman"/>
          <w:sz w:val="18"/>
          <w:szCs w:val="18"/>
          <w:color w:val="auto"/>
        </w:rPr>
      </w:pPr>
    </w:p>
    <w:p>
      <w:pPr>
        <w:ind w:left="304" w:hanging="304"/>
        <w:spacing w:after="0"/>
        <w:tabs>
          <w:tab w:leader="none" w:pos="30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currency mean the lawful currency of the United States of America, unless the context requires otherwise;</w:t>
      </w:r>
    </w:p>
    <w:p>
      <w:pPr>
        <w:spacing w:after="0" w:line="117" w:lineRule="exact"/>
        <w:rPr>
          <w:rFonts w:ascii="Times New Roman" w:cs="Times New Roman" w:eastAsia="Times New Roman" w:hAnsi="Times New Roman"/>
          <w:sz w:val="18"/>
          <w:szCs w:val="18"/>
          <w:color w:val="auto"/>
        </w:rPr>
      </w:pPr>
    </w:p>
    <w:p>
      <w:pPr>
        <w:ind w:left="224" w:hanging="224"/>
        <w:spacing w:after="0"/>
        <w:tabs>
          <w:tab w:leader="none" w:pos="2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exhibits, schedules and other attachments to this Indenture are deemed to form part of this Indenture; and</w:t>
      </w:r>
    </w:p>
    <w:p>
      <w:pPr>
        <w:spacing w:after="0" w:line="113" w:lineRule="exact"/>
        <w:rPr>
          <w:rFonts w:ascii="Times New Roman" w:cs="Times New Roman" w:eastAsia="Times New Roman" w:hAnsi="Times New Roman"/>
          <w:sz w:val="18"/>
          <w:szCs w:val="18"/>
          <w:color w:val="auto"/>
        </w:rPr>
      </w:pPr>
    </w:p>
    <w:p>
      <w:pPr>
        <w:ind w:left="4" w:right="440" w:hanging="4"/>
        <w:spacing w:after="0" w:line="286" w:lineRule="auto"/>
        <w:tabs>
          <w:tab w:leader="none" w:pos="23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interest</w:t>
      </w:r>
      <w:r>
        <w:rPr>
          <w:rFonts w:ascii="Times New Roman" w:cs="Times New Roman" w:eastAsia="Times New Roman" w:hAnsi="Times New Roman"/>
          <w:sz w:val="18"/>
          <w:szCs w:val="18"/>
          <w:color w:val="auto"/>
        </w:rPr>
        <w:t>,” when used with respect to a Note, includes any Default Interest, Additional Interest and Special Interest, unless the context requires otherwise.</w:t>
      </w:r>
    </w:p>
    <w:p>
      <w:pPr>
        <w:spacing w:after="0" w:line="37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Article 2. THE NOTES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2.01. F</w:t>
      </w:r>
      <w:r>
        <w:rPr>
          <w:rFonts w:ascii="Times New Roman" w:cs="Times New Roman" w:eastAsia="Times New Roman" w:hAnsi="Times New Roman"/>
          <w:sz w:val="14"/>
          <w:szCs w:val="14"/>
          <w:b w:val="1"/>
          <w:bCs w:val="1"/>
          <w:color w:val="auto"/>
        </w:rPr>
        <w:t>ORM</w:t>
      </w:r>
      <w:r>
        <w:rPr>
          <w:rFonts w:ascii="Times New Roman" w:cs="Times New Roman" w:eastAsia="Times New Roman" w:hAnsi="Times New Roman"/>
          <w:sz w:val="18"/>
          <w:szCs w:val="18"/>
          <w:b w:val="1"/>
          <w:bCs w:val="1"/>
          <w:color w:val="auto"/>
        </w:rPr>
        <w:t>, D</w:t>
      </w:r>
      <w:r>
        <w:rPr>
          <w:rFonts w:ascii="Times New Roman" w:cs="Times New Roman" w:eastAsia="Times New Roman" w:hAnsi="Times New Roman"/>
          <w:sz w:val="14"/>
          <w:szCs w:val="14"/>
          <w:b w:val="1"/>
          <w:bCs w:val="1"/>
          <w:color w:val="auto"/>
        </w:rPr>
        <w:t>ATING AND</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ENOMINATIONS</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jc w:val="both"/>
        <w:ind w:left="4" w:right="160" w:firstLine="440"/>
        <w:spacing w:after="0" w:line="268" w:lineRule="auto"/>
        <w:rPr>
          <w:sz w:val="20"/>
          <w:szCs w:val="20"/>
          <w:color w:val="auto"/>
        </w:rPr>
      </w:pPr>
      <w:r>
        <w:rPr>
          <w:rFonts w:ascii="Times New Roman" w:cs="Times New Roman" w:eastAsia="Times New Roman" w:hAnsi="Times New Roman"/>
          <w:sz w:val="18"/>
          <w:szCs w:val="18"/>
          <w:color w:val="auto"/>
        </w:rPr>
        <w:t xml:space="preserve">The Notes and the Trustee’s certificate of authentication will be substantially in the form set forth in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xml:space="preserve">. The Notes will bear the legends required by </w:t>
      </w:r>
      <w:r>
        <w:rPr>
          <w:rFonts w:ascii="Times New Roman" w:cs="Times New Roman" w:eastAsia="Times New Roman" w:hAnsi="Times New Roman"/>
          <w:sz w:val="18"/>
          <w:szCs w:val="18"/>
          <w:b w:val="1"/>
          <w:bCs w:val="1"/>
          <w:color w:val="auto"/>
        </w:rPr>
        <w:t>Section 2.09</w:t>
      </w:r>
      <w:r>
        <w:rPr>
          <w:rFonts w:ascii="Times New Roman" w:cs="Times New Roman" w:eastAsia="Times New Roman" w:hAnsi="Times New Roman"/>
          <w:sz w:val="18"/>
          <w:szCs w:val="18"/>
          <w:color w:val="auto"/>
        </w:rPr>
        <w:t xml:space="preserve"> and may bear notations, legends or endorsements required by law, stock exchange rule or usage or the Depositary. Each Note will be dated as of the date of its authentication.</w:t>
      </w:r>
    </w:p>
    <w:p>
      <w:pPr>
        <w:spacing w:after="0" w:line="175" w:lineRule="exact"/>
        <w:rPr>
          <w:sz w:val="20"/>
          <w:szCs w:val="20"/>
          <w:color w:val="auto"/>
        </w:rPr>
      </w:pPr>
    </w:p>
    <w:p>
      <w:pPr>
        <w:jc w:val="both"/>
        <w:ind w:left="4"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Except to the extent otherwise provided in a Company Order delivered to the Trustee in connection with the issuance and authentication thereof, the Notes will be issued initially in the form of one or more Global Notes. Global Notes may be exchanged for Physical Notes, and Physical Notes may be exchanged for Global Notes, only as provided in </w:t>
      </w:r>
      <w:r>
        <w:rPr>
          <w:rFonts w:ascii="Times New Roman" w:cs="Times New Roman" w:eastAsia="Times New Roman" w:hAnsi="Times New Roman"/>
          <w:sz w:val="18"/>
          <w:szCs w:val="18"/>
          <w:b w:val="1"/>
          <w:bCs w:val="1"/>
          <w:color w:val="auto"/>
        </w:rPr>
        <w:t>Section 2.10</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Notes will be issuable only in registered form without interest coupons and only in Authorized Denominations.</w:t>
      </w:r>
    </w:p>
    <w:p>
      <w:pPr>
        <w:spacing w:after="0" w:line="225" w:lineRule="exact"/>
        <w:rPr>
          <w:sz w:val="20"/>
          <w:szCs w:val="20"/>
          <w:color w:val="auto"/>
        </w:rPr>
      </w:pPr>
    </w:p>
    <w:p>
      <w:pPr>
        <w:ind w:left="4" w:right="680" w:firstLine="440"/>
        <w:spacing w:after="0" w:line="282" w:lineRule="auto"/>
        <w:rPr>
          <w:sz w:val="20"/>
          <w:szCs w:val="20"/>
          <w:color w:val="auto"/>
        </w:rPr>
      </w:pPr>
      <w:r>
        <w:rPr>
          <w:rFonts w:ascii="Times New Roman" w:cs="Times New Roman" w:eastAsia="Times New Roman" w:hAnsi="Times New Roman"/>
          <w:sz w:val="18"/>
          <w:szCs w:val="18"/>
          <w:color w:val="auto"/>
        </w:rPr>
        <w:t>Each certificate representing a Note will bear a unique registration number that is not affixed to any other certificate representing another outstanding Note.</w:t>
      </w:r>
    </w:p>
    <w:p>
      <w:pPr>
        <w:spacing w:after="0" w:line="162" w:lineRule="exact"/>
        <w:rPr>
          <w:sz w:val="20"/>
          <w:szCs w:val="20"/>
          <w:color w:val="auto"/>
        </w:rPr>
      </w:pPr>
    </w:p>
    <w:p>
      <w:pPr>
        <w:ind w:left="4" w:right="1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terms contained in the Notes constitute part of this Indenture, and, to the extent applicable, the Company and the Trustee, by their execution and delivery of this Indenture, agree to such terms and to be bound thereby;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to the extent that any provision of any Note conflicts with the provisions of this Indenture, the provisions of this Indenture will control for purposes of this Indenture and such Note.</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- 15 -</w:t>
      </w:r>
    </w:p>
    <w:p>
      <w:pPr>
        <w:sectPr>
          <w:pgSz w:w="11900" w:h="16838" w:orient="portrait"/>
          <w:cols w:equalWidth="0" w:num="1">
            <w:col w:w="10984"/>
          </w:cols>
          <w:pgMar w:left="436" w:top="270" w:right="479" w:bottom="1440" w:gutter="0" w:footer="0" w:header="0"/>
        </w:sectPr>
      </w:pPr>
    </w:p>
    <w:bookmarkStart w:id="28" w:name="page29"/>
    <w:bookmarkEnd w:id="28"/>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2.02. E</w:t>
      </w:r>
      <w:r>
        <w:rPr>
          <w:rFonts w:ascii="Times New Roman" w:cs="Times New Roman" w:eastAsia="Times New Roman" w:hAnsi="Times New Roman"/>
          <w:sz w:val="14"/>
          <w:szCs w:val="14"/>
          <w:b w:val="1"/>
          <w:bCs w:val="1"/>
          <w:color w:val="auto"/>
        </w:rPr>
        <w:t>XECUTION</w:t>
      </w:r>
      <w:r>
        <w:rPr>
          <w:rFonts w:ascii="Times New Roman" w:cs="Times New Roman" w:eastAsia="Times New Roman" w:hAnsi="Times New Roman"/>
          <w:sz w:val="18"/>
          <w:szCs w:val="18"/>
          <w:b w:val="1"/>
          <w:bCs w:val="1"/>
          <w:color w:val="auto"/>
        </w:rPr>
        <w:t>, A</w:t>
      </w:r>
      <w:r>
        <w:rPr>
          <w:rFonts w:ascii="Times New Roman" w:cs="Times New Roman" w:eastAsia="Times New Roman" w:hAnsi="Times New Roman"/>
          <w:sz w:val="14"/>
          <w:szCs w:val="14"/>
          <w:b w:val="1"/>
          <w:bCs w:val="1"/>
          <w:color w:val="auto"/>
        </w:rPr>
        <w:t>UTHENTICATION AND</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ELIVERY</w:t>
      </w:r>
      <w:r>
        <w:rPr>
          <w:rFonts w:ascii="Times New Roman" w:cs="Times New Roman" w:eastAsia="Times New Roman" w:hAnsi="Times New Roman"/>
          <w:sz w:val="18"/>
          <w:szCs w:val="18"/>
          <w:b w:val="1"/>
          <w:bCs w:val="1"/>
          <w:color w:val="auto"/>
        </w:rPr>
        <w:t>.</w:t>
      </w:r>
    </w:p>
    <w:p>
      <w:pPr>
        <w:spacing w:after="0" w:line="119" w:lineRule="exact"/>
        <w:rPr>
          <w:sz w:val="20"/>
          <w:szCs w:val="20"/>
          <w:color w:val="auto"/>
        </w:rPr>
      </w:pPr>
    </w:p>
    <w:p>
      <w:pPr>
        <w:ind w:left="4" w:right="160" w:hanging="4"/>
        <w:spacing w:after="0" w:line="267" w:lineRule="auto"/>
        <w:tabs>
          <w:tab w:leader="none" w:pos="29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Due Execution by the Company</w:t>
      </w:r>
      <w:r>
        <w:rPr>
          <w:rFonts w:ascii="Times New Roman" w:cs="Times New Roman" w:eastAsia="Times New Roman" w:hAnsi="Times New Roman"/>
          <w:sz w:val="18"/>
          <w:szCs w:val="18"/>
          <w:color w:val="auto"/>
        </w:rPr>
        <w:t>. At least one (1) duly authorized Officer will sign the Notes on behalf of the Company by manual, electronic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facsimile signature. A Note’s validity will not be affected by the failure of any Officer whose signature is on any Note to hold, at the time such Note is authenticated, the same or any other office at the Company.</w:t>
      </w:r>
    </w:p>
    <w:p>
      <w:pPr>
        <w:spacing w:after="0" w:line="65" w:lineRule="exact"/>
        <w:rPr>
          <w:rFonts w:ascii="Times New Roman" w:cs="Times New Roman" w:eastAsia="Times New Roman" w:hAnsi="Times New Roman"/>
          <w:sz w:val="18"/>
          <w:szCs w:val="18"/>
          <w:color w:val="auto"/>
        </w:rPr>
      </w:pPr>
    </w:p>
    <w:p>
      <w:pPr>
        <w:ind w:left="284" w:hanging="284"/>
        <w:spacing w:after="0"/>
        <w:tabs>
          <w:tab w:leader="none" w:pos="28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Authentication by the Trustee and Delivery</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4" w:right="200" w:hanging="4"/>
        <w:spacing w:after="0" w:line="282" w:lineRule="auto"/>
        <w:tabs>
          <w:tab w:leader="none" w:pos="21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Note will be valid until it is authenticated by the Trustee. A Note will be deemed to be duly authenticated only when an authorized signatory of the Trustee (or a duly appointed authenticating agent) manually signs the certificate of authentication of such Note.</w:t>
      </w:r>
    </w:p>
    <w:p>
      <w:pPr>
        <w:spacing w:after="0" w:line="53" w:lineRule="exact"/>
        <w:rPr>
          <w:rFonts w:ascii="Times New Roman" w:cs="Times New Roman" w:eastAsia="Times New Roman" w:hAnsi="Times New Roman"/>
          <w:sz w:val="18"/>
          <w:szCs w:val="18"/>
          <w:color w:val="auto"/>
        </w:rPr>
      </w:pPr>
    </w:p>
    <w:p>
      <w:pPr>
        <w:ind w:left="4" w:hanging="4"/>
        <w:spacing w:after="0" w:line="258" w:lineRule="auto"/>
        <w:tabs>
          <w:tab w:leader="none" w:pos="26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Trustee will cause an authorized signatory of the Trustee (or a duly appointed authenticating agent) to manually sign the certificate of authentication of a Note only if (1) the Company delivers such Note to the Trustee; (2) such Note is executed by the Company in accordance with </w:t>
      </w:r>
      <w:r>
        <w:rPr>
          <w:rFonts w:ascii="Times New Roman" w:cs="Times New Roman" w:eastAsia="Times New Roman" w:hAnsi="Times New Roman"/>
          <w:sz w:val="18"/>
          <w:szCs w:val="18"/>
          <w:b w:val="1"/>
          <w:bCs w:val="1"/>
          <w:color w:val="auto"/>
        </w:rPr>
        <w:t>Section 2.02(A</w:t>
      </w:r>
      <w:r>
        <w:rPr>
          <w:rFonts w:ascii="Times New Roman" w:cs="Times New Roman" w:eastAsia="Times New Roman" w:hAnsi="Times New Roman"/>
          <w:sz w:val="18"/>
          <w:szCs w:val="18"/>
          <w:color w:val="auto"/>
        </w:rPr>
        <w:t>); and (3) the Company delivers a Company Order to the Trustee that (a) requests the Trustee to authenticate such Note; and (b) sets forth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name of the Holder of such Note and the date as of which such Note is to be authenticated. If such Company Order also requests the Trustee to deliver such Note to any Holder or to the Depositary, then the Trustee will promptly deliver such Note in accordance with such Company Order.</w:t>
      </w:r>
    </w:p>
    <w:p>
      <w:pPr>
        <w:spacing w:after="0" w:line="75" w:lineRule="exact"/>
        <w:rPr>
          <w:rFonts w:ascii="Times New Roman" w:cs="Times New Roman" w:eastAsia="Times New Roman" w:hAnsi="Times New Roman"/>
          <w:sz w:val="18"/>
          <w:szCs w:val="18"/>
          <w:color w:val="auto"/>
        </w:rPr>
      </w:pPr>
    </w:p>
    <w:p>
      <w:pPr>
        <w:ind w:left="4" w:right="20" w:hanging="4"/>
        <w:spacing w:after="0" w:line="261" w:lineRule="auto"/>
        <w:tabs>
          <w:tab w:leader="none" w:pos="31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appoint an authenticating agent acceptable to the Company to authenticate Notes. A duly appointed authenticating agent may authenticate Notes whenever the Trustee may do so under this Indenture, and a Note authenticated as provided in this Indenture by such an agent will be deemed, for purposes of this Indenture, to be authenticated by the Trustee. Each duly appointed authenticating agent will have the same rights to deal with the Company as the Trustee would have if it were performing the duties that the authenticating agent was validly appointed to undertake.</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2.03. I</w:t>
      </w:r>
      <w:r>
        <w:rPr>
          <w:rFonts w:ascii="Times New Roman" w:cs="Times New Roman" w:eastAsia="Times New Roman" w:hAnsi="Times New Roman"/>
          <w:sz w:val="14"/>
          <w:szCs w:val="14"/>
          <w:b w:val="1"/>
          <w:bCs w:val="1"/>
          <w:color w:val="auto"/>
        </w:rPr>
        <w:t>NITIAL</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4"/>
          <w:szCs w:val="14"/>
          <w:b w:val="1"/>
          <w:bCs w:val="1"/>
          <w:color w:val="auto"/>
        </w:rPr>
        <w:t>OTES AND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DDITIONAL</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4"/>
          <w:szCs w:val="14"/>
          <w:b w:val="1"/>
          <w:bCs w:val="1"/>
          <w:color w:val="auto"/>
        </w:rPr>
        <w:t>OTES</w:t>
      </w:r>
      <w:r>
        <w:rPr>
          <w:rFonts w:ascii="Times New Roman" w:cs="Times New Roman" w:eastAsia="Times New Roman" w:hAnsi="Times New Roman"/>
          <w:sz w:val="18"/>
          <w:szCs w:val="18"/>
          <w:b w:val="1"/>
          <w:bCs w:val="1"/>
          <w:color w:val="auto"/>
        </w:rPr>
        <w:t>.</w:t>
      </w:r>
    </w:p>
    <w:p>
      <w:pPr>
        <w:spacing w:after="0" w:line="119" w:lineRule="exact"/>
        <w:rPr>
          <w:sz w:val="20"/>
          <w:szCs w:val="20"/>
          <w:color w:val="auto"/>
        </w:rPr>
      </w:pPr>
    </w:p>
    <w:p>
      <w:pPr>
        <w:ind w:left="4" w:right="40" w:hanging="4"/>
        <w:spacing w:after="0" w:line="267" w:lineRule="auto"/>
        <w:tabs>
          <w:tab w:leader="none" w:pos="29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Initial Notes</w:t>
      </w:r>
      <w:r>
        <w:rPr>
          <w:rFonts w:ascii="Times New Roman" w:cs="Times New Roman" w:eastAsia="Times New Roman" w:hAnsi="Times New Roman"/>
          <w:sz w:val="18"/>
          <w:szCs w:val="18"/>
          <w:color w:val="auto"/>
        </w:rPr>
        <w:t>. On the Issue Date, there will be originally issued three hundred and fifty million dollars ($350,000,000) aggregate principal amount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Notes, subject to the provisions of this Indenture (including </w:t>
      </w:r>
      <w:r>
        <w:rPr>
          <w:rFonts w:ascii="Times New Roman" w:cs="Times New Roman" w:eastAsia="Times New Roman" w:hAnsi="Times New Roman"/>
          <w:sz w:val="18"/>
          <w:szCs w:val="18"/>
          <w:b w:val="1"/>
          <w:bCs w:val="1"/>
          <w:color w:val="auto"/>
        </w:rPr>
        <w:t>Section 2.02</w:t>
      </w:r>
      <w:r>
        <w:rPr>
          <w:rFonts w:ascii="Times New Roman" w:cs="Times New Roman" w:eastAsia="Times New Roman" w:hAnsi="Times New Roman"/>
          <w:sz w:val="18"/>
          <w:szCs w:val="18"/>
          <w:color w:val="auto"/>
        </w:rPr>
        <w:t xml:space="preserve">). Notes issued pursuant to this </w:t>
      </w:r>
      <w:r>
        <w:rPr>
          <w:rFonts w:ascii="Times New Roman" w:cs="Times New Roman" w:eastAsia="Times New Roman" w:hAnsi="Times New Roman"/>
          <w:sz w:val="18"/>
          <w:szCs w:val="18"/>
          <w:b w:val="1"/>
          <w:bCs w:val="1"/>
          <w:color w:val="auto"/>
        </w:rPr>
        <w:t>Section 2.03(A</w:t>
      </w:r>
      <w:r>
        <w:rPr>
          <w:rFonts w:ascii="Times New Roman" w:cs="Times New Roman" w:eastAsia="Times New Roman" w:hAnsi="Times New Roman"/>
          <w:sz w:val="18"/>
          <w:szCs w:val="18"/>
          <w:color w:val="auto"/>
        </w:rPr>
        <w:t>), and any Notes issued in exchange therefor or in substitution thereof, are referred to in this Indenture as the “</w:t>
      </w:r>
      <w:r>
        <w:rPr>
          <w:rFonts w:ascii="Times New Roman" w:cs="Times New Roman" w:eastAsia="Times New Roman" w:hAnsi="Times New Roman"/>
          <w:sz w:val="18"/>
          <w:szCs w:val="18"/>
          <w:b w:val="1"/>
          <w:bCs w:val="1"/>
          <w:color w:val="auto"/>
        </w:rPr>
        <w:t>Initial Notes</w:t>
      </w:r>
      <w:r>
        <w:rPr>
          <w:rFonts w:ascii="Times New Roman" w:cs="Times New Roman" w:eastAsia="Times New Roman" w:hAnsi="Times New Roman"/>
          <w:sz w:val="18"/>
          <w:szCs w:val="18"/>
          <w:color w:val="auto"/>
        </w:rPr>
        <w:t>.”</w:t>
      </w:r>
    </w:p>
    <w:p>
      <w:pPr>
        <w:spacing w:after="0" w:line="63" w:lineRule="exact"/>
        <w:rPr>
          <w:rFonts w:ascii="Times New Roman" w:cs="Times New Roman" w:eastAsia="Times New Roman" w:hAnsi="Times New Roman"/>
          <w:sz w:val="18"/>
          <w:szCs w:val="18"/>
          <w:color w:val="auto"/>
        </w:rPr>
      </w:pPr>
    </w:p>
    <w:p>
      <w:pPr>
        <w:ind w:left="4" w:hanging="4"/>
        <w:spacing w:after="0" w:line="255" w:lineRule="auto"/>
        <w:tabs>
          <w:tab w:leader="none" w:pos="28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Additional Notes</w:t>
      </w:r>
      <w:r>
        <w:rPr>
          <w:rFonts w:ascii="Times New Roman" w:cs="Times New Roman" w:eastAsia="Times New Roman" w:hAnsi="Times New Roman"/>
          <w:sz w:val="18"/>
          <w:szCs w:val="18"/>
          <w:color w:val="auto"/>
        </w:rPr>
        <w:t>. Without the consent of any Holder, the Company may, subject to the provisions of this Indenture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2.02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originally issue additional Notes with the same terms as the Initial Notes (except, to the extent applicable, with respect to the date as of which interest begins to accrue on such additional Notes, the first Interest Payment Date of such additional Notes, the Last Original Issue Date of such additional Notes and transfer restrictions applicable to such additional Notes), which additional Notes will, subject to the foregoing, be considered to be part of the same series of, and rank equally and ratably with all other, Notes issued under this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any such additional Notes (and any Notes that are resold after such Notes have been purchased or otherwise acquired by the Company or its Subsidiaries) are not fungible with the Initial Notes or, if applicable, other Notes issued under this Indenture for purposes of federal income tax or federal securities laws or, if applicable, the Depositary Procedures, then such additional or resold Notes will be identified by a separate CUSIP number or by no CUSIP number.</w:t>
      </w:r>
    </w:p>
    <w:p>
      <w:pPr>
        <w:spacing w:after="0" w:line="121"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16 -</w:t>
      </w:r>
    </w:p>
    <w:p>
      <w:pPr>
        <w:sectPr>
          <w:pgSz w:w="11900" w:h="16838" w:orient="portrait"/>
          <w:cols w:equalWidth="0" w:num="1">
            <w:col w:w="10984"/>
          </w:cols>
          <w:pgMar w:left="436" w:top="266" w:right="479" w:bottom="1440" w:gutter="0" w:footer="0" w:header="0"/>
        </w:sectPr>
      </w:pPr>
    </w:p>
    <w:bookmarkStart w:id="29" w:name="page30"/>
    <w:bookmarkEnd w:id="29"/>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2.04. M</w:t>
      </w:r>
      <w:r>
        <w:rPr>
          <w:rFonts w:ascii="Times New Roman" w:cs="Times New Roman" w:eastAsia="Times New Roman" w:hAnsi="Times New Roman"/>
          <w:sz w:val="14"/>
          <w:szCs w:val="14"/>
          <w:b w:val="1"/>
          <w:bCs w:val="1"/>
          <w:color w:val="auto"/>
        </w:rPr>
        <w:t>ETHOD OF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AYMENT</w:t>
      </w:r>
      <w:r>
        <w:rPr>
          <w:rFonts w:ascii="Times New Roman" w:cs="Times New Roman" w:eastAsia="Times New Roman" w:hAnsi="Times New Roman"/>
          <w:sz w:val="18"/>
          <w:szCs w:val="18"/>
          <w:b w:val="1"/>
          <w:bCs w:val="1"/>
          <w:color w:val="auto"/>
        </w:rPr>
        <w:t>.</w:t>
      </w:r>
    </w:p>
    <w:p>
      <w:pPr>
        <w:spacing w:after="0" w:line="119" w:lineRule="exact"/>
        <w:rPr>
          <w:sz w:val="20"/>
          <w:szCs w:val="20"/>
          <w:color w:val="auto"/>
        </w:rPr>
      </w:pPr>
    </w:p>
    <w:p>
      <w:pPr>
        <w:jc w:val="both"/>
        <w:ind w:left="4" w:hanging="4"/>
        <w:spacing w:after="0" w:line="290" w:lineRule="auto"/>
        <w:tabs>
          <w:tab w:leader="none" w:pos="299"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Global Notes</w:t>
      </w:r>
      <w:r>
        <w:rPr>
          <w:rFonts w:ascii="Times New Roman" w:cs="Times New Roman" w:eastAsia="Times New Roman" w:hAnsi="Times New Roman"/>
          <w:sz w:val="17"/>
          <w:szCs w:val="17"/>
          <w:color w:val="auto"/>
        </w:rPr>
        <w:t>. The Company will pay, or cause the Paying Agent to pay, the principal (whether due upon maturity on the Maturity Date, Redemption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on a Redemption Date or repurchase on a Fundamental Change Repurchase Date or otherwise) of, interest on, and any cash Exchange Consideration for, any Global Note to the Depositary by wire transfer of immediately available funds no later than the time the same is due as provided in this Indenture.</w:t>
      </w:r>
    </w:p>
    <w:p>
      <w:pPr>
        <w:spacing w:after="0" w:line="47" w:lineRule="exact"/>
        <w:rPr>
          <w:rFonts w:ascii="Times New Roman" w:cs="Times New Roman" w:eastAsia="Times New Roman" w:hAnsi="Times New Roman"/>
          <w:sz w:val="17"/>
          <w:szCs w:val="17"/>
          <w:color w:val="auto"/>
        </w:rPr>
      </w:pPr>
    </w:p>
    <w:p>
      <w:pPr>
        <w:ind w:left="4" w:hanging="4"/>
        <w:spacing w:after="0" w:line="253" w:lineRule="auto"/>
        <w:tabs>
          <w:tab w:leader="none" w:pos="28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Physical Notes</w:t>
      </w:r>
      <w:r>
        <w:rPr>
          <w:rFonts w:ascii="Times New Roman" w:cs="Times New Roman" w:eastAsia="Times New Roman" w:hAnsi="Times New Roman"/>
          <w:sz w:val="18"/>
          <w:szCs w:val="18"/>
          <w:color w:val="auto"/>
        </w:rPr>
        <w:t>. The Company will pay, or cause the Paying Agent to pay, the principal (whether due upon maturity on the Maturity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Redemption on a Redemption Date or repurchase on a Fundamental Change Repurchase Date or otherwise) of, interest on, and any cash Exchange Consideration for, any Physical Note no later than the time the same is due as provided in this Indenture as follows: (i) if the principal amount of such Physical Note is at least five million dollars ($5,000,000) (or such lower amount as the Company may choose in its sole and absolute discretion) and the Holder of such Physical Note entitled to such payment has delivered to the Paying Agent or the Trustee, no later than the time set forth in the immediately following sentence, a written request that the Company make such payment by wire transfer to an account of such Holder within the United States, by wire transfer of immediately available funds to such account; and (ii) in all other cases, by check mailed to the address of the Holder of such Physical Note entitled to such payment as set forth in the Register. To be timely, such written request must be so delivered no later than the Close of Business on the following date: (x) with respect to the payment of any interest due on an Interest Payment Date, the immediately preceding Regular Record Date; (y) with respect to any cash Exchange Consideration, the relevant Exchange Date; and (z) with respect to any other payment, the date that is fifteen (15) calendar days immediately before the date such payment is due.</w:t>
      </w:r>
    </w:p>
    <w:p>
      <w:pPr>
        <w:spacing w:after="0" w:line="200" w:lineRule="exact"/>
        <w:rPr>
          <w:sz w:val="20"/>
          <w:szCs w:val="20"/>
          <w:color w:val="auto"/>
        </w:rPr>
      </w:pPr>
    </w:p>
    <w:p>
      <w:pPr>
        <w:spacing w:after="0" w:line="20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2.05. A</w:t>
      </w:r>
      <w:r>
        <w:rPr>
          <w:rFonts w:ascii="Times New Roman" w:cs="Times New Roman" w:eastAsia="Times New Roman" w:hAnsi="Times New Roman"/>
          <w:sz w:val="14"/>
          <w:szCs w:val="14"/>
          <w:b w:val="1"/>
          <w:bCs w:val="1"/>
          <w:color w:val="auto"/>
        </w:rPr>
        <w:t>CCRUAL OF</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NTEREST</w:t>
      </w:r>
      <w:r>
        <w:rPr>
          <w:rFonts w:ascii="Times New Roman" w:cs="Times New Roman" w:eastAsia="Times New Roman" w:hAnsi="Times New Roman"/>
          <w:sz w:val="18"/>
          <w:szCs w:val="18"/>
          <w:b w:val="1"/>
          <w:bCs w:val="1"/>
          <w:color w:val="auto"/>
        </w:rPr>
        <w:t>; D</w:t>
      </w:r>
      <w:r>
        <w:rPr>
          <w:rFonts w:ascii="Times New Roman" w:cs="Times New Roman" w:eastAsia="Times New Roman" w:hAnsi="Times New Roman"/>
          <w:sz w:val="14"/>
          <w:szCs w:val="14"/>
          <w:b w:val="1"/>
          <w:bCs w:val="1"/>
          <w:color w:val="auto"/>
        </w:rPr>
        <w:t>EFAULTED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MOUNTS</w:t>
      </w:r>
      <w:r>
        <w:rPr>
          <w:rFonts w:ascii="Times New Roman" w:cs="Times New Roman" w:eastAsia="Times New Roman" w:hAnsi="Times New Roman"/>
          <w:sz w:val="18"/>
          <w:szCs w:val="18"/>
          <w:b w:val="1"/>
          <w:bCs w:val="1"/>
          <w:color w:val="auto"/>
        </w:rPr>
        <w:t>; W</w:t>
      </w:r>
      <w:r>
        <w:rPr>
          <w:rFonts w:ascii="Times New Roman" w:cs="Times New Roman" w:eastAsia="Times New Roman" w:hAnsi="Times New Roman"/>
          <w:sz w:val="14"/>
          <w:szCs w:val="14"/>
          <w:b w:val="1"/>
          <w:bCs w:val="1"/>
          <w:color w:val="auto"/>
        </w:rPr>
        <w:t>HEN</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AYMENT</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ATE IS</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4"/>
          <w:szCs w:val="14"/>
          <w:b w:val="1"/>
          <w:bCs w:val="1"/>
          <w:color w:val="auto"/>
        </w:rPr>
        <w:t>OT A</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USINESS</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AY</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ind w:left="4" w:right="140" w:hanging="4"/>
        <w:spacing w:after="0" w:line="254" w:lineRule="auto"/>
        <w:tabs>
          <w:tab w:leader="none" w:pos="29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Accrual of Interest</w:t>
      </w:r>
      <w:r>
        <w:rPr>
          <w:rFonts w:ascii="Times New Roman" w:cs="Times New Roman" w:eastAsia="Times New Roman" w:hAnsi="Times New Roman"/>
          <w:sz w:val="18"/>
          <w:szCs w:val="18"/>
          <w:color w:val="auto"/>
        </w:rPr>
        <w:t>. Each Note will accrue interest at a rate per annum equal to 3.375% (the “</w:t>
      </w:r>
      <w:r>
        <w:rPr>
          <w:rFonts w:ascii="Times New Roman" w:cs="Times New Roman" w:eastAsia="Times New Roman" w:hAnsi="Times New Roman"/>
          <w:sz w:val="18"/>
          <w:szCs w:val="18"/>
          <w:b w:val="1"/>
          <w:bCs w:val="1"/>
          <w:color w:val="auto"/>
        </w:rPr>
        <w:t>Stated Interest</w:t>
      </w:r>
      <w:r>
        <w:rPr>
          <w:rFonts w:ascii="Times New Roman" w:cs="Times New Roman" w:eastAsia="Times New Roman" w:hAnsi="Times New Roman"/>
          <w:sz w:val="18"/>
          <w:szCs w:val="18"/>
          <w:color w:val="auto"/>
        </w:rPr>
        <w:t>”), plus any Additional Interest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Special Interest that may accrue pursuant to </w:t>
      </w:r>
      <w:r>
        <w:rPr>
          <w:rFonts w:ascii="Times New Roman" w:cs="Times New Roman" w:eastAsia="Times New Roman" w:hAnsi="Times New Roman"/>
          <w:sz w:val="18"/>
          <w:szCs w:val="18"/>
          <w:b w:val="1"/>
          <w:bCs w:val="1"/>
          <w:color w:val="auto"/>
        </w:rPr>
        <w:t>Sections 3.04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7.03</w:t>
      </w:r>
      <w:r>
        <w:rPr>
          <w:rFonts w:ascii="Times New Roman" w:cs="Times New Roman" w:eastAsia="Times New Roman" w:hAnsi="Times New Roman"/>
          <w:sz w:val="18"/>
          <w:szCs w:val="18"/>
          <w:color w:val="auto"/>
        </w:rPr>
        <w:t xml:space="preserve">, respectively. Stated Interest on each Note will (i) accrue from, and including, the most recent date to which Stated Interest has been paid or duly provided for (or, if no Stated Interest has theretofore been paid or duly provided for, the date set forth in the certificate representing such Note as the date from, and including, which Stated Interest will begin to accrue in such circumstance) to, but excluding, the date of payment of such Stated Interest; and (ii) be, subject to </w:t>
      </w:r>
      <w:r>
        <w:rPr>
          <w:rFonts w:ascii="Times New Roman" w:cs="Times New Roman" w:eastAsia="Times New Roman" w:hAnsi="Times New Roman"/>
          <w:sz w:val="18"/>
          <w:szCs w:val="18"/>
          <w:b w:val="1"/>
          <w:bCs w:val="1"/>
          <w:color w:val="auto"/>
        </w:rPr>
        <w:t>Sections 4.02(D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5.02(D)</w:t>
      </w:r>
      <w:r>
        <w:rPr>
          <w:rFonts w:ascii="Times New Roman" w:cs="Times New Roman" w:eastAsia="Times New Roman" w:hAnsi="Times New Roman"/>
          <w:sz w:val="18"/>
          <w:szCs w:val="18"/>
          <w:color w:val="auto"/>
        </w:rPr>
        <w:t xml:space="preserve"> (but without duplication of any payment of interest), payable semi-annually in arrears on each Interest Payment Date, beginning on the first Interest Payment Date set forth in the certificate representing such Note, to the Holder of such Note as of the Close of Business on the immediately preceding Regular Record Date. Stated Interest, and, if applicable, Additional Interest and Special Interest, on the Notes will be computed on the basis of a 360-day year comprised of twelve 30-day months.</w:t>
      </w:r>
    </w:p>
    <w:p>
      <w:pPr>
        <w:spacing w:after="0" w:line="124"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17 -</w:t>
      </w:r>
    </w:p>
    <w:p>
      <w:pPr>
        <w:sectPr>
          <w:pgSz w:w="11900" w:h="16838" w:orient="portrait"/>
          <w:cols w:equalWidth="0" w:num="1">
            <w:col w:w="11004"/>
          </w:cols>
          <w:pgMar w:left="436" w:top="266" w:right="459" w:bottom="1440" w:gutter="0" w:footer="0" w:header="0"/>
        </w:sectPr>
      </w:pPr>
    </w:p>
    <w:bookmarkStart w:id="30" w:name="page31"/>
    <w:bookmarkEnd w:id="30"/>
    <w:p>
      <w:pPr>
        <w:ind w:left="4" w:right="20" w:hanging="4"/>
        <w:spacing w:after="0" w:line="269" w:lineRule="auto"/>
        <w:tabs>
          <w:tab w:leader="none" w:pos="289"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Defaulted Amounts</w:t>
      </w:r>
      <w:r>
        <w:rPr>
          <w:rFonts w:ascii="Times New Roman" w:cs="Times New Roman" w:eastAsia="Times New Roman" w:hAnsi="Times New Roman"/>
          <w:sz w:val="17"/>
          <w:szCs w:val="17"/>
          <w:color w:val="auto"/>
        </w:rPr>
        <w:t>. If the Company fails to pay any amount (a “</w:t>
      </w:r>
      <w:r>
        <w:rPr>
          <w:rFonts w:ascii="Times New Roman" w:cs="Times New Roman" w:eastAsia="Times New Roman" w:hAnsi="Times New Roman"/>
          <w:sz w:val="17"/>
          <w:szCs w:val="17"/>
          <w:b w:val="1"/>
          <w:bCs w:val="1"/>
          <w:color w:val="auto"/>
        </w:rPr>
        <w:t>Defaulted Amount</w:t>
      </w:r>
      <w:r>
        <w:rPr>
          <w:rFonts w:ascii="Times New Roman" w:cs="Times New Roman" w:eastAsia="Times New Roman" w:hAnsi="Times New Roman"/>
          <w:sz w:val="17"/>
          <w:szCs w:val="17"/>
          <w:color w:val="auto"/>
        </w:rPr>
        <w:t>”) payable on a Note on or before the due date therefor 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provided in this Indenture, then, regardless of whether such failure constitutes an Event of Default, (i) such Defaulted Amount will forthwith cease to be payable to the Holder of such Note otherwise entitled to such payment; (ii) to the extent lawful, interest (“</w:t>
      </w:r>
      <w:r>
        <w:rPr>
          <w:rFonts w:ascii="Times New Roman" w:cs="Times New Roman" w:eastAsia="Times New Roman" w:hAnsi="Times New Roman"/>
          <w:sz w:val="17"/>
          <w:szCs w:val="17"/>
          <w:b w:val="1"/>
          <w:bCs w:val="1"/>
          <w:color w:val="auto"/>
        </w:rPr>
        <w:t>Default Interest</w:t>
      </w:r>
      <w:r>
        <w:rPr>
          <w:rFonts w:ascii="Times New Roman" w:cs="Times New Roman" w:eastAsia="Times New Roman" w:hAnsi="Times New Roman"/>
          <w:sz w:val="17"/>
          <w:szCs w:val="17"/>
          <w:color w:val="auto"/>
        </w:rPr>
        <w:t xml:space="preserve">”) will accrue on such Defaulted Amount at a rate per annum equal to the rate per annum at which Stated Interest accrues, from, and including, such due date to, but excluding, the date of payment of such Defaulted Amount and Default Interest; (iii) such Defaulted Amount and Default Interest will be paid on a payment date selected by the Company to the Holder of such Note as of the Close of Business on a special record date selected by the Company,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such special record date must be no more than fifteen (15), nor less than ten (10), calendar days before such payment date; and (iv) at least fifteen</w:t>
      </w:r>
    </w:p>
    <w:p>
      <w:pPr>
        <w:ind w:left="4"/>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 calendar days before such special record date, the Company will send notice to the Trustee and the Holders that states such special record date, such payment date and the amount of such Defaulted Amount and Default Interest to be paid on such payment date.</w:t>
      </w:r>
    </w:p>
    <w:p>
      <w:pPr>
        <w:spacing w:after="0" w:line="179" w:lineRule="exact"/>
        <w:rPr>
          <w:rFonts w:ascii="Times New Roman" w:cs="Times New Roman" w:eastAsia="Times New Roman" w:hAnsi="Times New Roman"/>
          <w:sz w:val="17"/>
          <w:szCs w:val="17"/>
          <w:color w:val="auto"/>
        </w:rPr>
      </w:pPr>
    </w:p>
    <w:p>
      <w:pPr>
        <w:ind w:left="4" w:right="40" w:hanging="4"/>
        <w:spacing w:after="0" w:line="258" w:lineRule="auto"/>
        <w:tabs>
          <w:tab w:leader="none" w:pos="28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Delay of Payment when Payment Date is Not a Business Day</w:t>
      </w:r>
      <w:r>
        <w:rPr>
          <w:rFonts w:ascii="Times New Roman" w:cs="Times New Roman" w:eastAsia="Times New Roman" w:hAnsi="Times New Roman"/>
          <w:sz w:val="18"/>
          <w:szCs w:val="18"/>
          <w:color w:val="auto"/>
        </w:rPr>
        <w:t>. If the due date for a payment on a Note as provided in this Indenture is not a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Day, then, notwithstanding anything to the contrary in this Indenture or the Notes, such payment may be made on the immediately following Business Day and no interest will accrue on such payment as a result of the related delay. Solely for purposes of the immediately preceding sentence, a day on which the applicable place of payment is authorized or required by law or executive order to close or be closed will be deemed not to be a “Business Day.”</w:t>
      </w:r>
    </w:p>
    <w:p>
      <w:pPr>
        <w:spacing w:after="0" w:line="18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2.06. R</w:t>
      </w:r>
      <w:r>
        <w:rPr>
          <w:rFonts w:ascii="Times New Roman" w:cs="Times New Roman" w:eastAsia="Times New Roman" w:hAnsi="Times New Roman"/>
          <w:sz w:val="14"/>
          <w:szCs w:val="14"/>
          <w:b w:val="1"/>
          <w:bCs w:val="1"/>
          <w:color w:val="auto"/>
        </w:rPr>
        <w:t>EGISTRAR</w:t>
      </w:r>
      <w:r>
        <w:rPr>
          <w:rFonts w:ascii="Times New Roman" w:cs="Times New Roman" w:eastAsia="Times New Roman" w:hAnsi="Times New Roman"/>
          <w:sz w:val="18"/>
          <w:szCs w:val="18"/>
          <w:b w:val="1"/>
          <w:bCs w:val="1"/>
          <w:color w:val="auto"/>
        </w:rPr>
        <w:t>, P</w:t>
      </w:r>
      <w:r>
        <w:rPr>
          <w:rFonts w:ascii="Times New Roman" w:cs="Times New Roman" w:eastAsia="Times New Roman" w:hAnsi="Times New Roman"/>
          <w:sz w:val="14"/>
          <w:szCs w:val="14"/>
          <w:b w:val="1"/>
          <w:bCs w:val="1"/>
          <w:color w:val="auto"/>
        </w:rPr>
        <w:t>AYING</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GENT AND</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XCHANGE</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GENT</w:t>
      </w:r>
      <w:r>
        <w:rPr>
          <w:rFonts w:ascii="Times New Roman" w:cs="Times New Roman" w:eastAsia="Times New Roman" w:hAnsi="Times New Roman"/>
          <w:sz w:val="18"/>
          <w:szCs w:val="18"/>
          <w:b w:val="1"/>
          <w:bCs w:val="1"/>
          <w:color w:val="auto"/>
        </w:rPr>
        <w:t>.</w:t>
      </w:r>
    </w:p>
    <w:p>
      <w:pPr>
        <w:spacing w:after="0" w:line="119" w:lineRule="exact"/>
        <w:rPr>
          <w:sz w:val="20"/>
          <w:szCs w:val="20"/>
          <w:color w:val="auto"/>
        </w:rPr>
      </w:pPr>
    </w:p>
    <w:p>
      <w:pPr>
        <w:ind w:left="4" w:right="40" w:hanging="4"/>
        <w:spacing w:after="0" w:line="255" w:lineRule="auto"/>
        <w:tabs>
          <w:tab w:leader="none" w:pos="29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 The Company will maintain (i) an office or agency in the continental United States where Notes may be presented for registration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transfer or for exchange (the “</w:t>
      </w:r>
      <w:r>
        <w:rPr>
          <w:rFonts w:ascii="Times New Roman" w:cs="Times New Roman" w:eastAsia="Times New Roman" w:hAnsi="Times New Roman"/>
          <w:sz w:val="18"/>
          <w:szCs w:val="18"/>
          <w:b w:val="1"/>
          <w:bCs w:val="1"/>
          <w:color w:val="auto"/>
        </w:rPr>
        <w:t>Registrar</w:t>
      </w:r>
      <w:r>
        <w:rPr>
          <w:rFonts w:ascii="Times New Roman" w:cs="Times New Roman" w:eastAsia="Times New Roman" w:hAnsi="Times New Roman"/>
          <w:sz w:val="18"/>
          <w:szCs w:val="18"/>
          <w:color w:val="auto"/>
        </w:rPr>
        <w:t>”); (ii) an office or agency in the continental United States where Notes may be presented for payment (the “</w:t>
      </w:r>
      <w:r>
        <w:rPr>
          <w:rFonts w:ascii="Times New Roman" w:cs="Times New Roman" w:eastAsia="Times New Roman" w:hAnsi="Times New Roman"/>
          <w:sz w:val="18"/>
          <w:szCs w:val="18"/>
          <w:b w:val="1"/>
          <w:bCs w:val="1"/>
          <w:color w:val="auto"/>
        </w:rPr>
        <w:t>Paying Agent</w:t>
      </w:r>
      <w:r>
        <w:rPr>
          <w:rFonts w:ascii="Times New Roman" w:cs="Times New Roman" w:eastAsia="Times New Roman" w:hAnsi="Times New Roman"/>
          <w:sz w:val="18"/>
          <w:szCs w:val="18"/>
          <w:color w:val="auto"/>
        </w:rPr>
        <w:t>”); and (iii) an office or agency in the continental United States where Notes may be presented for Exchange (the “</w:t>
      </w:r>
      <w:r>
        <w:rPr>
          <w:rFonts w:ascii="Times New Roman" w:cs="Times New Roman" w:eastAsia="Times New Roman" w:hAnsi="Times New Roman"/>
          <w:sz w:val="18"/>
          <w:szCs w:val="18"/>
          <w:b w:val="1"/>
          <w:bCs w:val="1"/>
          <w:color w:val="auto"/>
        </w:rPr>
        <w:t>Exchange Agent</w:t>
      </w:r>
      <w:r>
        <w:rPr>
          <w:rFonts w:ascii="Times New Roman" w:cs="Times New Roman" w:eastAsia="Times New Roman" w:hAnsi="Times New Roman"/>
          <w:sz w:val="18"/>
          <w:szCs w:val="18"/>
          <w:color w:val="auto"/>
        </w:rPr>
        <w:t xml:space="preserve">”). If the Company fails to maintain a Registrar, Paying Agent or Exchange Agent, then the Trustee will act as such and will receive compensation therefor in accordance with this Indenture and any other agreement between the Trustee and the Company. For the avoidance of doubt, the Company or any of its Subsidiaries may act as Registrar, Paying Agent or Exchange Agent. Notwithstanding anything to the contrary in this </w:t>
      </w:r>
      <w:r>
        <w:rPr>
          <w:rFonts w:ascii="Times New Roman" w:cs="Times New Roman" w:eastAsia="Times New Roman" w:hAnsi="Times New Roman"/>
          <w:sz w:val="18"/>
          <w:szCs w:val="18"/>
          <w:b w:val="1"/>
          <w:bCs w:val="1"/>
          <w:color w:val="auto"/>
        </w:rPr>
        <w:t>Section 2.06(A</w:t>
      </w:r>
      <w:r>
        <w:rPr>
          <w:rFonts w:ascii="Times New Roman" w:cs="Times New Roman" w:eastAsia="Times New Roman" w:hAnsi="Times New Roman"/>
          <w:sz w:val="18"/>
          <w:szCs w:val="18"/>
          <w:color w:val="auto"/>
        </w:rPr>
        <w:t>), each of the Registrar, Paying Agent and Exchange Agent with respect to any Global Note must at all times be a Person that is eligible to act in that capacity under the Depositary Procedures.</w:t>
      </w:r>
    </w:p>
    <w:p>
      <w:pPr>
        <w:spacing w:after="0" w:line="74" w:lineRule="exact"/>
        <w:rPr>
          <w:rFonts w:ascii="Times New Roman" w:cs="Times New Roman" w:eastAsia="Times New Roman" w:hAnsi="Times New Roman"/>
          <w:sz w:val="18"/>
          <w:szCs w:val="18"/>
          <w:color w:val="auto"/>
        </w:rPr>
      </w:pPr>
    </w:p>
    <w:p>
      <w:pPr>
        <w:jc w:val="both"/>
        <w:ind w:left="4" w:right="20" w:hanging="4"/>
        <w:spacing w:after="0" w:line="262" w:lineRule="auto"/>
        <w:tabs>
          <w:tab w:leader="none" w:pos="28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Duties of the Registrar</w:t>
      </w:r>
      <w:r>
        <w:rPr>
          <w:rFonts w:ascii="Times New Roman" w:cs="Times New Roman" w:eastAsia="Times New Roman" w:hAnsi="Times New Roman"/>
          <w:sz w:val="18"/>
          <w:szCs w:val="18"/>
          <w:color w:val="auto"/>
        </w:rPr>
        <w:t>. The Registrar will keep a record (the “</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of the names and addresses of the Holders, the Notes held by each Holder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transfer, exchange, repurchase, Redemption and Exchange of Notes. Absent manifest error, the entries in the Register will be conclusive and the Company and the Trustee may treat each Person whose name is recorded as a Holder in the Register as a Holder for all purposes. The Register will be in written form or in any form capable of being converted into written form reasonably promptly.</w:t>
      </w:r>
    </w:p>
    <w:p>
      <w:pPr>
        <w:spacing w:after="0" w:line="112"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18 -</w:t>
      </w:r>
    </w:p>
    <w:p>
      <w:pPr>
        <w:sectPr>
          <w:pgSz w:w="11900" w:h="16838" w:orient="portrait"/>
          <w:cols w:equalWidth="0" w:num="1">
            <w:col w:w="11004"/>
          </w:cols>
          <w:pgMar w:left="436" w:top="266" w:right="459" w:bottom="1440" w:gutter="0" w:footer="0" w:header="0"/>
        </w:sectPr>
      </w:pPr>
    </w:p>
    <w:bookmarkStart w:id="31" w:name="page32"/>
    <w:bookmarkEnd w:id="31"/>
    <w:p>
      <w:pPr>
        <w:ind w:left="4" w:hanging="4"/>
        <w:spacing w:after="0" w:line="257" w:lineRule="auto"/>
        <w:tabs>
          <w:tab w:leader="none" w:pos="28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Co-Agents; Company’s Right to Appoint Successor Registrars, Paying Agents and Exchange Agents</w:t>
      </w:r>
      <w:r>
        <w:rPr>
          <w:rFonts w:ascii="Times New Roman" w:cs="Times New Roman" w:eastAsia="Times New Roman" w:hAnsi="Times New Roman"/>
          <w:sz w:val="18"/>
          <w:szCs w:val="18"/>
          <w:color w:val="auto"/>
        </w:rPr>
        <w:t>. The Company may appoint one or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co-Registrars, co-Paying Agents and co-Exchange Agents, each of whom will be deemed to be a Registrar, Paying Agent or Exchange Agent, as applicable, under this Indenture. Subject to </w:t>
      </w:r>
      <w:r>
        <w:rPr>
          <w:rFonts w:ascii="Times New Roman" w:cs="Times New Roman" w:eastAsia="Times New Roman" w:hAnsi="Times New Roman"/>
          <w:sz w:val="18"/>
          <w:szCs w:val="18"/>
          <w:b w:val="1"/>
          <w:bCs w:val="1"/>
          <w:color w:val="auto"/>
        </w:rPr>
        <w:t>Section 2.06(A</w:t>
      </w:r>
      <w:r>
        <w:rPr>
          <w:rFonts w:ascii="Times New Roman" w:cs="Times New Roman" w:eastAsia="Times New Roman" w:hAnsi="Times New Roman"/>
          <w:sz w:val="18"/>
          <w:szCs w:val="18"/>
          <w:color w:val="auto"/>
        </w:rPr>
        <w:t>), the Company may change any Registrar, Paying Agent or Exchange Agent (including appointing itself or any of its Subsidiaries to act in such capacity) without notice to any Holder. The Company will notify the Trustee (and, upon request, any Holder) of the name and address of each Note Agent, if any, not a party to this Indenture and will enter into an appropriate agency agreement with each such Note Agent, which agreement will implement the provisions of this Indenture that relate to such Note Agent.</w:t>
      </w:r>
    </w:p>
    <w:p>
      <w:pPr>
        <w:spacing w:after="0" w:line="74" w:lineRule="exact"/>
        <w:rPr>
          <w:rFonts w:ascii="Times New Roman" w:cs="Times New Roman" w:eastAsia="Times New Roman" w:hAnsi="Times New Roman"/>
          <w:sz w:val="18"/>
          <w:szCs w:val="18"/>
          <w:color w:val="auto"/>
        </w:rPr>
      </w:pPr>
    </w:p>
    <w:p>
      <w:pPr>
        <w:ind w:left="4" w:right="620" w:hanging="4"/>
        <w:spacing w:after="0" w:line="284" w:lineRule="auto"/>
        <w:tabs>
          <w:tab w:leader="none" w:pos="29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Initial Appointments</w:t>
      </w:r>
      <w:r>
        <w:rPr>
          <w:rFonts w:ascii="Times New Roman" w:cs="Times New Roman" w:eastAsia="Times New Roman" w:hAnsi="Times New Roman"/>
          <w:sz w:val="18"/>
          <w:szCs w:val="18"/>
          <w:color w:val="auto"/>
        </w:rPr>
        <w:t>. The Company appoints the Trustee as the initial Paying Agent, the initial Registrar and the initial Exchange Agent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designates the Corporate Trust Offices of the Trustee in the continental United States as the offices for the same.</w:t>
      </w:r>
    </w:p>
    <w:p>
      <w:pPr>
        <w:spacing w:after="0" w:line="15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2.07. P</w:t>
      </w:r>
      <w:r>
        <w:rPr>
          <w:rFonts w:ascii="Times New Roman" w:cs="Times New Roman" w:eastAsia="Times New Roman" w:hAnsi="Times New Roman"/>
          <w:sz w:val="14"/>
          <w:szCs w:val="14"/>
          <w:b w:val="1"/>
          <w:bCs w:val="1"/>
          <w:color w:val="auto"/>
        </w:rPr>
        <w:t>AYING</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GENT AND</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XCHANGE</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GENT TO</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4"/>
          <w:szCs w:val="14"/>
          <w:b w:val="1"/>
          <w:bCs w:val="1"/>
          <w:color w:val="auto"/>
        </w:rPr>
        <w:t>OLD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ROPERTY IN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RUST</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 w:right="120" w:firstLine="440"/>
        <w:spacing w:after="0" w:line="261" w:lineRule="auto"/>
        <w:rPr>
          <w:sz w:val="20"/>
          <w:szCs w:val="20"/>
          <w:color w:val="auto"/>
        </w:rPr>
      </w:pPr>
      <w:r>
        <w:rPr>
          <w:rFonts w:ascii="Times New Roman" w:cs="Times New Roman" w:eastAsia="Times New Roman" w:hAnsi="Times New Roman"/>
          <w:sz w:val="18"/>
          <w:szCs w:val="18"/>
          <w:color w:val="auto"/>
        </w:rPr>
        <w:t>The Company will require each Paying Agent or Exchange Agent that is not the Trustee to agree in writing that such Note Agent will (A) hold in trust for the benefit of Holders or the Trustee all money and other property held by such Note Agent for payment or delivery due on the Notes; and</w:t>
      </w:r>
    </w:p>
    <w:p>
      <w:pPr>
        <w:ind w:left="4" w:right="40" w:hanging="4"/>
        <w:spacing w:after="0" w:line="250" w:lineRule="auto"/>
        <w:tabs>
          <w:tab w:leader="none" w:pos="28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 the Trustee of any default by the Company in making any such payment or delivery. The Company, at any time, may, and the Trustee, while any Default continues, may, require a Paying Agent or Exchange Agent to pay or deliver, as applicable, all money and other property held by it to the Trustee, after which payment or delivery, as applicable, such Note Agent (if not the Company or any of its Subsidiaries) will have no further liability for such money or property. If the Company or any of its Subsidiaries acts as Paying Agent or Exchange Agent, then (A) it will segregate and hold in a separate trust fund for the benefit of the Holders or the Trustee all money and other property held by it as Paying Agent or Exchange Agent; and</w:t>
      </w:r>
    </w:p>
    <w:p>
      <w:pPr>
        <w:spacing w:after="0" w:line="1" w:lineRule="exact"/>
        <w:rPr>
          <w:rFonts w:ascii="Times New Roman" w:cs="Times New Roman" w:eastAsia="Times New Roman" w:hAnsi="Times New Roman"/>
          <w:sz w:val="18"/>
          <w:szCs w:val="18"/>
          <w:color w:val="auto"/>
        </w:rPr>
      </w:pPr>
    </w:p>
    <w:p>
      <w:pPr>
        <w:ind w:left="4" w:right="20" w:hanging="4"/>
        <w:spacing w:after="0" w:line="252" w:lineRule="auto"/>
        <w:tabs>
          <w:tab w:leader="none" w:pos="28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references in this Indenture or the Notes to the Paying Agent or Exchange Agent holding cash or other property, or to the delivery of cash or other property to the Paying Agent or Exchange Agent, in each case for payment or delivery to any Holders or the Trustee or with respect to the Notes, will be deemed to refer to cash or other property so segregated and held separately, or to the segregation and separate holding of such cash or other property, respectively. Upon the occurrence of any event pursuant to </w:t>
      </w:r>
      <w:r>
        <w:rPr>
          <w:rFonts w:ascii="Times New Roman" w:cs="Times New Roman" w:eastAsia="Times New Roman" w:hAnsi="Times New Roman"/>
          <w:sz w:val="18"/>
          <w:szCs w:val="18"/>
          <w:b w:val="1"/>
          <w:bCs w:val="1"/>
          <w:color w:val="auto"/>
        </w:rPr>
        <w:t>clause (ix</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Section 7.01(A</w:t>
      </w:r>
      <w:r>
        <w:rPr>
          <w:rFonts w:ascii="Times New Roman" w:cs="Times New Roman" w:eastAsia="Times New Roman" w:hAnsi="Times New Roman"/>
          <w:sz w:val="18"/>
          <w:szCs w:val="18"/>
          <w:color w:val="auto"/>
        </w:rPr>
        <w:t>) with respect to the Company (or with respect to any Subsidiary of the Company acting as Paying Agent or Exchange Agent), the Trustee will serve as the Paying Agent or Exchange Agent, as applicable, for the Notes.</w:t>
      </w:r>
    </w:p>
    <w:p>
      <w:pPr>
        <w:spacing w:after="0" w:line="18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2.08. H</w:t>
      </w:r>
      <w:r>
        <w:rPr>
          <w:rFonts w:ascii="Times New Roman" w:cs="Times New Roman" w:eastAsia="Times New Roman" w:hAnsi="Times New Roman"/>
          <w:sz w:val="14"/>
          <w:szCs w:val="14"/>
          <w:b w:val="1"/>
          <w:bCs w:val="1"/>
          <w:color w:val="auto"/>
        </w:rPr>
        <w:t>OLDER</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ISTS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 w:right="60" w:firstLine="440"/>
        <w:spacing w:after="0" w:line="266" w:lineRule="auto"/>
        <w:rPr>
          <w:sz w:val="20"/>
          <w:szCs w:val="20"/>
          <w:color w:val="auto"/>
        </w:rPr>
      </w:pPr>
      <w:r>
        <w:rPr>
          <w:rFonts w:ascii="Times New Roman" w:cs="Times New Roman" w:eastAsia="Times New Roman" w:hAnsi="Times New Roman"/>
          <w:sz w:val="18"/>
          <w:szCs w:val="18"/>
          <w:color w:val="auto"/>
        </w:rPr>
        <w:t>If the Trustee is not the Registrar, then the Company will furnish to the Trustee, no later than seven (7) Business Days before each Interest Payment Date, and at such other times as the Trustee may request, a list, in such form and as of such date or time as the Trustee may reasonably require, of the names and addresses of the Holders.</w:t>
      </w:r>
    </w:p>
    <w:p>
      <w:pPr>
        <w:spacing w:after="0" w:line="17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2.09. L</w:t>
      </w:r>
      <w:r>
        <w:rPr>
          <w:rFonts w:ascii="Times New Roman" w:cs="Times New Roman" w:eastAsia="Times New Roman" w:hAnsi="Times New Roman"/>
          <w:sz w:val="14"/>
          <w:szCs w:val="14"/>
          <w:b w:val="1"/>
          <w:bCs w:val="1"/>
          <w:color w:val="auto"/>
        </w:rPr>
        <w:t>EGENDS</w:t>
      </w:r>
      <w:r>
        <w:rPr>
          <w:rFonts w:ascii="Times New Roman" w:cs="Times New Roman" w:eastAsia="Times New Roman" w:hAnsi="Times New Roman"/>
          <w:sz w:val="18"/>
          <w:szCs w:val="18"/>
          <w:b w:val="1"/>
          <w:bCs w:val="1"/>
          <w:color w:val="auto"/>
        </w:rPr>
        <w:t>.</w:t>
      </w:r>
    </w:p>
    <w:p>
      <w:pPr>
        <w:spacing w:after="0" w:line="119" w:lineRule="exact"/>
        <w:rPr>
          <w:sz w:val="20"/>
          <w:szCs w:val="20"/>
          <w:color w:val="auto"/>
        </w:rPr>
      </w:pPr>
    </w:p>
    <w:p>
      <w:pPr>
        <w:ind w:left="4" w:right="240" w:hanging="4"/>
        <w:spacing w:after="0" w:line="284" w:lineRule="auto"/>
        <w:tabs>
          <w:tab w:leader="none" w:pos="29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Global Note Legend</w:t>
      </w:r>
      <w:r>
        <w:rPr>
          <w:rFonts w:ascii="Times New Roman" w:cs="Times New Roman" w:eastAsia="Times New Roman" w:hAnsi="Times New Roman"/>
          <w:sz w:val="18"/>
          <w:szCs w:val="18"/>
          <w:color w:val="auto"/>
        </w:rPr>
        <w:t>. Each Global Note will bear the Global Note Legend (or any similar legend, not inconsistent with this Indenture, required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Depositary for such Global Note).</w:t>
      </w:r>
    </w:p>
    <w:p>
      <w:pPr>
        <w:spacing w:after="0" w:line="92"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19 -</w:t>
      </w:r>
    </w:p>
    <w:p>
      <w:pPr>
        <w:sectPr>
          <w:pgSz w:w="11900" w:h="16838" w:orient="portrait"/>
          <w:cols w:equalWidth="0" w:num="1">
            <w:col w:w="11004"/>
          </w:cols>
          <w:pgMar w:left="436" w:top="268" w:right="459" w:bottom="1440" w:gutter="0" w:footer="0" w:header="0"/>
        </w:sectPr>
      </w:pPr>
    </w:p>
    <w:bookmarkStart w:id="32" w:name="page33"/>
    <w:bookmarkEnd w:id="32"/>
    <w:p>
      <w:pPr>
        <w:ind w:left="284" w:hanging="284"/>
        <w:spacing w:after="0"/>
        <w:tabs>
          <w:tab w:leader="none" w:pos="28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Non-Affiliate Legend</w:t>
      </w:r>
      <w:r>
        <w:rPr>
          <w:rFonts w:ascii="Times New Roman" w:cs="Times New Roman" w:eastAsia="Times New Roman" w:hAnsi="Times New Roman"/>
          <w:sz w:val="18"/>
          <w:szCs w:val="18"/>
          <w:color w:val="auto"/>
        </w:rPr>
        <w:t>. Each Note will bear the Non-Affiliate Legend.</w:t>
      </w:r>
    </w:p>
    <w:p>
      <w:pPr>
        <w:spacing w:after="0" w:line="115" w:lineRule="exact"/>
        <w:rPr>
          <w:rFonts w:ascii="Times New Roman" w:cs="Times New Roman" w:eastAsia="Times New Roman" w:hAnsi="Times New Roman"/>
          <w:sz w:val="18"/>
          <w:szCs w:val="18"/>
          <w:color w:val="auto"/>
        </w:rPr>
      </w:pPr>
    </w:p>
    <w:p>
      <w:pPr>
        <w:ind w:left="284" w:hanging="284"/>
        <w:spacing w:after="0"/>
        <w:tabs>
          <w:tab w:leader="none" w:pos="28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Restricted Note Legend</w:t>
      </w:r>
      <w:r>
        <w:rPr>
          <w:rFonts w:ascii="Times New Roman" w:cs="Times New Roman" w:eastAsia="Times New Roman" w:hAnsi="Times New Roman"/>
          <w:sz w:val="18"/>
          <w:szCs w:val="18"/>
          <w:color w:val="auto"/>
        </w:rPr>
        <w:t>.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2.12</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224" w:hanging="224"/>
        <w:spacing w:after="0"/>
        <w:tabs>
          <w:tab w:leader="none" w:pos="2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Note that is a Transfer-Restricted Security will bear the Restricted Note Legend; and</w:t>
      </w:r>
    </w:p>
    <w:p>
      <w:pPr>
        <w:spacing w:after="0" w:line="117" w:lineRule="exact"/>
        <w:rPr>
          <w:rFonts w:ascii="Times New Roman" w:cs="Times New Roman" w:eastAsia="Times New Roman" w:hAnsi="Times New Roman"/>
          <w:sz w:val="18"/>
          <w:szCs w:val="18"/>
          <w:color w:val="auto"/>
        </w:rPr>
      </w:pPr>
    </w:p>
    <w:p>
      <w:pPr>
        <w:ind w:left="4" w:right="100" w:hanging="4"/>
        <w:spacing w:after="0" w:line="258" w:lineRule="auto"/>
        <w:tabs>
          <w:tab w:leader="none" w:pos="26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Note is issued in exchange for, in substitution of, or to effect a partial Exchange of, another Note (such other Note being referred to as the “old Note” for purposes of this </w:t>
      </w:r>
      <w:r>
        <w:rPr>
          <w:rFonts w:ascii="Times New Roman" w:cs="Times New Roman" w:eastAsia="Times New Roman" w:hAnsi="Times New Roman"/>
          <w:sz w:val="18"/>
          <w:szCs w:val="18"/>
          <w:b w:val="1"/>
          <w:bCs w:val="1"/>
          <w:color w:val="auto"/>
        </w:rPr>
        <w:t>Section 2.09(C)(ii</w:t>
      </w:r>
      <w:r>
        <w:rPr>
          <w:rFonts w:ascii="Times New Roman" w:cs="Times New Roman" w:eastAsia="Times New Roman" w:hAnsi="Times New Roman"/>
          <w:sz w:val="18"/>
          <w:szCs w:val="18"/>
          <w:color w:val="auto"/>
        </w:rPr>
        <w:t xml:space="preserve">)), including pursuant to </w:t>
      </w:r>
      <w:r>
        <w:rPr>
          <w:rFonts w:ascii="Times New Roman" w:cs="Times New Roman" w:eastAsia="Times New Roman" w:hAnsi="Times New Roman"/>
          <w:sz w:val="18"/>
          <w:szCs w:val="18"/>
          <w:b w:val="1"/>
          <w:bCs w:val="1"/>
          <w:color w:val="auto"/>
        </w:rPr>
        <w:t>Section 2.10(B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2.10(C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2.11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2.13</w:t>
      </w:r>
      <w:r>
        <w:rPr>
          <w:rFonts w:ascii="Times New Roman" w:cs="Times New Roman" w:eastAsia="Times New Roman" w:hAnsi="Times New Roman"/>
          <w:sz w:val="18"/>
          <w:szCs w:val="18"/>
          <w:color w:val="auto"/>
        </w:rPr>
        <w:t xml:space="preserve">, then such Note will bear the Restricted Note Legend if such old Note bore the Restricted Note Legend at the time of such exchange or substitution, or on the related Exchange Date with respect to such Exchange, as 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Note need not bear the Restricted Note Legend if such Note does not constitute a Transfer-Restricted Security immediately after such exchange or substitution, or as of such Exchange Date, as applicable.</w:t>
      </w:r>
    </w:p>
    <w:p>
      <w:pPr>
        <w:spacing w:after="0" w:line="73" w:lineRule="exact"/>
        <w:rPr>
          <w:sz w:val="20"/>
          <w:szCs w:val="20"/>
          <w:color w:val="auto"/>
        </w:rPr>
      </w:pPr>
    </w:p>
    <w:p>
      <w:pPr>
        <w:ind w:left="4" w:right="420" w:hanging="4"/>
        <w:spacing w:after="0" w:line="284" w:lineRule="auto"/>
        <w:tabs>
          <w:tab w:leader="none" w:pos="29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Legends</w:t>
      </w:r>
      <w:r>
        <w:rPr>
          <w:rFonts w:ascii="Times New Roman" w:cs="Times New Roman" w:eastAsia="Times New Roman" w:hAnsi="Times New Roman"/>
          <w:sz w:val="18"/>
          <w:szCs w:val="18"/>
          <w:color w:val="auto"/>
        </w:rPr>
        <w:t>. A Note may bear any other legend or text, not inconsistent with this Indenture, as may be required by applicable law or by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exchange or automated quotation system on which such Note is traded or quoted.</w:t>
      </w:r>
    </w:p>
    <w:p>
      <w:pPr>
        <w:spacing w:after="0" w:line="48" w:lineRule="exact"/>
        <w:rPr>
          <w:rFonts w:ascii="Times New Roman" w:cs="Times New Roman" w:eastAsia="Times New Roman" w:hAnsi="Times New Roman"/>
          <w:sz w:val="18"/>
          <w:szCs w:val="18"/>
          <w:color w:val="auto"/>
        </w:rPr>
      </w:pPr>
    </w:p>
    <w:p>
      <w:pPr>
        <w:ind w:left="4" w:hanging="4"/>
        <w:spacing w:after="0" w:line="286" w:lineRule="auto"/>
        <w:tabs>
          <w:tab w:leader="none" w:pos="27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Acknowledgment and Agreement by the Holders</w:t>
      </w:r>
      <w:r>
        <w:rPr>
          <w:rFonts w:ascii="Times New Roman" w:cs="Times New Roman" w:eastAsia="Times New Roman" w:hAnsi="Times New Roman"/>
          <w:sz w:val="18"/>
          <w:szCs w:val="18"/>
          <w:color w:val="auto"/>
        </w:rPr>
        <w:t>. A Holder’s acceptance of any Note bearing any legend required by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2.09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constitute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Holder’s acknowledgment of, and agreement to comply with, the restrictions set forth in such legend.</w:t>
      </w:r>
    </w:p>
    <w:p>
      <w:pPr>
        <w:spacing w:after="0" w:line="48"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Restricted Stock Legend</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jc w:val="both"/>
        <w:ind w:left="4" w:right="20" w:hanging="4"/>
        <w:spacing w:after="0" w:line="261" w:lineRule="auto"/>
        <w:tabs>
          <w:tab w:leader="none" w:pos="21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Exchange Share will bear the Restricted Stock Legend if the Note upon the Exchange of which such Exchange Share was delivered was (or would have been had it not been Exchanged) a Transfer-Restricted Security at the time such Exchange Share was delivered;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Exchange Share need not bear the Restricted Stock Legend if the Company determines, in its reasonable discretion, that such Exchange Share need not bear the Restricted Stock Legend.</w:t>
      </w:r>
    </w:p>
    <w:p>
      <w:pPr>
        <w:spacing w:after="0" w:line="67" w:lineRule="exact"/>
        <w:rPr>
          <w:rFonts w:ascii="Times New Roman" w:cs="Times New Roman" w:eastAsia="Times New Roman" w:hAnsi="Times New Roman"/>
          <w:sz w:val="18"/>
          <w:szCs w:val="18"/>
          <w:color w:val="auto"/>
        </w:rPr>
      </w:pPr>
    </w:p>
    <w:p>
      <w:pPr>
        <w:ind w:left="4" w:right="80" w:hanging="4"/>
        <w:spacing w:after="0" w:line="262" w:lineRule="auto"/>
        <w:tabs>
          <w:tab w:leader="none" w:pos="26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this </w:t>
      </w:r>
      <w:r>
        <w:rPr>
          <w:rFonts w:ascii="Times New Roman" w:cs="Times New Roman" w:eastAsia="Times New Roman" w:hAnsi="Times New Roman"/>
          <w:sz w:val="18"/>
          <w:szCs w:val="18"/>
          <w:b w:val="1"/>
          <w:bCs w:val="1"/>
          <w:color w:val="auto"/>
        </w:rPr>
        <w:t>Section 2.09(F</w:t>
      </w:r>
      <w:r>
        <w:rPr>
          <w:rFonts w:ascii="Times New Roman" w:cs="Times New Roman" w:eastAsia="Times New Roman" w:hAnsi="Times New Roman"/>
          <w:sz w:val="18"/>
          <w:szCs w:val="18"/>
          <w:color w:val="auto"/>
        </w:rPr>
        <w:t xml:space="preserve">), an Exchange Share need not bear a Restricted Stock Legend if such Exchange Share is delivered in an uncertificated form that does not permit affixing legends thereto,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the Company takes measures (including the assignment thereto of a “restricted” CUSIP number) that it reasonably deems appropriate to enforce the transfer restrictions referred to in the Restricted Stock Legend.</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2.10. T</w:t>
      </w:r>
      <w:r>
        <w:rPr>
          <w:rFonts w:ascii="Times New Roman" w:cs="Times New Roman" w:eastAsia="Times New Roman" w:hAnsi="Times New Roman"/>
          <w:sz w:val="14"/>
          <w:szCs w:val="14"/>
          <w:b w:val="1"/>
          <w:bCs w:val="1"/>
          <w:color w:val="auto"/>
        </w:rPr>
        <w:t>RANSFERS AND</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XCHANGES</w:t>
      </w:r>
      <w:r>
        <w:rPr>
          <w:rFonts w:ascii="Times New Roman" w:cs="Times New Roman" w:eastAsia="Times New Roman" w:hAnsi="Times New Roman"/>
          <w:sz w:val="18"/>
          <w:szCs w:val="18"/>
          <w:b w:val="1"/>
          <w:bCs w:val="1"/>
          <w:color w:val="auto"/>
        </w:rPr>
        <w:t>; C</w:t>
      </w:r>
      <w:r>
        <w:rPr>
          <w:rFonts w:ascii="Times New Roman" w:cs="Times New Roman" w:eastAsia="Times New Roman" w:hAnsi="Times New Roman"/>
          <w:sz w:val="14"/>
          <w:szCs w:val="14"/>
          <w:b w:val="1"/>
          <w:bCs w:val="1"/>
          <w:color w:val="auto"/>
        </w:rPr>
        <w:t>ERTAIN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RANSFER</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ESTRICTIONS</w:t>
      </w:r>
      <w:r>
        <w:rPr>
          <w:rFonts w:ascii="Times New Roman" w:cs="Times New Roman" w:eastAsia="Times New Roman" w:hAnsi="Times New Roman"/>
          <w:sz w:val="18"/>
          <w:szCs w:val="18"/>
          <w:b w:val="1"/>
          <w:bCs w:val="1"/>
          <w:color w:val="auto"/>
        </w:rPr>
        <w:t>.</w:t>
      </w:r>
    </w:p>
    <w:p>
      <w:pPr>
        <w:spacing w:after="0" w:line="119" w:lineRule="exact"/>
        <w:rPr>
          <w:sz w:val="20"/>
          <w:szCs w:val="20"/>
          <w:color w:val="auto"/>
        </w:rPr>
      </w:pPr>
    </w:p>
    <w:p>
      <w:pPr>
        <w:ind w:left="304" w:hanging="304"/>
        <w:spacing w:after="0"/>
        <w:tabs>
          <w:tab w:leader="none" w:pos="30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Provisions Applicable to All Transfers and Exchanges</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ind w:left="4" w:right="200" w:hanging="4"/>
        <w:spacing w:after="0" w:line="286" w:lineRule="auto"/>
        <w:tabs>
          <w:tab w:leader="none" w:pos="21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 Subject 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2.10</w:t>
      </w:r>
      <w:r>
        <w:rPr>
          <w:rFonts w:ascii="Times New Roman" w:cs="Times New Roman" w:eastAsia="Times New Roman" w:hAnsi="Times New Roman"/>
          <w:sz w:val="18"/>
          <w:szCs w:val="18"/>
          <w:color w:val="auto"/>
        </w:rPr>
        <w:t>, Physical Notes and beneficial interests in Global Notes may be transferred or exchanged from time to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Registrar will record each such transfer or exchange in the Register.</w:t>
      </w:r>
    </w:p>
    <w:p>
      <w:pPr>
        <w:spacing w:after="0" w:line="48" w:lineRule="exact"/>
        <w:rPr>
          <w:rFonts w:ascii="Times New Roman" w:cs="Times New Roman" w:eastAsia="Times New Roman" w:hAnsi="Times New Roman"/>
          <w:sz w:val="18"/>
          <w:szCs w:val="18"/>
          <w:color w:val="auto"/>
        </w:rPr>
      </w:pPr>
    </w:p>
    <w:p>
      <w:pPr>
        <w:jc w:val="both"/>
        <w:ind w:left="4" w:right="180" w:hanging="4"/>
        <w:spacing w:after="0" w:line="261" w:lineRule="auto"/>
        <w:tabs>
          <w:tab w:leader="none" w:pos="26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Transferred and Exchanged Notes Remain Valid Obligations of the Company</w:t>
      </w:r>
      <w:r>
        <w:rPr>
          <w:rFonts w:ascii="Times New Roman" w:cs="Times New Roman" w:eastAsia="Times New Roman" w:hAnsi="Times New Roman"/>
          <w:sz w:val="18"/>
          <w:szCs w:val="18"/>
          <w:color w:val="auto"/>
        </w:rPr>
        <w:t>. Each Note issued upon transfer or exchange of any other Note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other Note being referred to as the “old Note” for purposes of this </w:t>
      </w:r>
      <w:r>
        <w:rPr>
          <w:rFonts w:ascii="Times New Roman" w:cs="Times New Roman" w:eastAsia="Times New Roman" w:hAnsi="Times New Roman"/>
          <w:sz w:val="18"/>
          <w:szCs w:val="18"/>
          <w:b w:val="1"/>
          <w:bCs w:val="1"/>
          <w:color w:val="auto"/>
        </w:rPr>
        <w:t>Section 2.10(A)(ii</w:t>
      </w:r>
      <w:r>
        <w:rPr>
          <w:rFonts w:ascii="Times New Roman" w:cs="Times New Roman" w:eastAsia="Times New Roman" w:hAnsi="Times New Roman"/>
          <w:sz w:val="18"/>
          <w:szCs w:val="18"/>
          <w:color w:val="auto"/>
        </w:rPr>
        <w:t>)) or portion thereof in accordance with this Indenture will be the valid obligation of the Company, evidencing the same indebtedness, and entitled to the same benefits under this Indenture, as such old Note or portion thereof, as applicable.</w:t>
      </w:r>
    </w:p>
    <w:p>
      <w:pPr>
        <w:spacing w:after="0" w:line="114"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w:t>
      </w:r>
    </w:p>
    <w:p>
      <w:pPr>
        <w:sectPr>
          <w:pgSz w:w="11900" w:h="16838" w:orient="portrait"/>
          <w:cols w:equalWidth="0" w:num="1">
            <w:col w:w="10984"/>
          </w:cols>
          <w:pgMar w:left="436" w:top="268" w:right="479" w:bottom="1440" w:gutter="0" w:footer="0" w:header="0"/>
        </w:sectPr>
      </w:pPr>
    </w:p>
    <w:bookmarkStart w:id="33" w:name="page34"/>
    <w:bookmarkEnd w:id="33"/>
    <w:p>
      <w:pPr>
        <w:ind w:left="4" w:hanging="4"/>
        <w:spacing w:after="0" w:line="261" w:lineRule="auto"/>
        <w:tabs>
          <w:tab w:leader="none" w:pos="31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Services Charge; Transfer Taxes</w:t>
      </w:r>
      <w:r>
        <w:rPr>
          <w:rFonts w:ascii="Times New Roman" w:cs="Times New Roman" w:eastAsia="Times New Roman" w:hAnsi="Times New Roman"/>
          <w:sz w:val="18"/>
          <w:szCs w:val="18"/>
          <w:color w:val="auto"/>
        </w:rPr>
        <w:t>. The Company, the Guarantors, the Trustee and the Note Agents will not impose any service charge on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Holder for any transfer, exchange or Exchange of Notes, but, subject to </w:t>
      </w:r>
      <w:r>
        <w:rPr>
          <w:rFonts w:ascii="Times New Roman" w:cs="Times New Roman" w:eastAsia="Times New Roman" w:hAnsi="Times New Roman"/>
          <w:sz w:val="18"/>
          <w:szCs w:val="18"/>
          <w:b w:val="1"/>
          <w:bCs w:val="1"/>
          <w:color w:val="auto"/>
        </w:rPr>
        <w:t>Section 5.02(E</w:t>
      </w:r>
      <w:r>
        <w:rPr>
          <w:rFonts w:ascii="Times New Roman" w:cs="Times New Roman" w:eastAsia="Times New Roman" w:hAnsi="Times New Roman"/>
          <w:sz w:val="18"/>
          <w:szCs w:val="18"/>
          <w:color w:val="auto"/>
        </w:rPr>
        <w:t xml:space="preserve">), the Company, the Guarantors, the Trustee, the Registrar and the Exchange Agent may require payment of a sum sufficient to cover any transfer tax or similar governmental charge that may be imposed in connection with any transfer, exchange or Exchange of Notes, other than exchanges pursuant to </w:t>
      </w:r>
      <w:r>
        <w:rPr>
          <w:rFonts w:ascii="Times New Roman" w:cs="Times New Roman" w:eastAsia="Times New Roman" w:hAnsi="Times New Roman"/>
          <w:sz w:val="18"/>
          <w:szCs w:val="18"/>
          <w:b w:val="1"/>
          <w:bCs w:val="1"/>
          <w:color w:val="auto"/>
        </w:rPr>
        <w:t>Section 2.11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2.17</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8.05</w:t>
      </w:r>
      <w:r>
        <w:rPr>
          <w:rFonts w:ascii="Times New Roman" w:cs="Times New Roman" w:eastAsia="Times New Roman" w:hAnsi="Times New Roman"/>
          <w:sz w:val="18"/>
          <w:szCs w:val="18"/>
          <w:color w:val="auto"/>
        </w:rPr>
        <w:t xml:space="preserve"> not involving any transfer.</w:t>
      </w:r>
    </w:p>
    <w:p>
      <w:pPr>
        <w:spacing w:after="0" w:line="71" w:lineRule="exact"/>
        <w:rPr>
          <w:rFonts w:ascii="Times New Roman" w:cs="Times New Roman" w:eastAsia="Times New Roman" w:hAnsi="Times New Roman"/>
          <w:sz w:val="18"/>
          <w:szCs w:val="18"/>
          <w:color w:val="auto"/>
        </w:rPr>
      </w:pPr>
    </w:p>
    <w:p>
      <w:pPr>
        <w:ind w:left="4" w:right="300" w:hanging="4"/>
        <w:spacing w:after="0" w:line="284" w:lineRule="auto"/>
        <w:tabs>
          <w:tab w:leader="none" w:pos="30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Transfers and Exchanges Must Be in Authorized Denominations</w:t>
      </w:r>
      <w:r>
        <w:rPr>
          <w:rFonts w:ascii="Times New Roman" w:cs="Times New Roman" w:eastAsia="Times New Roman" w:hAnsi="Times New Roman"/>
          <w:sz w:val="18"/>
          <w:szCs w:val="18"/>
          <w:color w:val="auto"/>
        </w:rPr>
        <w:t>. Notwithstanding anything to the contrary in this Indenture or the Notes, a Note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not be transferred or exchanged in part unless the portion to be so transferred or exchanged is in an Authorized Denomination.</w:t>
      </w:r>
    </w:p>
    <w:p>
      <w:pPr>
        <w:spacing w:after="0" w:line="50" w:lineRule="exact"/>
        <w:rPr>
          <w:rFonts w:ascii="Times New Roman" w:cs="Times New Roman" w:eastAsia="Times New Roman" w:hAnsi="Times New Roman"/>
          <w:sz w:val="18"/>
          <w:szCs w:val="18"/>
          <w:color w:val="auto"/>
        </w:rPr>
      </w:pPr>
    </w:p>
    <w:p>
      <w:pPr>
        <w:ind w:left="4" w:hanging="4"/>
        <w:spacing w:after="0" w:line="261" w:lineRule="auto"/>
        <w:tabs>
          <w:tab w:leader="none" w:pos="25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Trustee’s Disclaimer</w:t>
      </w:r>
      <w:r>
        <w:rPr>
          <w:rFonts w:ascii="Times New Roman" w:cs="Times New Roman" w:eastAsia="Times New Roman" w:hAnsi="Times New Roman"/>
          <w:sz w:val="18"/>
          <w:szCs w:val="18"/>
          <w:color w:val="auto"/>
        </w:rPr>
        <w:t>. The Trustee will have no obligation or duty to monitor, determine or inquire as to compliance with any transfer restrictions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imposed under this Indenture or applicable law with respect to any Security, other than to require the delivery of such certificates or other documentation or evidence as expressly required by this Indenture and to examine the same to determine substantial compliance as to form with the requirements of this Indenture.</w:t>
      </w:r>
    </w:p>
    <w:p>
      <w:pPr>
        <w:spacing w:after="0" w:line="69" w:lineRule="exact"/>
        <w:rPr>
          <w:rFonts w:ascii="Times New Roman" w:cs="Times New Roman" w:eastAsia="Times New Roman" w:hAnsi="Times New Roman"/>
          <w:sz w:val="18"/>
          <w:szCs w:val="18"/>
          <w:color w:val="auto"/>
        </w:rPr>
      </w:pPr>
    </w:p>
    <w:p>
      <w:pPr>
        <w:ind w:left="304" w:hanging="304"/>
        <w:spacing w:after="0"/>
        <w:tabs>
          <w:tab w:leader="none" w:pos="30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Legends</w:t>
      </w:r>
      <w:r>
        <w:rPr>
          <w:rFonts w:ascii="Times New Roman" w:cs="Times New Roman" w:eastAsia="Times New Roman" w:hAnsi="Times New Roman"/>
          <w:sz w:val="18"/>
          <w:szCs w:val="18"/>
          <w:color w:val="auto"/>
        </w:rPr>
        <w:t>. Each Note issued upon transfer of, or in exchange for, another Note will bear each legend, if any, required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2.09</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left="4" w:right="80" w:hanging="4"/>
        <w:spacing w:after="0" w:line="267" w:lineRule="auto"/>
        <w:tabs>
          <w:tab w:leader="none" w:pos="35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Settlement of Transfers and Exchanges</w:t>
      </w:r>
      <w:r>
        <w:rPr>
          <w:rFonts w:ascii="Times New Roman" w:cs="Times New Roman" w:eastAsia="Times New Roman" w:hAnsi="Times New Roman"/>
          <w:sz w:val="18"/>
          <w:szCs w:val="18"/>
          <w:color w:val="auto"/>
        </w:rPr>
        <w:t>. Upon satisfaction of the requirements of this Indenture to effect a transfer or exchange of any Note,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will cause such transfer or exchange to be effected as soon as reasonably practicable but in no event later than the second (2nd) Business Day after the date of such satisfaction.</w:t>
      </w:r>
    </w:p>
    <w:p>
      <w:pPr>
        <w:spacing w:after="0" w:line="63" w:lineRule="exact"/>
        <w:rPr>
          <w:rFonts w:ascii="Times New Roman" w:cs="Times New Roman" w:eastAsia="Times New Roman" w:hAnsi="Times New Roman"/>
          <w:sz w:val="18"/>
          <w:szCs w:val="18"/>
          <w:color w:val="auto"/>
        </w:rPr>
      </w:pPr>
    </w:p>
    <w:p>
      <w:pPr>
        <w:ind w:left="4" w:right="80" w:hanging="4"/>
        <w:spacing w:after="0" w:line="262" w:lineRule="auto"/>
        <w:tabs>
          <w:tab w:leader="none" w:pos="40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Interpretation</w:t>
      </w:r>
      <w:r>
        <w:rPr>
          <w:rFonts w:ascii="Times New Roman" w:cs="Times New Roman" w:eastAsia="Times New Roman" w:hAnsi="Times New Roman"/>
          <w:sz w:val="18"/>
          <w:szCs w:val="18"/>
          <w:color w:val="auto"/>
        </w:rPr>
        <w:t>. For the avoidance of doubt, and subject to the terms of this Indenture, as used 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2.10</w:t>
      </w:r>
      <w:r>
        <w:rPr>
          <w:rFonts w:ascii="Times New Roman" w:cs="Times New Roman" w:eastAsia="Times New Roman" w:hAnsi="Times New Roman"/>
          <w:sz w:val="18"/>
          <w:szCs w:val="18"/>
          <w:color w:val="auto"/>
        </w:rPr>
        <w:t>, an “exchange” of a Global Note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a Physical Note includes (x) an exchange effected for the sole purpose of removing any Restricted Note Legend affixed to such Global Note or Physical Note; and (y) if such Global Note or Physical Note is identified by a “restricted” CUSIP number, an exchange effected for the sole purpose of causing such Global Note or Physical Note to be identified by an “unrestricted” CUSIP number.</w:t>
      </w:r>
    </w:p>
    <w:p>
      <w:pPr>
        <w:spacing w:after="0" w:line="70" w:lineRule="exact"/>
        <w:rPr>
          <w:sz w:val="20"/>
          <w:szCs w:val="20"/>
          <w:color w:val="auto"/>
        </w:rPr>
      </w:pPr>
    </w:p>
    <w:p>
      <w:pPr>
        <w:ind w:left="284" w:hanging="284"/>
        <w:spacing w:after="0"/>
        <w:tabs>
          <w:tab w:leader="none" w:pos="28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Transfers and Exchanges of Global Notes.</w:t>
      </w:r>
    </w:p>
    <w:p>
      <w:pPr>
        <w:spacing w:after="0" w:line="117" w:lineRule="exact"/>
        <w:rPr>
          <w:sz w:val="20"/>
          <w:szCs w:val="20"/>
          <w:color w:val="auto"/>
        </w:rPr>
      </w:pPr>
    </w:p>
    <w:p>
      <w:pPr>
        <w:ind w:left="224" w:hanging="224"/>
        <w:spacing w:after="0"/>
        <w:tabs>
          <w:tab w:leader="none" w:pos="2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Certain Restrictions</w:t>
      </w:r>
      <w:r>
        <w:rPr>
          <w:rFonts w:ascii="Times New Roman" w:cs="Times New Roman" w:eastAsia="Times New Roman" w:hAnsi="Times New Roman"/>
          <w:sz w:val="18"/>
          <w:szCs w:val="18"/>
          <w:color w:val="auto"/>
        </w:rPr>
        <w:t>. Subject to the immediately following sentence, no Global Note may be transferred or exchanged in whole except (x) by the</w:t>
      </w:r>
    </w:p>
    <w:p>
      <w:pPr>
        <w:spacing w:after="0" w:line="29" w:lineRule="exact"/>
        <w:rPr>
          <w:rFonts w:ascii="Times New Roman" w:cs="Times New Roman" w:eastAsia="Times New Roman" w:hAnsi="Times New Roman"/>
          <w:sz w:val="18"/>
          <w:szCs w:val="18"/>
          <w:color w:val="auto"/>
        </w:rPr>
      </w:pPr>
    </w:p>
    <w:p>
      <w:pPr>
        <w:ind w:left="4"/>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Depositary to a nominee of the Depositary; (y) by a nominee of the Depositary to the Depositary or to another nominee of the Depositary; or (z) by the Depositary or any such nominee to a successor Depositary or a nominee of such successor Depositary. No Global Note (or any portion thereof) may be transferred to, or exchanged for, a Physical Note;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 Global Note will be exchanged, pursuant to customary procedures, for one or more Physical Notes in registered form if:</w:t>
      </w:r>
    </w:p>
    <w:p>
      <w:pPr>
        <w:spacing w:after="0" w:line="121"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21 -</w:t>
      </w:r>
    </w:p>
    <w:p>
      <w:pPr>
        <w:sectPr>
          <w:pgSz w:w="11900" w:h="16838" w:orient="portrait"/>
          <w:cols w:equalWidth="0" w:num="1">
            <w:col w:w="11004"/>
          </w:cols>
          <w:pgMar w:left="436" w:top="268" w:right="459" w:bottom="1440" w:gutter="0" w:footer="0" w:header="0"/>
        </w:sectPr>
      </w:pPr>
    </w:p>
    <w:bookmarkStart w:id="34" w:name="page35"/>
    <w:bookmarkEnd w:id="34"/>
    <w:p>
      <w:pPr>
        <w:jc w:val="both"/>
        <w:ind w:left="984" w:right="240" w:firstLine="408"/>
        <w:spacing w:after="0" w:line="266" w:lineRule="auto"/>
        <w:tabs>
          <w:tab w:leader="none" w:pos="164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(x) the Depositary notifies the Company or the Trustee that the Depositary is unwilling or unable to continue as depositary for such Global Note or (y) the Depositary ceases to be a “clearing agency” registered under Section 17A of the Exchange Act and, in each case, the Company fails to appoint a successor Depositary within ninety (90) days of such notice or cessation;</w:t>
      </w:r>
    </w:p>
    <w:p>
      <w:pPr>
        <w:spacing w:after="0" w:line="67" w:lineRule="exact"/>
        <w:rPr>
          <w:rFonts w:ascii="Times New Roman" w:cs="Times New Roman" w:eastAsia="Times New Roman" w:hAnsi="Times New Roman"/>
          <w:sz w:val="18"/>
          <w:szCs w:val="18"/>
          <w:color w:val="auto"/>
        </w:rPr>
      </w:pPr>
    </w:p>
    <w:p>
      <w:pPr>
        <w:jc w:val="both"/>
        <w:ind w:left="984" w:right="140" w:firstLine="408"/>
        <w:spacing w:after="0" w:line="266" w:lineRule="auto"/>
        <w:tabs>
          <w:tab w:leader="none" w:pos="164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has occurred and is continuing and the Company, the Trustee or the Registrar has received a written request from the Depositary, or from a holder of a beneficial interest in such Global Note, to exchange such Global Note or beneficial interest, as applicable, for one or more Physical Notes; or</w:t>
      </w:r>
    </w:p>
    <w:p>
      <w:pPr>
        <w:spacing w:after="0" w:line="67" w:lineRule="exact"/>
        <w:rPr>
          <w:rFonts w:ascii="Times New Roman" w:cs="Times New Roman" w:eastAsia="Times New Roman" w:hAnsi="Times New Roman"/>
          <w:sz w:val="18"/>
          <w:szCs w:val="18"/>
          <w:color w:val="auto"/>
        </w:rPr>
      </w:pPr>
    </w:p>
    <w:p>
      <w:pPr>
        <w:ind w:left="984" w:right="80" w:firstLine="408"/>
        <w:spacing w:after="0" w:line="282" w:lineRule="auto"/>
        <w:tabs>
          <w:tab w:leader="none" w:pos="164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in its sole discretion, permits the exchange of any beneficial interest in such Global Note for one or more Physical Notes at the request of the owner of such beneficial interest.</w:t>
      </w:r>
    </w:p>
    <w:p>
      <w:pPr>
        <w:spacing w:after="0" w:line="159" w:lineRule="exact"/>
        <w:rPr>
          <w:rFonts w:ascii="Times New Roman" w:cs="Times New Roman" w:eastAsia="Times New Roman" w:hAnsi="Times New Roman"/>
          <w:sz w:val="18"/>
          <w:szCs w:val="18"/>
          <w:color w:val="auto"/>
        </w:rPr>
      </w:pPr>
    </w:p>
    <w:p>
      <w:pPr>
        <w:ind w:left="4" w:right="220" w:hanging="4"/>
        <w:spacing w:after="0" w:line="284" w:lineRule="auto"/>
        <w:tabs>
          <w:tab w:leader="none" w:pos="26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Effecting Transfers and Exchanges</w:t>
      </w:r>
      <w:r>
        <w:rPr>
          <w:rFonts w:ascii="Times New Roman" w:cs="Times New Roman" w:eastAsia="Times New Roman" w:hAnsi="Times New Roman"/>
          <w:sz w:val="18"/>
          <w:szCs w:val="18"/>
          <w:color w:val="auto"/>
        </w:rPr>
        <w:t>. Upon satisfaction of the requirements of this Indenture to effect a transfer or exchange of any Global Note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portion thereof):</w:t>
      </w:r>
    </w:p>
    <w:p>
      <w:pPr>
        <w:spacing w:after="0" w:line="52" w:lineRule="exact"/>
        <w:rPr>
          <w:rFonts w:ascii="Times New Roman" w:cs="Times New Roman" w:eastAsia="Times New Roman" w:hAnsi="Times New Roman"/>
          <w:sz w:val="18"/>
          <w:szCs w:val="18"/>
          <w:color w:val="auto"/>
        </w:rPr>
      </w:pPr>
    </w:p>
    <w:p>
      <w:pPr>
        <w:ind w:left="984" w:right="220" w:firstLine="408"/>
        <w:spacing w:after="0" w:line="261" w:lineRule="auto"/>
        <w:tabs>
          <w:tab w:leader="none" w:pos="16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Trustee will reflect any resulting decrease of the principal amount of such Global Note by notation on the “Schedule of Exchanges of Interests in the Global Note” forming part of such Global Note (and, if such notation results in such Global Note having a principal amount of zero, then the Company may (but is not required to) instruct the Trustee to cancel such Global Note pursuant to </w:t>
      </w:r>
      <w:r>
        <w:rPr>
          <w:rFonts w:ascii="Times New Roman" w:cs="Times New Roman" w:eastAsia="Times New Roman" w:hAnsi="Times New Roman"/>
          <w:sz w:val="18"/>
          <w:szCs w:val="18"/>
          <w:b w:val="1"/>
          <w:bCs w:val="1"/>
          <w:color w:val="auto"/>
        </w:rPr>
        <w:t>Section 2.15</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left="984" w:right="140" w:firstLine="408"/>
        <w:spacing w:after="0" w:line="312" w:lineRule="auto"/>
        <w:tabs>
          <w:tab w:leader="none" w:pos="1640"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required to effect such transfer or exchange, then the Trustee will reflect any resulting increase of the principal amount of any other Global Note by notation on the “Schedule of Exchanges of Interests in the Global Note” forming part of such other Global Note;</w:t>
      </w:r>
    </w:p>
    <w:p>
      <w:pPr>
        <w:spacing w:after="0" w:line="31" w:lineRule="exact"/>
        <w:rPr>
          <w:rFonts w:ascii="Times New Roman" w:cs="Times New Roman" w:eastAsia="Times New Roman" w:hAnsi="Times New Roman"/>
          <w:sz w:val="17"/>
          <w:szCs w:val="17"/>
          <w:color w:val="auto"/>
        </w:rPr>
      </w:pPr>
    </w:p>
    <w:p>
      <w:pPr>
        <w:ind w:left="984" w:right="140" w:firstLine="408"/>
        <w:spacing w:after="0" w:line="312" w:lineRule="auto"/>
        <w:tabs>
          <w:tab w:leader="none" w:pos="1640"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required to effect such transfer or exchange, then the Company will issue, execute and deliver, and the Trustee will authenticate, in each case in accordance with </w:t>
      </w:r>
      <w:r>
        <w:rPr>
          <w:rFonts w:ascii="Times New Roman" w:cs="Times New Roman" w:eastAsia="Times New Roman" w:hAnsi="Times New Roman"/>
          <w:sz w:val="17"/>
          <w:szCs w:val="17"/>
          <w:b w:val="1"/>
          <w:bCs w:val="1"/>
          <w:color w:val="auto"/>
        </w:rPr>
        <w:t>Section 2.02</w:t>
      </w:r>
      <w:r>
        <w:rPr>
          <w:rFonts w:ascii="Times New Roman" w:cs="Times New Roman" w:eastAsia="Times New Roman" w:hAnsi="Times New Roman"/>
          <w:sz w:val="17"/>
          <w:szCs w:val="17"/>
          <w:color w:val="auto"/>
        </w:rPr>
        <w:t xml:space="preserve">, a new Global Note bearing each legend, if any, required by </w:t>
      </w:r>
      <w:r>
        <w:rPr>
          <w:rFonts w:ascii="Times New Roman" w:cs="Times New Roman" w:eastAsia="Times New Roman" w:hAnsi="Times New Roman"/>
          <w:sz w:val="17"/>
          <w:szCs w:val="17"/>
          <w:b w:val="1"/>
          <w:bCs w:val="1"/>
          <w:color w:val="auto"/>
        </w:rPr>
        <w:t>Section 2.09</w:t>
      </w:r>
      <w:r>
        <w:rPr>
          <w:rFonts w:ascii="Times New Roman" w:cs="Times New Roman" w:eastAsia="Times New Roman" w:hAnsi="Times New Roman"/>
          <w:sz w:val="17"/>
          <w:szCs w:val="17"/>
          <w:color w:val="auto"/>
        </w:rPr>
        <w:t>; and</w:t>
      </w:r>
    </w:p>
    <w:p>
      <w:pPr>
        <w:spacing w:after="0" w:line="31" w:lineRule="exact"/>
        <w:rPr>
          <w:rFonts w:ascii="Times New Roman" w:cs="Times New Roman" w:eastAsia="Times New Roman" w:hAnsi="Times New Roman"/>
          <w:sz w:val="17"/>
          <w:szCs w:val="17"/>
          <w:color w:val="auto"/>
        </w:rPr>
      </w:pPr>
    </w:p>
    <w:p>
      <w:pPr>
        <w:ind w:left="984" w:firstLine="408"/>
        <w:spacing w:after="0" w:line="258" w:lineRule="auto"/>
        <w:tabs>
          <w:tab w:leader="none" w:pos="16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Global Note (or such portion thereof), or any beneficial interest therein, is to be exchanged for one or more Physical Notes, then the Company will issue, execute and deliver, and the Trustee will authenticate, in each case in accordance with </w:t>
      </w:r>
      <w:r>
        <w:rPr>
          <w:rFonts w:ascii="Times New Roman" w:cs="Times New Roman" w:eastAsia="Times New Roman" w:hAnsi="Times New Roman"/>
          <w:sz w:val="18"/>
          <w:szCs w:val="18"/>
          <w:b w:val="1"/>
          <w:bCs w:val="1"/>
          <w:color w:val="auto"/>
        </w:rPr>
        <w:t>Section 2.02</w:t>
      </w:r>
      <w:r>
        <w:rPr>
          <w:rFonts w:ascii="Times New Roman" w:cs="Times New Roman" w:eastAsia="Times New Roman" w:hAnsi="Times New Roman"/>
          <w:sz w:val="18"/>
          <w:szCs w:val="18"/>
          <w:color w:val="auto"/>
        </w:rPr>
        <w:t xml:space="preserve">, one or more Physical Notes that (x) are in Authorized Denominations and have an aggregate principal amount equal to the principal amount of such Global Note to be so exchanged; (y) are registered in such name(s) as the Depositary specifies (or as otherwise determined pursuant to customary procedures); and (z) bear each legend, if any, required by </w:t>
      </w:r>
      <w:r>
        <w:rPr>
          <w:rFonts w:ascii="Times New Roman" w:cs="Times New Roman" w:eastAsia="Times New Roman" w:hAnsi="Times New Roman"/>
          <w:sz w:val="18"/>
          <w:szCs w:val="18"/>
          <w:b w:val="1"/>
          <w:bCs w:val="1"/>
          <w:color w:val="auto"/>
        </w:rPr>
        <w:t>Section 2.09</w:t>
      </w:r>
      <w:r>
        <w:rPr>
          <w:rFonts w:ascii="Times New Roman" w:cs="Times New Roman" w:eastAsia="Times New Roman" w:hAnsi="Times New Roman"/>
          <w:sz w:val="18"/>
          <w:szCs w:val="18"/>
          <w:color w:val="auto"/>
        </w:rPr>
        <w:t>.</w:t>
      </w:r>
    </w:p>
    <w:p>
      <w:pPr>
        <w:spacing w:after="0" w:line="73" w:lineRule="exact"/>
        <w:rPr>
          <w:rFonts w:ascii="Times New Roman" w:cs="Times New Roman" w:eastAsia="Times New Roman" w:hAnsi="Times New Roman"/>
          <w:sz w:val="18"/>
          <w:szCs w:val="18"/>
          <w:color w:val="auto"/>
        </w:rPr>
      </w:pPr>
    </w:p>
    <w:p>
      <w:pPr>
        <w:ind w:left="4" w:right="60" w:hanging="4"/>
        <w:spacing w:after="0" w:line="284" w:lineRule="auto"/>
        <w:tabs>
          <w:tab w:leader="none" w:pos="31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Compliance with Depositary Procedures</w:t>
      </w:r>
      <w:r>
        <w:rPr>
          <w:rFonts w:ascii="Times New Roman" w:cs="Times New Roman" w:eastAsia="Times New Roman" w:hAnsi="Times New Roman"/>
          <w:sz w:val="18"/>
          <w:szCs w:val="18"/>
          <w:color w:val="auto"/>
        </w:rPr>
        <w:t>. Each transfer or exchange of a beneficial interest in any Global Note will be made in accordance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Depositary Procedures.</w:t>
      </w:r>
    </w:p>
    <w:p>
      <w:pPr>
        <w:spacing w:after="0" w:line="50" w:lineRule="exact"/>
        <w:rPr>
          <w:sz w:val="20"/>
          <w:szCs w:val="20"/>
          <w:color w:val="auto"/>
        </w:rPr>
      </w:pPr>
    </w:p>
    <w:p>
      <w:pPr>
        <w:ind w:left="284" w:hanging="284"/>
        <w:spacing w:after="0"/>
        <w:tabs>
          <w:tab w:leader="none" w:pos="28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Transfers and Exchanges of Physical Notes.</w:t>
      </w:r>
    </w:p>
    <w:p>
      <w:pPr>
        <w:spacing w:after="0" w:line="160"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- 22 -</w:t>
      </w:r>
    </w:p>
    <w:p>
      <w:pPr>
        <w:sectPr>
          <w:pgSz w:w="11900" w:h="16838" w:orient="portrait"/>
          <w:cols w:equalWidth="0" w:num="1">
            <w:col w:w="10984"/>
          </w:cols>
          <w:pgMar w:left="436" w:top="270" w:right="479" w:bottom="1440" w:gutter="0" w:footer="0" w:header="0"/>
        </w:sectPr>
      </w:pPr>
    </w:p>
    <w:bookmarkStart w:id="35" w:name="page36"/>
    <w:bookmarkEnd w:id="35"/>
    <w:p>
      <w:pPr>
        <w:ind w:left="4" w:hanging="4"/>
        <w:spacing w:after="0" w:line="257" w:lineRule="auto"/>
        <w:tabs>
          <w:tab w:leader="none" w:pos="21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Requirements for Transfers and Exchanges</w:t>
      </w:r>
      <w:r>
        <w:rPr>
          <w:rFonts w:ascii="Times New Roman" w:cs="Times New Roman" w:eastAsia="Times New Roman" w:hAnsi="Times New Roman"/>
          <w:sz w:val="18"/>
          <w:szCs w:val="18"/>
          <w:color w:val="auto"/>
        </w:rPr>
        <w:t>. Subject 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2.10</w:t>
      </w:r>
      <w:r>
        <w:rPr>
          <w:rFonts w:ascii="Times New Roman" w:cs="Times New Roman" w:eastAsia="Times New Roman" w:hAnsi="Times New Roman"/>
          <w:sz w:val="18"/>
          <w:szCs w:val="18"/>
          <w:color w:val="auto"/>
        </w:rPr>
        <w:t>, a Holder of a Physical Note may (x) transfer such Physical Note (or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portion thereof in an Authorized Denomination) to one or more other Person(s); (y) exchange such Physical Note (or any portion thereof in an Authorized Denomination) for one or more other Physical Notes in Authorized Denominations having an aggregate principal amount equal to the aggregate principal amount of the Physical Note (or portion thereof) to be so exchanged; and (z) if then permitted by the Depositary Procedures, transfer such Physical Note (or any portion thereof in an Authorized Denomination) in exchange for a beneficial interest in one or more Global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to effect any such transfer or exchange, such Holder must:</w:t>
      </w:r>
    </w:p>
    <w:p>
      <w:pPr>
        <w:spacing w:after="0" w:line="78" w:lineRule="exact"/>
        <w:rPr>
          <w:rFonts w:ascii="Times New Roman" w:cs="Times New Roman" w:eastAsia="Times New Roman" w:hAnsi="Times New Roman"/>
          <w:sz w:val="18"/>
          <w:szCs w:val="18"/>
          <w:color w:val="auto"/>
        </w:rPr>
      </w:pPr>
    </w:p>
    <w:p>
      <w:pPr>
        <w:ind w:left="984" w:right="360" w:firstLine="408"/>
        <w:spacing w:after="0" w:line="282" w:lineRule="auto"/>
        <w:tabs>
          <w:tab w:leader="none" w:pos="164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surrender such Physical Note to be transferred or exchanged to the office of the Registrar, together with any endorsements or transfer instruments reasonably required by the Company, the Trustee or the Registrar; and</w:t>
      </w:r>
    </w:p>
    <w:p>
      <w:pPr>
        <w:spacing w:after="0" w:line="49" w:lineRule="exact"/>
        <w:rPr>
          <w:rFonts w:ascii="Times New Roman" w:cs="Times New Roman" w:eastAsia="Times New Roman" w:hAnsi="Times New Roman"/>
          <w:sz w:val="18"/>
          <w:szCs w:val="18"/>
          <w:color w:val="auto"/>
        </w:rPr>
      </w:pPr>
    </w:p>
    <w:p>
      <w:pPr>
        <w:ind w:left="1644" w:hanging="252"/>
        <w:spacing w:after="0"/>
        <w:tabs>
          <w:tab w:leader="none" w:pos="164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deliver such certificates, documentation or evidence as may be required pursuant to </w:t>
      </w:r>
      <w:r>
        <w:rPr>
          <w:rFonts w:ascii="Times New Roman" w:cs="Times New Roman" w:eastAsia="Times New Roman" w:hAnsi="Times New Roman"/>
          <w:sz w:val="18"/>
          <w:szCs w:val="18"/>
          <w:b w:val="1"/>
          <w:bCs w:val="1"/>
          <w:color w:val="auto"/>
        </w:rPr>
        <w:t>Section 2.10(D</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984" w:right="40" w:firstLine="408"/>
        <w:spacing w:after="0" w:line="267" w:lineRule="auto"/>
        <w:tabs>
          <w:tab w:leader="none" w:pos="165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Effecting Transfers and Exchanges</w:t>
      </w:r>
      <w:r>
        <w:rPr>
          <w:rFonts w:ascii="Times New Roman" w:cs="Times New Roman" w:eastAsia="Times New Roman" w:hAnsi="Times New Roman"/>
          <w:sz w:val="18"/>
          <w:szCs w:val="18"/>
          <w:color w:val="auto"/>
        </w:rPr>
        <w:t>. Upon the satisfaction of the requirements of this Indenture to effect a transfer or exchange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any Physical Note (such Physical Note being referred to as the “old Physical Note” for purposes of this </w:t>
      </w:r>
      <w:r>
        <w:rPr>
          <w:rFonts w:ascii="Times New Roman" w:cs="Times New Roman" w:eastAsia="Times New Roman" w:hAnsi="Times New Roman"/>
          <w:sz w:val="18"/>
          <w:szCs w:val="18"/>
          <w:b w:val="1"/>
          <w:bCs w:val="1"/>
          <w:color w:val="auto"/>
        </w:rPr>
        <w:t>Section 2.10(C)(ii</w:t>
      </w:r>
      <w:r>
        <w:rPr>
          <w:rFonts w:ascii="Times New Roman" w:cs="Times New Roman" w:eastAsia="Times New Roman" w:hAnsi="Times New Roman"/>
          <w:sz w:val="18"/>
          <w:szCs w:val="18"/>
          <w:color w:val="auto"/>
        </w:rPr>
        <w:t>)) of a Holder (or any portion of such old Physical Note in an Authorized Denomination):</w:t>
      </w:r>
    </w:p>
    <w:p>
      <w:pPr>
        <w:spacing w:after="0" w:line="63" w:lineRule="exact"/>
        <w:rPr>
          <w:sz w:val="20"/>
          <w:szCs w:val="20"/>
          <w:color w:val="auto"/>
        </w:rPr>
      </w:pPr>
    </w:p>
    <w:p>
      <w:pPr>
        <w:ind w:left="1644" w:hanging="252"/>
        <w:spacing w:after="0"/>
        <w:tabs>
          <w:tab w:leader="none" w:pos="164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old Physical Note will be promptly cancelled pursuant to </w:t>
      </w:r>
      <w:r>
        <w:rPr>
          <w:rFonts w:ascii="Times New Roman" w:cs="Times New Roman" w:eastAsia="Times New Roman" w:hAnsi="Times New Roman"/>
          <w:sz w:val="18"/>
          <w:szCs w:val="18"/>
          <w:b w:val="1"/>
          <w:bCs w:val="1"/>
          <w:color w:val="auto"/>
        </w:rPr>
        <w:t>Section 2.15</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ind w:left="984" w:right="20" w:firstLine="408"/>
        <w:spacing w:after="0" w:line="261" w:lineRule="auto"/>
        <w:tabs>
          <w:tab w:leader="none" w:pos="164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old Physical Note is to be so transferred or exchanged only in part, then the Company will issue, execute and deliver, and the Trustee will authenticate, in each case in accordance with </w:t>
      </w:r>
      <w:r>
        <w:rPr>
          <w:rFonts w:ascii="Times New Roman" w:cs="Times New Roman" w:eastAsia="Times New Roman" w:hAnsi="Times New Roman"/>
          <w:sz w:val="18"/>
          <w:szCs w:val="18"/>
          <w:b w:val="1"/>
          <w:bCs w:val="1"/>
          <w:color w:val="auto"/>
        </w:rPr>
        <w:t>Section 2.02</w:t>
      </w:r>
      <w:r>
        <w:rPr>
          <w:rFonts w:ascii="Times New Roman" w:cs="Times New Roman" w:eastAsia="Times New Roman" w:hAnsi="Times New Roman"/>
          <w:sz w:val="18"/>
          <w:szCs w:val="18"/>
          <w:color w:val="auto"/>
        </w:rPr>
        <w:t xml:space="preserve">, one or more Physical Notes that (x) are in Authorized Denominations and have an aggregate principal amount equal to the principal amount of such old Physical Note not to be so transferred or exchanged; (y) are registered in the name of such Holder; and (z) bear each legend, if any, required by </w:t>
      </w:r>
      <w:r>
        <w:rPr>
          <w:rFonts w:ascii="Times New Roman" w:cs="Times New Roman" w:eastAsia="Times New Roman" w:hAnsi="Times New Roman"/>
          <w:sz w:val="18"/>
          <w:szCs w:val="18"/>
          <w:b w:val="1"/>
          <w:bCs w:val="1"/>
          <w:color w:val="auto"/>
        </w:rPr>
        <w:t>Section 2.09</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left="1644" w:hanging="252"/>
        <w:spacing w:after="0"/>
        <w:tabs>
          <w:tab w:leader="none" w:pos="164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transfer:</w:t>
      </w:r>
    </w:p>
    <w:p>
      <w:pPr>
        <w:spacing w:after="0" w:line="117" w:lineRule="exact"/>
        <w:rPr>
          <w:rFonts w:ascii="Times New Roman" w:cs="Times New Roman" w:eastAsia="Times New Roman" w:hAnsi="Times New Roman"/>
          <w:sz w:val="18"/>
          <w:szCs w:val="18"/>
          <w:color w:val="auto"/>
        </w:rPr>
      </w:pPr>
    </w:p>
    <w:p>
      <w:pPr>
        <w:ind w:left="4" w:hanging="4"/>
        <w:spacing w:after="0" w:line="253" w:lineRule="auto"/>
        <w:tabs>
          <w:tab w:leader="none" w:pos="24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Depositary or a nominee thereof that will hold its interest in such old Physical Note (or such portion thereof) to be so transferred in the form of one or more Global Notes, the Trustee will reflect an increase of the principal amount of one or more existing Global Notes by notation on the “Schedule of Exchanges of Interests in the Global Note” forming part of such Global Note(s), which increase(s) are in Authorized Denominations and aggregate to the principal amount to be so transferred, and which Global Note(s) bear each legend, if any, required by </w:t>
      </w:r>
      <w:r>
        <w:rPr>
          <w:rFonts w:ascii="Times New Roman" w:cs="Times New Roman" w:eastAsia="Times New Roman" w:hAnsi="Times New Roman"/>
          <w:sz w:val="18"/>
          <w:szCs w:val="18"/>
          <w:b w:val="1"/>
          <w:bCs w:val="1"/>
          <w:color w:val="auto"/>
        </w:rPr>
        <w:t>Section 2.09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if such transfer cannot be so effected by notation on one or more existing Global Notes (whether because no Global Notes bearing each legend, if any, required by </w:t>
      </w:r>
      <w:r>
        <w:rPr>
          <w:rFonts w:ascii="Times New Roman" w:cs="Times New Roman" w:eastAsia="Times New Roman" w:hAnsi="Times New Roman"/>
          <w:sz w:val="18"/>
          <w:szCs w:val="18"/>
          <w:b w:val="1"/>
          <w:bCs w:val="1"/>
          <w:color w:val="auto"/>
        </w:rPr>
        <w:t>Section 2.09</w:t>
      </w:r>
      <w:r>
        <w:rPr>
          <w:rFonts w:ascii="Times New Roman" w:cs="Times New Roman" w:eastAsia="Times New Roman" w:hAnsi="Times New Roman"/>
          <w:sz w:val="18"/>
          <w:szCs w:val="18"/>
          <w:color w:val="auto"/>
        </w:rPr>
        <w:t xml:space="preserve"> then exist, because any such increase will result in any Global Note having an aggregate principal amount exceeding the maximum aggregate principal amount permitted by the Depositary or otherwise), then the Company will issue, execute and deliver, and the Trustee will authenticate, in each case in accordance with </w:t>
      </w:r>
      <w:r>
        <w:rPr>
          <w:rFonts w:ascii="Times New Roman" w:cs="Times New Roman" w:eastAsia="Times New Roman" w:hAnsi="Times New Roman"/>
          <w:sz w:val="18"/>
          <w:szCs w:val="18"/>
          <w:b w:val="1"/>
          <w:bCs w:val="1"/>
          <w:color w:val="auto"/>
        </w:rPr>
        <w:t>Section 2.02</w:t>
      </w:r>
      <w:r>
        <w:rPr>
          <w:rFonts w:ascii="Times New Roman" w:cs="Times New Roman" w:eastAsia="Times New Roman" w:hAnsi="Times New Roman"/>
          <w:sz w:val="18"/>
          <w:szCs w:val="18"/>
          <w:color w:val="auto"/>
        </w:rPr>
        <w:t xml:space="preserve">, one or more Global Notes that (x) are in Authorized Denominations and have an aggregate principal amount equal to the principal amount that is to be so transferred but that is not effected by notation as provided above; and (y) bear each legend, if any, required by </w:t>
      </w:r>
      <w:r>
        <w:rPr>
          <w:rFonts w:ascii="Times New Roman" w:cs="Times New Roman" w:eastAsia="Times New Roman" w:hAnsi="Times New Roman"/>
          <w:sz w:val="18"/>
          <w:szCs w:val="18"/>
          <w:b w:val="1"/>
          <w:bCs w:val="1"/>
          <w:color w:val="auto"/>
        </w:rPr>
        <w:t>Section 2.09</w:t>
      </w:r>
      <w:r>
        <w:rPr>
          <w:rFonts w:ascii="Times New Roman" w:cs="Times New Roman" w:eastAsia="Times New Roman" w:hAnsi="Times New Roman"/>
          <w:sz w:val="18"/>
          <w:szCs w:val="18"/>
          <w:color w:val="auto"/>
        </w:rPr>
        <w:t>; and</w:t>
      </w:r>
    </w:p>
    <w:p>
      <w:pPr>
        <w:spacing w:after="0" w:line="126"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23 -</w:t>
      </w:r>
    </w:p>
    <w:p>
      <w:pPr>
        <w:sectPr>
          <w:pgSz w:w="11900" w:h="16838" w:orient="portrait"/>
          <w:cols w:equalWidth="0" w:num="1">
            <w:col w:w="10984"/>
          </w:cols>
          <w:pgMar w:left="436" w:top="266" w:right="479" w:bottom="1440" w:gutter="0" w:footer="0" w:header="0"/>
        </w:sectPr>
      </w:pPr>
    </w:p>
    <w:bookmarkStart w:id="36" w:name="page37"/>
    <w:bookmarkEnd w:id="36"/>
    <w:p>
      <w:pPr>
        <w:ind w:left="4" w:right="200" w:hanging="4"/>
        <w:spacing w:after="0" w:line="272" w:lineRule="auto"/>
        <w:tabs>
          <w:tab w:leader="none" w:pos="259"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to a transferee that will hold its interest in such old Physical Note (or such portion thereof) to be so transferred in the form of one or more Physical Notes, the Company will issue, execute and deliver, and the Trustee will authenticate, in each case in accordance with </w:t>
      </w:r>
      <w:r>
        <w:rPr>
          <w:rFonts w:ascii="Times New Roman" w:cs="Times New Roman" w:eastAsia="Times New Roman" w:hAnsi="Times New Roman"/>
          <w:sz w:val="17"/>
          <w:szCs w:val="17"/>
          <w:b w:val="1"/>
          <w:bCs w:val="1"/>
          <w:color w:val="auto"/>
        </w:rPr>
        <w:t>Section 2.02</w:t>
      </w:r>
      <w:r>
        <w:rPr>
          <w:rFonts w:ascii="Times New Roman" w:cs="Times New Roman" w:eastAsia="Times New Roman" w:hAnsi="Times New Roman"/>
          <w:sz w:val="17"/>
          <w:szCs w:val="17"/>
          <w:color w:val="auto"/>
        </w:rPr>
        <w:t>, one or more Physical Notes that (x) are in Authorized Denominations and have an aggregate principal amount equal to the principal amount to be so transferred;</w:t>
      </w:r>
    </w:p>
    <w:p>
      <w:pPr>
        <w:spacing w:after="0" w:line="1"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are registered in the name of such transferee; and (z) bear each legend, if any, required by </w:t>
      </w:r>
      <w:r>
        <w:rPr>
          <w:rFonts w:ascii="Times New Roman" w:cs="Times New Roman" w:eastAsia="Times New Roman" w:hAnsi="Times New Roman"/>
          <w:sz w:val="18"/>
          <w:szCs w:val="18"/>
          <w:b w:val="1"/>
          <w:bCs w:val="1"/>
          <w:color w:val="auto"/>
        </w:rPr>
        <w:t>Section</w:t>
      </w:r>
      <w:r>
        <w:rPr>
          <w:rFonts w:ascii="Times New Roman" w:cs="Times New Roman" w:eastAsia="Times New Roman" w:hAnsi="Times New Roman"/>
          <w:sz w:val="18"/>
          <w:szCs w:val="18"/>
          <w:color w:val="auto"/>
        </w:rPr>
        <w:t xml:space="preserve"> 2.09; and</w:t>
      </w:r>
    </w:p>
    <w:p>
      <w:pPr>
        <w:spacing w:after="0" w:line="99" w:lineRule="exact"/>
        <w:rPr>
          <w:sz w:val="20"/>
          <w:szCs w:val="20"/>
          <w:color w:val="auto"/>
        </w:rPr>
      </w:pPr>
    </w:p>
    <w:p>
      <w:pPr>
        <w:ind w:left="984" w:firstLine="408"/>
        <w:spacing w:after="0" w:line="261" w:lineRule="auto"/>
        <w:tabs>
          <w:tab w:leader="none" w:pos="164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an exchange, the Company will issue, execute and deliver, and the Trustee will authenticate, in each case in accordance with </w:t>
      </w:r>
      <w:r>
        <w:rPr>
          <w:rFonts w:ascii="Times New Roman" w:cs="Times New Roman" w:eastAsia="Times New Roman" w:hAnsi="Times New Roman"/>
          <w:sz w:val="18"/>
          <w:szCs w:val="18"/>
          <w:b w:val="1"/>
          <w:bCs w:val="1"/>
          <w:color w:val="auto"/>
        </w:rPr>
        <w:t>Section 2.02</w:t>
      </w:r>
      <w:r>
        <w:rPr>
          <w:rFonts w:ascii="Times New Roman" w:cs="Times New Roman" w:eastAsia="Times New Roman" w:hAnsi="Times New Roman"/>
          <w:sz w:val="18"/>
          <w:szCs w:val="18"/>
          <w:color w:val="auto"/>
        </w:rPr>
        <w:t xml:space="preserve">, one or more Physical Notes that (x) are in Authorized Denominations and have an aggregate principal amount equal to the principal amount to be so exchanged; (y) are registered in the name of the Person to whom such old Physical Note was registered; and (z) bear each legend, if any, required by </w:t>
      </w:r>
      <w:r>
        <w:rPr>
          <w:rFonts w:ascii="Times New Roman" w:cs="Times New Roman" w:eastAsia="Times New Roman" w:hAnsi="Times New Roman"/>
          <w:sz w:val="18"/>
          <w:szCs w:val="18"/>
          <w:b w:val="1"/>
          <w:bCs w:val="1"/>
          <w:color w:val="auto"/>
        </w:rPr>
        <w:t>Section 2.09</w:t>
      </w:r>
      <w:r>
        <w:rPr>
          <w:rFonts w:ascii="Times New Roman" w:cs="Times New Roman" w:eastAsia="Times New Roman" w:hAnsi="Times New Roman"/>
          <w:sz w:val="18"/>
          <w:szCs w:val="18"/>
          <w:color w:val="auto"/>
        </w:rPr>
        <w:t>.</w:t>
      </w:r>
    </w:p>
    <w:p>
      <w:pPr>
        <w:spacing w:after="0" w:line="69" w:lineRule="exact"/>
        <w:rPr>
          <w:rFonts w:ascii="Times New Roman" w:cs="Times New Roman" w:eastAsia="Times New Roman" w:hAnsi="Times New Roman"/>
          <w:sz w:val="18"/>
          <w:szCs w:val="18"/>
          <w:color w:val="auto"/>
        </w:rPr>
      </w:pPr>
    </w:p>
    <w:p>
      <w:pPr>
        <w:ind w:left="4" w:right="100" w:hanging="4"/>
        <w:spacing w:after="0" w:line="284" w:lineRule="auto"/>
        <w:tabs>
          <w:tab w:leader="none" w:pos="29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Requirement to Deliver Documentation and Other Evidence</w:t>
      </w:r>
      <w:r>
        <w:rPr>
          <w:rFonts w:ascii="Times New Roman" w:cs="Times New Roman" w:eastAsia="Times New Roman" w:hAnsi="Times New Roman"/>
          <w:sz w:val="18"/>
          <w:szCs w:val="18"/>
          <w:color w:val="auto"/>
        </w:rPr>
        <w:t>. If a Holder of any Note that is identified by a “restricted” CUSIP number or that bears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Restricted Note Legend or is a Transfer-Restricted Security requests to:</w:t>
      </w:r>
    </w:p>
    <w:p>
      <w:pPr>
        <w:spacing w:after="0" w:line="52" w:lineRule="exact"/>
        <w:rPr>
          <w:sz w:val="20"/>
          <w:szCs w:val="20"/>
          <w:color w:val="auto"/>
        </w:rPr>
      </w:pPr>
    </w:p>
    <w:p>
      <w:pPr>
        <w:ind w:left="224" w:hanging="224"/>
        <w:spacing w:after="0"/>
        <w:tabs>
          <w:tab w:leader="none" w:pos="22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such Note to be identified by an “unrestricted” CUSIP number;</w:t>
      </w:r>
    </w:p>
    <w:p>
      <w:pPr>
        <w:spacing w:after="0" w:line="117"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remove such Restricted Note Legend; or</w:t>
      </w:r>
    </w:p>
    <w:p>
      <w:pPr>
        <w:spacing w:after="0" w:line="117"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of such Note to the name of another Person,</w:t>
      </w:r>
    </w:p>
    <w:p>
      <w:pPr>
        <w:spacing w:after="0" w:line="225" w:lineRule="exact"/>
        <w:rPr>
          <w:sz w:val="20"/>
          <w:szCs w:val="20"/>
          <w:color w:val="auto"/>
        </w:rPr>
      </w:pPr>
    </w:p>
    <w:p>
      <w:pPr>
        <w:ind w:left="4" w:right="100"/>
        <w:spacing w:after="0" w:line="255" w:lineRule="auto"/>
        <w:rPr>
          <w:sz w:val="20"/>
          <w:szCs w:val="20"/>
          <w:color w:val="auto"/>
        </w:rPr>
      </w:pPr>
      <w:r>
        <w:rPr>
          <w:rFonts w:ascii="Times New Roman" w:cs="Times New Roman" w:eastAsia="Times New Roman" w:hAnsi="Times New Roman"/>
          <w:sz w:val="18"/>
          <w:szCs w:val="18"/>
          <w:color w:val="auto"/>
        </w:rPr>
        <w:t xml:space="preserve">then the Company, the Guarantors, the Trustee and the Registrar may refuse to effect such identification, removal or transfer, as applicable, unless there is delivered to the Company, the Guarantors, the Trustee and the Registrar such certificates or other documentation or evidence as the Company, the Guarantors, the Trustee and the Registrar may reasonably require for the Company to determine that such identification, removal or transfer, as applicable, complies with the Securities Act and other applicable securities laws;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such certificates, documentation or evidence need be so delivered on and after the Free Trade Date with respect to such Note unless the Company determines, in its reasonable discretion, that such Note is not eligible to be offered, sold or otherwise transferred pursuant to Rule 144 or otherwise without any requirements as to volume, manner of sale, availability of current public information or notice under the Securities Act.</w:t>
      </w:r>
    </w:p>
    <w:p>
      <w:pPr>
        <w:spacing w:after="0" w:line="79" w:lineRule="exact"/>
        <w:rPr>
          <w:sz w:val="20"/>
          <w:szCs w:val="20"/>
          <w:color w:val="auto"/>
        </w:rPr>
      </w:pPr>
    </w:p>
    <w:p>
      <w:pPr>
        <w:ind w:left="4" w:hanging="4"/>
        <w:spacing w:after="0" w:line="256" w:lineRule="auto"/>
        <w:tabs>
          <w:tab w:leader="none" w:pos="27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Transfers of Notes Subject to Redemption, Repurchase or Exchange</w:t>
      </w:r>
      <w:r>
        <w:rPr>
          <w:rFonts w:ascii="Times New Roman" w:cs="Times New Roman" w:eastAsia="Times New Roman" w:hAnsi="Times New Roman"/>
          <w:sz w:val="18"/>
          <w:szCs w:val="18"/>
          <w:color w:val="auto"/>
        </w:rPr>
        <w:t>. Notwithstanding anything to the contrary in this Indenture or the Notes,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Company, the Guarantors, the Trustee and the Registrar will not be required to register the transfer of or exchange any Note that (i) has been surrendered for Exchange, except to the extent that any portion of such Note is not subject to Exchange; (ii) is subject to a Fundamental Change Repurchase Notice validly delivered, and not withdrawn, pursuant to </w:t>
      </w:r>
      <w:r>
        <w:rPr>
          <w:rFonts w:ascii="Times New Roman" w:cs="Times New Roman" w:eastAsia="Times New Roman" w:hAnsi="Times New Roman"/>
          <w:sz w:val="18"/>
          <w:szCs w:val="18"/>
          <w:b w:val="1"/>
          <w:bCs w:val="1"/>
          <w:color w:val="auto"/>
        </w:rPr>
        <w:t>Section 4.02(F)</w:t>
      </w:r>
      <w:r>
        <w:rPr>
          <w:rFonts w:ascii="Times New Roman" w:cs="Times New Roman" w:eastAsia="Times New Roman" w:hAnsi="Times New Roman"/>
          <w:sz w:val="18"/>
          <w:szCs w:val="18"/>
          <w:color w:val="auto"/>
        </w:rPr>
        <w:t>, except to the extent that any portion of such Note is not subject to such notice or the Company fails to pay the applicable Fundamental Change Repurchase Price when due; or (iii) has been selected for Redemption pursuant to a Redemption Notice, except to the extent that any portion of such Note is not subject to Redemption or the Company fails to pay the applicable Redemption Price when due.</w:t>
      </w:r>
    </w:p>
    <w:p>
      <w:pPr>
        <w:spacing w:after="0" w:line="117"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24 -</w:t>
      </w:r>
    </w:p>
    <w:p>
      <w:pPr>
        <w:sectPr>
          <w:pgSz w:w="11900" w:h="16838" w:orient="portrait"/>
          <w:cols w:equalWidth="0" w:num="1">
            <w:col w:w="11004"/>
          </w:cols>
          <w:pgMar w:left="436" w:top="270" w:right="459" w:bottom="1440" w:gutter="0" w:footer="0" w:header="0"/>
        </w:sectPr>
      </w:pPr>
    </w:p>
    <w:bookmarkStart w:id="37" w:name="page38"/>
    <w:bookmarkEnd w:id="37"/>
    <w:p>
      <w:pPr>
        <w:ind w:left="4" w:right="16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2.11. E</w:t>
      </w:r>
      <w:r>
        <w:rPr>
          <w:rFonts w:ascii="Times New Roman" w:cs="Times New Roman" w:eastAsia="Times New Roman" w:hAnsi="Times New Roman"/>
          <w:sz w:val="14"/>
          <w:szCs w:val="14"/>
          <w:b w:val="1"/>
          <w:bCs w:val="1"/>
          <w:color w:val="auto"/>
        </w:rPr>
        <w:t>XCHANGE AND</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ANCELLATION OF</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4"/>
          <w:szCs w:val="14"/>
          <w:b w:val="1"/>
          <w:bCs w:val="1"/>
          <w:color w:val="auto"/>
        </w:rPr>
        <w:t>OTES TO</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E</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XCHANGED OR TO</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EPURCHASED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URSUANT TO A</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EPURCHASE</w:t>
      </w:r>
      <w:r>
        <w:rPr>
          <w:rFonts w:ascii="Times New Roman" w:cs="Times New Roman" w:eastAsia="Times New Roman" w:hAnsi="Times New Roman"/>
          <w:sz w:val="18"/>
          <w:szCs w:val="18"/>
          <w:b w:val="1"/>
          <w:bCs w:val="1"/>
          <w:color w:val="auto"/>
        </w:rPr>
        <w:t xml:space="preserve"> U</w:t>
      </w:r>
      <w:r>
        <w:rPr>
          <w:rFonts w:ascii="Times New Roman" w:cs="Times New Roman" w:eastAsia="Times New Roman" w:hAnsi="Times New Roman"/>
          <w:sz w:val="14"/>
          <w:szCs w:val="14"/>
          <w:b w:val="1"/>
          <w:bCs w:val="1"/>
          <w:color w:val="auto"/>
        </w:rPr>
        <w:t>PON</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4"/>
          <w:szCs w:val="14"/>
          <w:b w:val="1"/>
          <w:bCs w:val="1"/>
          <w:color w:val="auto"/>
        </w:rPr>
        <w:t>UNDAMENTAL</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HANGE OR</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EDEMPTION</w:t>
      </w:r>
      <w:r>
        <w:rPr>
          <w:rFonts w:ascii="Times New Roman" w:cs="Times New Roman" w:eastAsia="Times New Roman" w:hAnsi="Times New Roman"/>
          <w:sz w:val="18"/>
          <w:szCs w:val="18"/>
          <w:b w:val="1"/>
          <w:bCs w:val="1"/>
          <w:color w:val="auto"/>
        </w:rPr>
        <w:t>.</w:t>
      </w:r>
    </w:p>
    <w:p>
      <w:pPr>
        <w:spacing w:after="0" w:line="49" w:lineRule="exact"/>
        <w:rPr>
          <w:sz w:val="20"/>
          <w:szCs w:val="20"/>
          <w:color w:val="auto"/>
        </w:rPr>
      </w:pPr>
    </w:p>
    <w:p>
      <w:pPr>
        <w:ind w:left="4" w:right="60" w:hanging="4"/>
        <w:spacing w:after="0" w:line="254" w:lineRule="auto"/>
        <w:tabs>
          <w:tab w:leader="none" w:pos="29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Partial Exchanges of Physical Notes and Partial Repurchases of Physical Notes Pursuant to a Repurchase Upon Fundamental Change or Redemption</w:t>
      </w:r>
      <w:r>
        <w:rPr>
          <w:rFonts w:ascii="Times New Roman" w:cs="Times New Roman" w:eastAsia="Times New Roman" w:hAnsi="Times New Roman"/>
          <w:sz w:val="18"/>
          <w:szCs w:val="18"/>
          <w:color w:val="auto"/>
        </w:rPr>
        <w:t>. If only a portion of a Physical Note of a Holder is to be Exchanged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Article 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repurchased pursuant to a Repurchase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Fundamental Change or Redemption, then, as soon as reasonably practicable after such Physical Note is surrendered for such Exchange or repurchase, as applicable, the Company will cause such Physical Note to be exchanged, pursuant and subject to </w:t>
      </w:r>
      <w:r>
        <w:rPr>
          <w:rFonts w:ascii="Times New Roman" w:cs="Times New Roman" w:eastAsia="Times New Roman" w:hAnsi="Times New Roman"/>
          <w:sz w:val="18"/>
          <w:szCs w:val="18"/>
          <w:b w:val="1"/>
          <w:bCs w:val="1"/>
          <w:color w:val="auto"/>
        </w:rPr>
        <w:t>Section 2.10(C</w:t>
      </w:r>
      <w:r>
        <w:rPr>
          <w:rFonts w:ascii="Times New Roman" w:cs="Times New Roman" w:eastAsia="Times New Roman" w:hAnsi="Times New Roman"/>
          <w:sz w:val="18"/>
          <w:szCs w:val="18"/>
          <w:color w:val="auto"/>
        </w:rPr>
        <w:t xml:space="preserve">), for (i) one or more Physical Notes that are in Authorized Denominations and have an aggregate principal amount equal to the principal amount of such Physical Note that is not to be so Exchanged or repurchased, as applicable, and deliver such Physical Note(s) to such Holder; and (ii) a Physical Note having a principal amount equal to the principal amount to be so Exchanged or repurchased, as applicable, which Physical Note will be Exchanged or repurchased, as applicable, pursuant to the terms of this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Physical Note referred to in this </w:t>
      </w:r>
      <w:r>
        <w:rPr>
          <w:rFonts w:ascii="Times New Roman" w:cs="Times New Roman" w:eastAsia="Times New Roman" w:hAnsi="Times New Roman"/>
          <w:sz w:val="18"/>
          <w:szCs w:val="18"/>
          <w:b w:val="1"/>
          <w:bCs w:val="1"/>
          <w:color w:val="auto"/>
        </w:rPr>
        <w:t>clause (ii)</w:t>
      </w:r>
      <w:r>
        <w:rPr>
          <w:rFonts w:ascii="Times New Roman" w:cs="Times New Roman" w:eastAsia="Times New Roman" w:hAnsi="Times New Roman"/>
          <w:sz w:val="18"/>
          <w:szCs w:val="18"/>
          <w:color w:val="auto"/>
        </w:rPr>
        <w:t xml:space="preserve"> need not be issued at any time after which such principal amount subject to such Exchange or repurchase, as applicable, is deemed to cease to be outstanding pursuant to </w:t>
      </w:r>
      <w:r>
        <w:rPr>
          <w:rFonts w:ascii="Times New Roman" w:cs="Times New Roman" w:eastAsia="Times New Roman" w:hAnsi="Times New Roman"/>
          <w:sz w:val="18"/>
          <w:szCs w:val="18"/>
          <w:b w:val="1"/>
          <w:bCs w:val="1"/>
          <w:color w:val="auto"/>
        </w:rPr>
        <w:t>Section 2.18</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ind w:left="284" w:hanging="284"/>
        <w:spacing w:after="0"/>
        <w:tabs>
          <w:tab w:leader="none" w:pos="28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Cancellation of Notes that Are Exchanged and Notes that Are Repurchased Pursuant to a Repurchase Upon Fundamental Change or Redemption</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ind w:left="4" w:right="120" w:hanging="4"/>
        <w:spacing w:after="0" w:line="255" w:lineRule="auto"/>
        <w:tabs>
          <w:tab w:leader="none" w:pos="21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Physical Notes</w:t>
      </w:r>
      <w:r>
        <w:rPr>
          <w:rFonts w:ascii="Times New Roman" w:cs="Times New Roman" w:eastAsia="Times New Roman" w:hAnsi="Times New Roman"/>
          <w:sz w:val="18"/>
          <w:szCs w:val="18"/>
          <w:color w:val="auto"/>
        </w:rPr>
        <w:t>. If a Physical Note (or any portion thereof that has not theretofore been Exchanged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2.11(A</w:t>
      </w:r>
      <w:r>
        <w:rPr>
          <w:rFonts w:ascii="Times New Roman" w:cs="Times New Roman" w:eastAsia="Times New Roman" w:hAnsi="Times New Roman"/>
          <w:sz w:val="18"/>
          <w:szCs w:val="18"/>
          <w:color w:val="auto"/>
        </w:rPr>
        <w:t>)) of a Holder is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Exchanged pursuant to </w:t>
      </w:r>
      <w:r>
        <w:rPr>
          <w:rFonts w:ascii="Times New Roman" w:cs="Times New Roman" w:eastAsia="Times New Roman" w:hAnsi="Times New Roman"/>
          <w:sz w:val="18"/>
          <w:szCs w:val="18"/>
          <w:b w:val="1"/>
          <w:bCs w:val="1"/>
          <w:color w:val="auto"/>
        </w:rPr>
        <w:t>Article 5</w:t>
      </w:r>
      <w:r>
        <w:rPr>
          <w:rFonts w:ascii="Times New Roman" w:cs="Times New Roman" w:eastAsia="Times New Roman" w:hAnsi="Times New Roman"/>
          <w:sz w:val="18"/>
          <w:szCs w:val="18"/>
          <w:color w:val="auto"/>
        </w:rPr>
        <w:t xml:space="preserve"> or repurchased pursuant to a Repurchase Upon Fundamental Change or Redemption, then, promptly after the later of the time such Physical Note (or such portion) is deemed to cease to be outstanding pursuant to </w:t>
      </w:r>
      <w:r>
        <w:rPr>
          <w:rFonts w:ascii="Times New Roman" w:cs="Times New Roman" w:eastAsia="Times New Roman" w:hAnsi="Times New Roman"/>
          <w:sz w:val="18"/>
          <w:szCs w:val="18"/>
          <w:b w:val="1"/>
          <w:bCs w:val="1"/>
          <w:color w:val="auto"/>
        </w:rPr>
        <w:t>Section 2.18</w:t>
      </w:r>
      <w:r>
        <w:rPr>
          <w:rFonts w:ascii="Times New Roman" w:cs="Times New Roman" w:eastAsia="Times New Roman" w:hAnsi="Times New Roman"/>
          <w:sz w:val="18"/>
          <w:szCs w:val="18"/>
          <w:color w:val="auto"/>
        </w:rPr>
        <w:t xml:space="preserve"> and the time such Physical Note is surrendered for such Exchange or repurchase, as applicable, (1) such Physical Note will be cancelled pursuant to </w:t>
      </w:r>
      <w:r>
        <w:rPr>
          <w:rFonts w:ascii="Times New Roman" w:cs="Times New Roman" w:eastAsia="Times New Roman" w:hAnsi="Times New Roman"/>
          <w:sz w:val="18"/>
          <w:szCs w:val="18"/>
          <w:b w:val="1"/>
          <w:bCs w:val="1"/>
          <w:color w:val="auto"/>
        </w:rPr>
        <w:t>Section 2.15</w:t>
      </w:r>
      <w:r>
        <w:rPr>
          <w:rFonts w:ascii="Times New Roman" w:cs="Times New Roman" w:eastAsia="Times New Roman" w:hAnsi="Times New Roman"/>
          <w:sz w:val="18"/>
          <w:szCs w:val="18"/>
          <w:color w:val="auto"/>
        </w:rPr>
        <w:t xml:space="preserve">; and (2) in the case of a partial Exchange or repurchase, as applicable, the Company will issue, execute and deliver to such Holder, and the Trustee will authenticate, in each case in accordance with </w:t>
      </w:r>
      <w:r>
        <w:rPr>
          <w:rFonts w:ascii="Times New Roman" w:cs="Times New Roman" w:eastAsia="Times New Roman" w:hAnsi="Times New Roman"/>
          <w:sz w:val="18"/>
          <w:szCs w:val="18"/>
          <w:b w:val="1"/>
          <w:bCs w:val="1"/>
          <w:color w:val="auto"/>
        </w:rPr>
        <w:t>Section 2.02</w:t>
      </w:r>
      <w:r>
        <w:rPr>
          <w:rFonts w:ascii="Times New Roman" w:cs="Times New Roman" w:eastAsia="Times New Roman" w:hAnsi="Times New Roman"/>
          <w:sz w:val="18"/>
          <w:szCs w:val="18"/>
          <w:color w:val="auto"/>
        </w:rPr>
        <w:t xml:space="preserve">, one or more Physical Notes that (x) are in Authorized Denominations and have an aggregate principal amount equal to the principal amount of such Physical Note that is not to be so Exchanged or repurchased, as applicable; (y) are registered in the name of such Holder; and (z) bear each legend, if any, required by </w:t>
      </w:r>
      <w:r>
        <w:rPr>
          <w:rFonts w:ascii="Times New Roman" w:cs="Times New Roman" w:eastAsia="Times New Roman" w:hAnsi="Times New Roman"/>
          <w:sz w:val="18"/>
          <w:szCs w:val="18"/>
          <w:b w:val="1"/>
          <w:bCs w:val="1"/>
          <w:color w:val="auto"/>
        </w:rPr>
        <w:t>Section 2.09</w:t>
      </w:r>
      <w:r>
        <w:rPr>
          <w:rFonts w:ascii="Times New Roman" w:cs="Times New Roman" w:eastAsia="Times New Roman" w:hAnsi="Times New Roman"/>
          <w:sz w:val="18"/>
          <w:szCs w:val="18"/>
          <w:color w:val="auto"/>
        </w:rPr>
        <w:t>.</w:t>
      </w:r>
    </w:p>
    <w:p>
      <w:pPr>
        <w:spacing w:after="0" w:line="76" w:lineRule="exact"/>
        <w:rPr>
          <w:rFonts w:ascii="Times New Roman" w:cs="Times New Roman" w:eastAsia="Times New Roman" w:hAnsi="Times New Roman"/>
          <w:sz w:val="18"/>
          <w:szCs w:val="18"/>
          <w:color w:val="auto"/>
        </w:rPr>
      </w:pPr>
    </w:p>
    <w:p>
      <w:pPr>
        <w:ind w:left="4" w:hanging="4"/>
        <w:spacing w:after="0" w:line="259" w:lineRule="auto"/>
        <w:tabs>
          <w:tab w:leader="none" w:pos="26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Global Notes</w:t>
      </w:r>
      <w:r>
        <w:rPr>
          <w:rFonts w:ascii="Times New Roman" w:cs="Times New Roman" w:eastAsia="Times New Roman" w:hAnsi="Times New Roman"/>
          <w:sz w:val="18"/>
          <w:szCs w:val="18"/>
          <w:color w:val="auto"/>
        </w:rPr>
        <w:t>. If a Global Note (or any portion thereof) is to be Exchanged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Article 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repurchased pursuant to a Repurchase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Fundamental Change or Redemption, then, promptly after the time such Note (or such portion) is deemed to cease to be outstanding pursuant to </w:t>
      </w:r>
      <w:r>
        <w:rPr>
          <w:rFonts w:ascii="Times New Roman" w:cs="Times New Roman" w:eastAsia="Times New Roman" w:hAnsi="Times New Roman"/>
          <w:sz w:val="18"/>
          <w:szCs w:val="18"/>
          <w:b w:val="1"/>
          <w:bCs w:val="1"/>
          <w:color w:val="auto"/>
        </w:rPr>
        <w:t>Section 2.18</w:t>
      </w:r>
      <w:r>
        <w:rPr>
          <w:rFonts w:ascii="Times New Roman" w:cs="Times New Roman" w:eastAsia="Times New Roman" w:hAnsi="Times New Roman"/>
          <w:sz w:val="18"/>
          <w:szCs w:val="18"/>
          <w:color w:val="auto"/>
        </w:rPr>
        <w:t>, the Trustee will reflect a decrease of the principal amount of such Global Note in an amount equal to the principal amount of such Global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Note to be so Exchanged or repurchased, as applicable, by notation on the “Schedule of Exchanges of Interests in the Global Note” forming part of such Global Note (and, if the principal amount of such Global Note is zero following such notation, cancel such Global Note pursuant to </w:t>
      </w:r>
      <w:r>
        <w:rPr>
          <w:rFonts w:ascii="Times New Roman" w:cs="Times New Roman" w:eastAsia="Times New Roman" w:hAnsi="Times New Roman"/>
          <w:sz w:val="18"/>
          <w:szCs w:val="18"/>
          <w:b w:val="1"/>
          <w:bCs w:val="1"/>
          <w:color w:val="auto"/>
        </w:rPr>
        <w:t>Section 2.15</w:t>
      </w:r>
      <w:r>
        <w:rPr>
          <w:rFonts w:ascii="Times New Roman" w:cs="Times New Roman" w:eastAsia="Times New Roman" w:hAnsi="Times New Roman"/>
          <w:sz w:val="18"/>
          <w:szCs w:val="18"/>
          <w:color w:val="auto"/>
        </w:rPr>
        <w:t>).</w:t>
      </w:r>
    </w:p>
    <w:p>
      <w:pPr>
        <w:spacing w:after="0" w:line="115"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w:t>
      </w:r>
    </w:p>
    <w:p>
      <w:pPr>
        <w:sectPr>
          <w:pgSz w:w="11900" w:h="16838" w:orient="portrait"/>
          <w:cols w:equalWidth="0" w:num="1">
            <w:col w:w="10964"/>
          </w:cols>
          <w:pgMar w:left="436" w:top="266" w:right="4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2.12. R</w:t>
      </w:r>
      <w:r>
        <w:rPr>
          <w:rFonts w:ascii="Times New Roman" w:cs="Times New Roman" w:eastAsia="Times New Roman" w:hAnsi="Times New Roman"/>
          <w:sz w:val="14"/>
          <w:szCs w:val="14"/>
          <w:b w:val="1"/>
          <w:bCs w:val="1"/>
          <w:color w:val="auto"/>
        </w:rPr>
        <w:t>EMOVAL OF</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RANSFER</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ESTRICTIONS</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Without limiting the generality of any other provision of this Indenture (including </w:t>
      </w:r>
      <w:r>
        <w:rPr>
          <w:rFonts w:ascii="Times New Roman" w:cs="Times New Roman" w:eastAsia="Times New Roman" w:hAnsi="Times New Roman"/>
          <w:sz w:val="18"/>
          <w:szCs w:val="18"/>
          <w:b w:val="1"/>
          <w:bCs w:val="1"/>
          <w:color w:val="auto"/>
        </w:rPr>
        <w:t>Section 3.04</w:t>
      </w:r>
      <w:r>
        <w:rPr>
          <w:rFonts w:ascii="Times New Roman" w:cs="Times New Roman" w:eastAsia="Times New Roman" w:hAnsi="Times New Roman"/>
          <w:sz w:val="18"/>
          <w:szCs w:val="18"/>
          <w:color w:val="auto"/>
        </w:rPr>
        <w:t xml:space="preserve">), the Restricted Note Legend affixed to any Note will be deemed, pursuant to this </w:t>
      </w:r>
      <w:r>
        <w:rPr>
          <w:rFonts w:ascii="Times New Roman" w:cs="Times New Roman" w:eastAsia="Times New Roman" w:hAnsi="Times New Roman"/>
          <w:sz w:val="18"/>
          <w:szCs w:val="18"/>
          <w:b w:val="1"/>
          <w:bCs w:val="1"/>
          <w:color w:val="auto"/>
        </w:rPr>
        <w:t>Section 2.12</w:t>
      </w:r>
      <w:r>
        <w:rPr>
          <w:rFonts w:ascii="Times New Roman" w:cs="Times New Roman" w:eastAsia="Times New Roman" w:hAnsi="Times New Roman"/>
          <w:sz w:val="18"/>
          <w:szCs w:val="18"/>
          <w:color w:val="auto"/>
        </w:rPr>
        <w:t xml:space="preserve"> and the footnote to such Restricted Note Legend, to be removed therefrom upon the Company’s delivery to the Trustee of notice, signed on behalf of the Company by one (1) of its Officers, to such effect (and, for the avoidance of doubt, such notice need not be accompanied by an Officer’s Certificate or an Opinion of Counsel in order to be effective to cause such Restricted Note Legend to be deemed to be removed from such Note unless a new Note is to be authenticated in connection therewith). If such Note bears a “restricted” CUSIP number at the time of such delivery, then, upon such delivery, such Note will be deemed, pursuant to this </w:t>
      </w:r>
      <w:r>
        <w:rPr>
          <w:rFonts w:ascii="Times New Roman" w:cs="Times New Roman" w:eastAsia="Times New Roman" w:hAnsi="Times New Roman"/>
          <w:sz w:val="18"/>
          <w:szCs w:val="18"/>
          <w:b w:val="1"/>
          <w:bCs w:val="1"/>
          <w:color w:val="auto"/>
        </w:rPr>
        <w:t>Section 2.12</w:t>
      </w:r>
      <w:r>
        <w:rPr>
          <w:rFonts w:ascii="Times New Roman" w:cs="Times New Roman" w:eastAsia="Times New Roman" w:hAnsi="Times New Roman"/>
          <w:sz w:val="18"/>
          <w:szCs w:val="18"/>
          <w:color w:val="auto"/>
        </w:rPr>
        <w:t xml:space="preserve"> and the footnotes to the CUSIP number set forth on the face of the certificate representing such Note, to thereafter bear the “unrestricted” CUSIP number identified in such footnotes;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if such Note is a Global Note and the Depositary requires a mandatory exchange or other procedure to cause such Global Note to be identified by an “unrestricted” CUSIP number in the facilities of the Depositary, then (i) the Company will effect such exchange or procedure as soon as reasonably practicable; and (ii) for purposes of </w:t>
      </w:r>
      <w:r>
        <w:rPr>
          <w:rFonts w:ascii="Times New Roman" w:cs="Times New Roman" w:eastAsia="Times New Roman" w:hAnsi="Times New Roman"/>
          <w:sz w:val="18"/>
          <w:szCs w:val="18"/>
          <w:b w:val="1"/>
          <w:bCs w:val="1"/>
          <w:color w:val="auto"/>
        </w:rPr>
        <w:t>Section 3.04</w:t>
      </w:r>
      <w:r>
        <w:rPr>
          <w:rFonts w:ascii="Times New Roman" w:cs="Times New Roman" w:eastAsia="Times New Roman" w:hAnsi="Times New Roman"/>
          <w:sz w:val="18"/>
          <w:szCs w:val="18"/>
          <w:color w:val="auto"/>
        </w:rPr>
        <w:t xml:space="preserve"> and the definition of Freely Tradable, such Global Note will not be deemed to be identified by an “unrestricted” CUSIP number until such time as such exchange or procedure is effected.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2.13. R</w:t>
      </w:r>
      <w:r>
        <w:rPr>
          <w:rFonts w:ascii="Times New Roman" w:cs="Times New Roman" w:eastAsia="Times New Roman" w:hAnsi="Times New Roman"/>
          <w:sz w:val="14"/>
          <w:szCs w:val="14"/>
          <w:b w:val="1"/>
          <w:bCs w:val="1"/>
          <w:color w:val="auto"/>
        </w:rPr>
        <w:t>EPLACEMENT</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4"/>
          <w:szCs w:val="14"/>
          <w:b w:val="1"/>
          <w:bCs w:val="1"/>
          <w:color w:val="auto"/>
        </w:rPr>
        <w:t>OTES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right="1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If a Holder of any Note claims that such Note has been mutilated, lost, destroyed or wrongfully taken, then the Company will issue, execute and deliver, and the Trustee will authenticate, in each case in accordance with </w:t>
      </w:r>
      <w:r>
        <w:rPr>
          <w:rFonts w:ascii="Times New Roman" w:cs="Times New Roman" w:eastAsia="Times New Roman" w:hAnsi="Times New Roman"/>
          <w:sz w:val="18"/>
          <w:szCs w:val="18"/>
          <w:b w:val="1"/>
          <w:bCs w:val="1"/>
          <w:color w:val="auto"/>
        </w:rPr>
        <w:t>Section 2.02</w:t>
      </w:r>
      <w:r>
        <w:rPr>
          <w:rFonts w:ascii="Times New Roman" w:cs="Times New Roman" w:eastAsia="Times New Roman" w:hAnsi="Times New Roman"/>
          <w:sz w:val="18"/>
          <w:szCs w:val="18"/>
          <w:color w:val="auto"/>
        </w:rPr>
        <w:t>, a replacement Note upon surrender to the Trustee of such mutilated Note, or upon delivery to the Trustee of evidence of such loss, destruction or wrongful taking reasonably satisfactory to the Trustee and the Company. In the case of a lost, destroyed or wrongfully taken Note, the Company and the Trustee may require the Holder thereof to provide such security or indemnity that is satisfactory to the Company and the Trustee to protect the Company and the Trustee from any loss that any of them may suffer if such Note is replaced. The Company may charge for its and the Trustee’s expenses in replacing a Note.</w:t>
      </w:r>
    </w:p>
    <w:p>
      <w:pPr>
        <w:spacing w:after="0" w:line="183" w:lineRule="exact"/>
        <w:rPr>
          <w:sz w:val="20"/>
          <w:szCs w:val="20"/>
          <w:color w:val="auto"/>
        </w:rPr>
      </w:pPr>
    </w:p>
    <w:p>
      <w:pPr>
        <w:jc w:val="both"/>
        <w:ind w:right="320" w:firstLine="440"/>
        <w:spacing w:after="0" w:line="268" w:lineRule="auto"/>
        <w:rPr>
          <w:sz w:val="20"/>
          <w:szCs w:val="20"/>
          <w:color w:val="auto"/>
        </w:rPr>
      </w:pPr>
      <w:r>
        <w:rPr>
          <w:rFonts w:ascii="Times New Roman" w:cs="Times New Roman" w:eastAsia="Times New Roman" w:hAnsi="Times New Roman"/>
          <w:sz w:val="18"/>
          <w:szCs w:val="18"/>
          <w:color w:val="auto"/>
        </w:rPr>
        <w:t xml:space="preserve">Every replacement Note issued pursuant to this </w:t>
      </w:r>
      <w:r>
        <w:rPr>
          <w:rFonts w:ascii="Times New Roman" w:cs="Times New Roman" w:eastAsia="Times New Roman" w:hAnsi="Times New Roman"/>
          <w:sz w:val="18"/>
          <w:szCs w:val="18"/>
          <w:b w:val="1"/>
          <w:bCs w:val="1"/>
          <w:color w:val="auto"/>
        </w:rPr>
        <w:t>Section 2.13</w:t>
      </w:r>
      <w:r>
        <w:rPr>
          <w:rFonts w:ascii="Times New Roman" w:cs="Times New Roman" w:eastAsia="Times New Roman" w:hAnsi="Times New Roman"/>
          <w:sz w:val="18"/>
          <w:szCs w:val="18"/>
          <w:color w:val="auto"/>
        </w:rPr>
        <w:t xml:space="preserve"> will be an additional obligation of the Company and will be entitled to all of the benefits of this Indenture equally and ratably with all other Notes issued under this Indenture, whether or not the lost, destroyed or wrongfully taken Note will at any time be enforceable by anyone.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2.14. R</w:t>
      </w:r>
      <w:r>
        <w:rPr>
          <w:rFonts w:ascii="Times New Roman" w:cs="Times New Roman" w:eastAsia="Times New Roman" w:hAnsi="Times New Roman"/>
          <w:sz w:val="14"/>
          <w:szCs w:val="14"/>
          <w:b w:val="1"/>
          <w:bCs w:val="1"/>
          <w:color w:val="auto"/>
        </w:rPr>
        <w:t>EGISTERED</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4"/>
          <w:szCs w:val="14"/>
          <w:b w:val="1"/>
          <w:bCs w:val="1"/>
          <w:color w:val="auto"/>
        </w:rPr>
        <w:t>OLDERS</w:t>
      </w:r>
      <w:r>
        <w:rPr>
          <w:rFonts w:ascii="Times New Roman" w:cs="Times New Roman" w:eastAsia="Times New Roman" w:hAnsi="Times New Roman"/>
          <w:sz w:val="18"/>
          <w:szCs w:val="18"/>
          <w:b w:val="1"/>
          <w:bCs w:val="1"/>
          <w:color w:val="auto"/>
        </w:rPr>
        <w:t>; C</w:t>
      </w:r>
      <w:r>
        <w:rPr>
          <w:rFonts w:ascii="Times New Roman" w:cs="Times New Roman" w:eastAsia="Times New Roman" w:hAnsi="Times New Roman"/>
          <w:sz w:val="14"/>
          <w:szCs w:val="14"/>
          <w:b w:val="1"/>
          <w:bCs w:val="1"/>
          <w:color w:val="auto"/>
        </w:rPr>
        <w:t>ERTAIN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IGHTS WITH</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ESPECT TO</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4"/>
          <w:szCs w:val="14"/>
          <w:b w:val="1"/>
          <w:bCs w:val="1"/>
          <w:color w:val="auto"/>
        </w:rPr>
        <w:t>LOBAL</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4"/>
          <w:szCs w:val="14"/>
          <w:b w:val="1"/>
          <w:bCs w:val="1"/>
          <w:color w:val="auto"/>
        </w:rPr>
        <w:t>OTES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Except to the extent rights under this Indenture or the Notes are expressly granted to owners of beneficial interests in any Global Note, only the Holder of a Note will have rights under this Indenture as the owner of such Note. Without limiting the generality of the foregoing, Depositary Participants will have no rights as such under this Indenture with respect to any Global Note held on their behalf by the Depositary or its nominee, or by the Trustee as its custodian, and the Company, the Guarantors, the Trustee and the Note Agents, and their respective agents, may treat the Depositary as the absolute owner of such Global Note for all purposes whatsoever;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 the Holder of any Global Note may grant proxies and otherwise authorize any</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- 26 -</w:t>
      </w:r>
    </w:p>
    <w:p>
      <w:pPr>
        <w:sectPr>
          <w:pgSz w:w="11900" w:h="16838" w:orient="portrait"/>
          <w:cols w:equalWidth="0" w:num="1">
            <w:col w:w="10980"/>
          </w:cols>
          <w:pgMar w:left="440" w:top="266" w:right="479" w:bottom="1440" w:gutter="0" w:footer="0" w:header="0"/>
        </w:sectPr>
      </w:pPr>
    </w:p>
    <w:bookmarkStart w:id="39" w:name="page40"/>
    <w:bookmarkEnd w:id="39"/>
    <w:p>
      <w:pPr>
        <w:ind w:left="4"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Person, including Depositary Participants and Persons that hold interests in Notes through Depositary Participants, to take any action that such Holder is entitled to take with respect to such Global Note under this Indenture or the Notes; and (B) the Company and the Trustee, and their respective agents, may give effect to any written certification, proxy or other authorization furnished by the Depositary.</w:t>
      </w:r>
    </w:p>
    <w:p>
      <w:pPr>
        <w:spacing w:after="0" w:line="17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2.15. C</w:t>
      </w:r>
      <w:r>
        <w:rPr>
          <w:rFonts w:ascii="Times New Roman" w:cs="Times New Roman" w:eastAsia="Times New Roman" w:hAnsi="Times New Roman"/>
          <w:sz w:val="14"/>
          <w:szCs w:val="14"/>
          <w:b w:val="1"/>
          <w:bCs w:val="1"/>
          <w:color w:val="auto"/>
        </w:rPr>
        <w:t>ANCELLATION</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 xml:space="preserve">The Company may at any time deliver Notes to the Trustee for cancellation. The Registrar, the Paying Agent and the Exchange Agent will forward to the Trustee each Note duly surrendered to them for transfer, exchange, payment or Exchange. The Trustee will promptly cancel all Notes so surrendered to it in accordance with its customary procedures. Without limiting the generality of </w:t>
      </w:r>
      <w:r>
        <w:rPr>
          <w:rFonts w:ascii="Times New Roman" w:cs="Times New Roman" w:eastAsia="Times New Roman" w:hAnsi="Times New Roman"/>
          <w:sz w:val="18"/>
          <w:szCs w:val="18"/>
          <w:b w:val="1"/>
          <w:bCs w:val="1"/>
          <w:color w:val="auto"/>
        </w:rPr>
        <w:t>Section 2.03(B</w:t>
      </w:r>
      <w:r>
        <w:rPr>
          <w:rFonts w:ascii="Times New Roman" w:cs="Times New Roman" w:eastAsia="Times New Roman" w:hAnsi="Times New Roman"/>
          <w:sz w:val="18"/>
          <w:szCs w:val="18"/>
          <w:color w:val="auto"/>
        </w:rPr>
        <w:t>), the Company may not originally issue new Notes to replace Notes that it has paid or that have been cancelled upon transfer, exchange, payment or Exchange.</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2.16. N</w:t>
      </w:r>
      <w:r>
        <w:rPr>
          <w:rFonts w:ascii="Times New Roman" w:cs="Times New Roman" w:eastAsia="Times New Roman" w:hAnsi="Times New Roman"/>
          <w:sz w:val="14"/>
          <w:szCs w:val="14"/>
          <w:b w:val="1"/>
          <w:bCs w:val="1"/>
          <w:color w:val="auto"/>
        </w:rPr>
        <w:t>OTES</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4"/>
          <w:szCs w:val="14"/>
          <w:b w:val="1"/>
          <w:bCs w:val="1"/>
          <w:color w:val="auto"/>
        </w:rPr>
        <w:t>ELD BY 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OMPANY OR ITS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FFILIATES</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ind w:left="4" w:right="260" w:firstLine="440"/>
        <w:spacing w:after="0" w:line="262" w:lineRule="auto"/>
        <w:rPr>
          <w:sz w:val="20"/>
          <w:szCs w:val="20"/>
          <w:color w:val="auto"/>
        </w:rPr>
      </w:pPr>
      <w:r>
        <w:rPr>
          <w:rFonts w:ascii="Times New Roman" w:cs="Times New Roman" w:eastAsia="Times New Roman" w:hAnsi="Times New Roman"/>
          <w:sz w:val="18"/>
          <w:szCs w:val="18"/>
          <w:color w:val="auto"/>
        </w:rPr>
        <w:t xml:space="preserve">Without limiting the generality of </w:t>
      </w:r>
      <w:r>
        <w:rPr>
          <w:rFonts w:ascii="Times New Roman" w:cs="Times New Roman" w:eastAsia="Times New Roman" w:hAnsi="Times New Roman"/>
          <w:sz w:val="18"/>
          <w:szCs w:val="18"/>
          <w:b w:val="1"/>
          <w:bCs w:val="1"/>
          <w:color w:val="auto"/>
        </w:rPr>
        <w:t>Section 2.18</w:t>
      </w:r>
      <w:r>
        <w:rPr>
          <w:rFonts w:ascii="Times New Roman" w:cs="Times New Roman" w:eastAsia="Times New Roman" w:hAnsi="Times New Roman"/>
          <w:sz w:val="18"/>
          <w:szCs w:val="18"/>
          <w:color w:val="auto"/>
        </w:rPr>
        <w:t xml:space="preserve">, in determining whether the Holders of the required aggregate principal amount of Notes have concurred in any direction, waiver or consent, Notes owned by the Company, Holdings or any of their respective Subsidiaries or Affiliates will be deemed not to be outstanding;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for purposes of determining whether the Trustee is protected in relying on any such direction, waiver or consent, only Notes that a Responsible Officer of the Trustee knows are so owned will be so disregarded.</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2.17. T</w:t>
      </w:r>
      <w:r>
        <w:rPr>
          <w:rFonts w:ascii="Times New Roman" w:cs="Times New Roman" w:eastAsia="Times New Roman" w:hAnsi="Times New Roman"/>
          <w:sz w:val="14"/>
          <w:szCs w:val="14"/>
          <w:b w:val="1"/>
          <w:bCs w:val="1"/>
          <w:color w:val="auto"/>
        </w:rPr>
        <w:t>EMPORARY</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4"/>
          <w:szCs w:val="14"/>
          <w:b w:val="1"/>
          <w:bCs w:val="1"/>
          <w:color w:val="auto"/>
        </w:rPr>
        <w:t>OTES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Until definitive Notes are ready for delivery, the Company may issue, execute and deliver, and the Trustee will authenticate, in each case in accordance with </w:t>
      </w:r>
      <w:r>
        <w:rPr>
          <w:rFonts w:ascii="Times New Roman" w:cs="Times New Roman" w:eastAsia="Times New Roman" w:hAnsi="Times New Roman"/>
          <w:sz w:val="18"/>
          <w:szCs w:val="18"/>
          <w:b w:val="1"/>
          <w:bCs w:val="1"/>
          <w:color w:val="auto"/>
        </w:rPr>
        <w:t>Section 2.02</w:t>
      </w:r>
      <w:r>
        <w:rPr>
          <w:rFonts w:ascii="Times New Roman" w:cs="Times New Roman" w:eastAsia="Times New Roman" w:hAnsi="Times New Roman"/>
          <w:sz w:val="18"/>
          <w:szCs w:val="18"/>
          <w:color w:val="auto"/>
        </w:rPr>
        <w:t xml:space="preserve">, temporary Notes. Temporary Notes will be substantially in the form of definitive Notes but may have variations that the Company considers appropriate for temporary Notes. The Company will promptly prepare, issue, execute and deliver, and the Trustee will authenticate, in each case in accordance with </w:t>
      </w:r>
      <w:r>
        <w:rPr>
          <w:rFonts w:ascii="Times New Roman" w:cs="Times New Roman" w:eastAsia="Times New Roman" w:hAnsi="Times New Roman"/>
          <w:sz w:val="18"/>
          <w:szCs w:val="18"/>
          <w:b w:val="1"/>
          <w:bCs w:val="1"/>
          <w:color w:val="auto"/>
        </w:rPr>
        <w:t>Section 2.02</w:t>
      </w:r>
      <w:r>
        <w:rPr>
          <w:rFonts w:ascii="Times New Roman" w:cs="Times New Roman" w:eastAsia="Times New Roman" w:hAnsi="Times New Roman"/>
          <w:sz w:val="18"/>
          <w:szCs w:val="18"/>
          <w:color w:val="auto"/>
        </w:rPr>
        <w:t>, definitive Notes in exchange for temporary Notes. Until so exchanged, each temporary Note will in all respects be entitled to the same benefits under this Indenture as definitive Notes.</w:t>
      </w:r>
    </w:p>
    <w:p>
      <w:pPr>
        <w:spacing w:after="0" w:line="17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2.18. O</w:t>
      </w:r>
      <w:r>
        <w:rPr>
          <w:rFonts w:ascii="Times New Roman" w:cs="Times New Roman" w:eastAsia="Times New Roman" w:hAnsi="Times New Roman"/>
          <w:sz w:val="14"/>
          <w:szCs w:val="14"/>
          <w:b w:val="1"/>
          <w:bCs w:val="1"/>
          <w:color w:val="auto"/>
        </w:rPr>
        <w:t>UTSTANDING</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4"/>
          <w:szCs w:val="14"/>
          <w:b w:val="1"/>
          <w:bCs w:val="1"/>
          <w:color w:val="auto"/>
        </w:rPr>
        <w:t>OTES</w:t>
      </w:r>
      <w:r>
        <w:rPr>
          <w:rFonts w:ascii="Times New Roman" w:cs="Times New Roman" w:eastAsia="Times New Roman" w:hAnsi="Times New Roman"/>
          <w:sz w:val="18"/>
          <w:szCs w:val="18"/>
          <w:b w:val="1"/>
          <w:bCs w:val="1"/>
          <w:color w:val="auto"/>
        </w:rPr>
        <w:t>.</w:t>
      </w:r>
    </w:p>
    <w:p>
      <w:pPr>
        <w:spacing w:after="0" w:line="119" w:lineRule="exact"/>
        <w:rPr>
          <w:sz w:val="20"/>
          <w:szCs w:val="20"/>
          <w:color w:val="auto"/>
        </w:rPr>
      </w:pPr>
    </w:p>
    <w:p>
      <w:pPr>
        <w:ind w:left="4" w:right="120" w:hanging="4"/>
        <w:spacing w:after="0" w:line="258" w:lineRule="auto"/>
        <w:tabs>
          <w:tab w:leader="none" w:pos="29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 The Notes that are outstanding at any time will be deemed to be those Notes that, at such time, have been duly executed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authenticated, excluding those Notes (or portions thereof) that have theretofore been (i) cancelled by the Trustee or delivered to the Trustee for cancellation in accordance with </w:t>
      </w:r>
      <w:r>
        <w:rPr>
          <w:rFonts w:ascii="Times New Roman" w:cs="Times New Roman" w:eastAsia="Times New Roman" w:hAnsi="Times New Roman"/>
          <w:sz w:val="18"/>
          <w:szCs w:val="18"/>
          <w:b w:val="1"/>
          <w:bCs w:val="1"/>
          <w:color w:val="auto"/>
        </w:rPr>
        <w:t>Section 2.15</w:t>
      </w:r>
      <w:r>
        <w:rPr>
          <w:rFonts w:ascii="Times New Roman" w:cs="Times New Roman" w:eastAsia="Times New Roman" w:hAnsi="Times New Roman"/>
          <w:sz w:val="18"/>
          <w:szCs w:val="18"/>
          <w:color w:val="auto"/>
        </w:rPr>
        <w:t xml:space="preserve">; (ii) assigned a principal amount of zero by notation on the “Schedule of Exchanges of Interests in the Global Note” forming part of any a Global Note representing such Note; (iii) paid in full (including upon Exchange) in accordance with this Indenture; or (iv) deemed to cease to be outstanding to the extent provided in, and subject to, </w:t>
      </w:r>
      <w:r>
        <w:rPr>
          <w:rFonts w:ascii="Times New Roman" w:cs="Times New Roman" w:eastAsia="Times New Roman" w:hAnsi="Times New Roman"/>
          <w:sz w:val="18"/>
          <w:szCs w:val="18"/>
          <w:b w:val="1"/>
          <w:bCs w:val="1"/>
          <w:color w:val="auto"/>
        </w:rPr>
        <w:t>clause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b w:val="1"/>
          <w:bCs w:val="1"/>
          <w:color w:val="auto"/>
        </w:rPr>
        <w:t>Section 2.18</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27 -</w:t>
      </w:r>
    </w:p>
    <w:p>
      <w:pPr>
        <w:sectPr>
          <w:pgSz w:w="11900" w:h="16838" w:orient="portrait"/>
          <w:cols w:equalWidth="0" w:num="1">
            <w:col w:w="10984"/>
          </w:cols>
          <w:pgMar w:left="436" w:top="270" w:right="479" w:bottom="1440" w:gutter="0" w:footer="0" w:header="0"/>
        </w:sectPr>
      </w:pPr>
    </w:p>
    <w:bookmarkStart w:id="40" w:name="page41"/>
    <w:bookmarkEnd w:id="40"/>
    <w:p>
      <w:pPr>
        <w:ind w:left="4" w:right="20" w:hanging="4"/>
        <w:spacing w:after="0" w:line="286" w:lineRule="auto"/>
        <w:tabs>
          <w:tab w:leader="none" w:pos="28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Replaced Notes</w:t>
      </w:r>
      <w:r>
        <w:rPr>
          <w:rFonts w:ascii="Times New Roman" w:cs="Times New Roman" w:eastAsia="Times New Roman" w:hAnsi="Times New Roman"/>
          <w:sz w:val="18"/>
          <w:szCs w:val="18"/>
          <w:color w:val="auto"/>
        </w:rPr>
        <w:t>. If a Note is replaced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2.13</w:t>
      </w:r>
      <w:r>
        <w:rPr>
          <w:rFonts w:ascii="Times New Roman" w:cs="Times New Roman" w:eastAsia="Times New Roman" w:hAnsi="Times New Roman"/>
          <w:sz w:val="18"/>
          <w:szCs w:val="18"/>
          <w:color w:val="auto"/>
        </w:rPr>
        <w:t>, then such Note will cease to be outstanding at the time of its replacement, unless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Trustee and the Company receive proof reasonably satisfactory to them that such Note is held by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purchaser” under applicable law.</w:t>
      </w:r>
    </w:p>
    <w:p>
      <w:pPr>
        <w:spacing w:after="0" w:line="156" w:lineRule="exact"/>
        <w:rPr>
          <w:rFonts w:ascii="Times New Roman" w:cs="Times New Roman" w:eastAsia="Times New Roman" w:hAnsi="Times New Roman"/>
          <w:sz w:val="18"/>
          <w:szCs w:val="18"/>
          <w:color w:val="auto"/>
        </w:rPr>
      </w:pPr>
    </w:p>
    <w:p>
      <w:pPr>
        <w:ind w:left="4" w:hanging="4"/>
        <w:spacing w:after="0" w:line="255" w:lineRule="auto"/>
        <w:tabs>
          <w:tab w:leader="none" w:pos="28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Maturing Notes and Notes Called for Redemption or Subject to Repurchase</w:t>
      </w:r>
      <w:r>
        <w:rPr>
          <w:rFonts w:ascii="Times New Roman" w:cs="Times New Roman" w:eastAsia="Times New Roman" w:hAnsi="Times New Roman"/>
          <w:sz w:val="18"/>
          <w:szCs w:val="18"/>
          <w:color w:val="auto"/>
        </w:rPr>
        <w:t>. If, on a Redemption Date, a Fundamental Change Repurchase Date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Maturity Date, the Paying Agent holds money sufficient to pay the aggregate Redemption Price, Fundamental Change Repurchase Price or principal amount, respectively, together, in each case, with the aggregate interest, in each case due on such date, then (unless there occurs a Default in the payment of any such amount) (i) the Notes (or portions thereof) to be redeemed or repurchased, or that mature, on such date will be deemed, as of such date, to cease to be outstanding, except to the extent provided in </w:t>
      </w:r>
      <w:r>
        <w:rPr>
          <w:rFonts w:ascii="Times New Roman" w:cs="Times New Roman" w:eastAsia="Times New Roman" w:hAnsi="Times New Roman"/>
          <w:sz w:val="18"/>
          <w:szCs w:val="18"/>
          <w:b w:val="1"/>
          <w:bCs w:val="1"/>
          <w:color w:val="auto"/>
        </w:rPr>
        <w:t>Sections 4.02(D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4.03(E</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5.02(D)</w:t>
      </w:r>
      <w:r>
        <w:rPr>
          <w:rFonts w:ascii="Times New Roman" w:cs="Times New Roman" w:eastAsia="Times New Roman" w:hAnsi="Times New Roman"/>
          <w:sz w:val="18"/>
          <w:szCs w:val="18"/>
          <w:color w:val="auto"/>
        </w:rPr>
        <w:t>; and (ii) the rights of the Holders of such Notes (or such portions thereof), as such, will terminate with respect to such Notes (or such portions thereof), other than the right to receive the Redemption Price, Fundamental Change Repurchase Price or principal amount, as applicable, of, and accrued and unpaid interest on, such Notes (or such portions thereof), in each case as provided in this Indenture.</w:t>
      </w:r>
    </w:p>
    <w:p>
      <w:pPr>
        <w:spacing w:after="0" w:line="76" w:lineRule="exact"/>
        <w:rPr>
          <w:rFonts w:ascii="Times New Roman" w:cs="Times New Roman" w:eastAsia="Times New Roman" w:hAnsi="Times New Roman"/>
          <w:sz w:val="18"/>
          <w:szCs w:val="18"/>
          <w:color w:val="auto"/>
        </w:rPr>
      </w:pPr>
    </w:p>
    <w:p>
      <w:pPr>
        <w:ind w:left="4" w:right="100" w:hanging="4"/>
        <w:spacing w:after="0" w:line="262" w:lineRule="auto"/>
        <w:tabs>
          <w:tab w:leader="none" w:pos="29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Notes to Be Exchanged</w:t>
      </w:r>
      <w:r>
        <w:rPr>
          <w:rFonts w:ascii="Times New Roman" w:cs="Times New Roman" w:eastAsia="Times New Roman" w:hAnsi="Times New Roman"/>
          <w:sz w:val="18"/>
          <w:szCs w:val="18"/>
          <w:color w:val="auto"/>
        </w:rPr>
        <w:t>. At the Close of Business on the Exchange Date for any Note (or any portion thereof) to be Exchanged, such Note (or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portion) will (unless there occurs a Default in the delivery of the Exchange Consideration or interest due, pursuant to </w:t>
      </w:r>
      <w:r>
        <w:rPr>
          <w:rFonts w:ascii="Times New Roman" w:cs="Times New Roman" w:eastAsia="Times New Roman" w:hAnsi="Times New Roman"/>
          <w:sz w:val="18"/>
          <w:szCs w:val="18"/>
          <w:b w:val="1"/>
          <w:bCs w:val="1"/>
          <w:color w:val="auto"/>
        </w:rPr>
        <w:t>Section 5.03(B</w:t>
      </w:r>
      <w:r>
        <w:rPr>
          <w:rFonts w:ascii="Times New Roman" w:cs="Times New Roman" w:eastAsia="Times New Roman" w:hAnsi="Times New Roman"/>
          <w:sz w:val="18"/>
          <w:szCs w:val="18"/>
          <w:color w:val="auto"/>
        </w:rPr>
        <w:t>) or</w:t>
      </w: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Section 5.02(D)</w:t>
      </w:r>
      <w:r>
        <w:rPr>
          <w:rFonts w:ascii="Times New Roman" w:cs="Times New Roman" w:eastAsia="Times New Roman" w:hAnsi="Times New Roman"/>
          <w:sz w:val="18"/>
          <w:szCs w:val="18"/>
          <w:color w:val="auto"/>
        </w:rPr>
        <w:t>, upon such Exchange) be deemed to cease to be outstanding, except to the extent provided in</w:t>
      </w:r>
      <w:r>
        <w:rPr>
          <w:rFonts w:ascii="Times New Roman" w:cs="Times New Roman" w:eastAsia="Times New Roman" w:hAnsi="Times New Roman"/>
          <w:sz w:val="18"/>
          <w:szCs w:val="18"/>
          <w:b w:val="1"/>
          <w:bCs w:val="1"/>
          <w:color w:val="auto"/>
        </w:rPr>
        <w:t xml:space="preserve"> Section 5.02(D)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Section 5.08</w:t>
      </w:r>
      <w:r>
        <w:rPr>
          <w:rFonts w:ascii="Times New Roman" w:cs="Times New Roman" w:eastAsia="Times New Roman" w:hAnsi="Times New Roman"/>
          <w:sz w:val="18"/>
          <w:szCs w:val="18"/>
          <w:color w:val="auto"/>
        </w:rPr>
        <w:t>.</w:t>
      </w:r>
    </w:p>
    <w:p>
      <w:pPr>
        <w:spacing w:after="0" w:line="94" w:lineRule="exact"/>
        <w:rPr>
          <w:rFonts w:ascii="Times New Roman" w:cs="Times New Roman" w:eastAsia="Times New Roman" w:hAnsi="Times New Roman"/>
          <w:sz w:val="18"/>
          <w:szCs w:val="18"/>
          <w:color w:val="auto"/>
        </w:rPr>
      </w:pPr>
    </w:p>
    <w:p>
      <w:pPr>
        <w:jc w:val="both"/>
        <w:ind w:left="4" w:right="180" w:hanging="4"/>
        <w:spacing w:after="0" w:line="268" w:lineRule="auto"/>
        <w:tabs>
          <w:tab w:leader="none" w:pos="27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Cessation of Accrual of Interest</w:t>
      </w:r>
      <w:r>
        <w:rPr>
          <w:rFonts w:ascii="Times New Roman" w:cs="Times New Roman" w:eastAsia="Times New Roman" w:hAnsi="Times New Roman"/>
          <w:sz w:val="18"/>
          <w:szCs w:val="18"/>
          <w:color w:val="auto"/>
        </w:rPr>
        <w:t>. Except as provided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Sections 4.02(D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4.03(E</w:t>
      </w:r>
      <w:r>
        <w:rPr>
          <w:rFonts w:ascii="Times New Roman" w:cs="Times New Roman" w:eastAsia="Times New Roman" w:hAnsi="Times New Roman"/>
          <w:sz w:val="18"/>
          <w:szCs w:val="18"/>
          <w:color w:val="auto"/>
        </w:rPr>
        <w: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5.02(D)</w:t>
      </w:r>
      <w:r>
        <w:rPr>
          <w:rFonts w:ascii="Times New Roman" w:cs="Times New Roman" w:eastAsia="Times New Roman" w:hAnsi="Times New Roman"/>
          <w:sz w:val="18"/>
          <w:szCs w:val="18"/>
          <w:color w:val="auto"/>
        </w:rPr>
        <w:t>, interest will cease to accrue on each Note from,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including, the date that such Note is deemed, pursuant to this </w:t>
      </w:r>
      <w:r>
        <w:rPr>
          <w:rFonts w:ascii="Times New Roman" w:cs="Times New Roman" w:eastAsia="Times New Roman" w:hAnsi="Times New Roman"/>
          <w:sz w:val="18"/>
          <w:szCs w:val="18"/>
          <w:b w:val="1"/>
          <w:bCs w:val="1"/>
          <w:color w:val="auto"/>
        </w:rPr>
        <w:t>Section 2.18</w:t>
      </w:r>
      <w:r>
        <w:rPr>
          <w:rFonts w:ascii="Times New Roman" w:cs="Times New Roman" w:eastAsia="Times New Roman" w:hAnsi="Times New Roman"/>
          <w:sz w:val="18"/>
          <w:szCs w:val="18"/>
          <w:color w:val="auto"/>
        </w:rPr>
        <w:t>, to cease to be outstanding, unless there occurs a default in the payment or delivery of any cash or other property due on such Note.</w:t>
      </w:r>
    </w:p>
    <w:p>
      <w:pPr>
        <w:spacing w:after="0" w:line="17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2.19. R</w:t>
      </w:r>
      <w:r>
        <w:rPr>
          <w:rFonts w:ascii="Times New Roman" w:cs="Times New Roman" w:eastAsia="Times New Roman" w:hAnsi="Times New Roman"/>
          <w:sz w:val="14"/>
          <w:szCs w:val="14"/>
          <w:b w:val="1"/>
          <w:bCs w:val="1"/>
          <w:color w:val="auto"/>
        </w:rPr>
        <w:t>EPURCHASES BY 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OMPANY</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ind w:left="4" w:right="40" w:firstLine="440"/>
        <w:spacing w:after="0" w:line="286" w:lineRule="auto"/>
        <w:rPr>
          <w:sz w:val="20"/>
          <w:szCs w:val="20"/>
          <w:color w:val="auto"/>
        </w:rPr>
      </w:pPr>
      <w:r>
        <w:rPr>
          <w:rFonts w:ascii="Times New Roman" w:cs="Times New Roman" w:eastAsia="Times New Roman" w:hAnsi="Times New Roman"/>
          <w:sz w:val="18"/>
          <w:szCs w:val="18"/>
          <w:color w:val="auto"/>
        </w:rPr>
        <w:t xml:space="preserve">Without limiting the generality of </w:t>
      </w:r>
      <w:r>
        <w:rPr>
          <w:rFonts w:ascii="Times New Roman" w:cs="Times New Roman" w:eastAsia="Times New Roman" w:hAnsi="Times New Roman"/>
          <w:sz w:val="18"/>
          <w:szCs w:val="18"/>
          <w:b w:val="1"/>
          <w:bCs w:val="1"/>
          <w:color w:val="auto"/>
        </w:rPr>
        <w:t>Section 2.15</w:t>
      </w:r>
      <w:r>
        <w:rPr>
          <w:rFonts w:ascii="Times New Roman" w:cs="Times New Roman" w:eastAsia="Times New Roman" w:hAnsi="Times New Roman"/>
          <w:sz w:val="18"/>
          <w:szCs w:val="18"/>
          <w:color w:val="auto"/>
        </w:rPr>
        <w:t>, subject to applicable law, the Company, Holdings or their respective Subsidiaries may, from time to time, repurchase Notes in open market purchases or in negotiated transactions without delivering prior notice to Holders.</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Section 2.20. CUSIP </w:t>
      </w:r>
      <w:r>
        <w:rPr>
          <w:rFonts w:ascii="Times New Roman" w:cs="Times New Roman" w:eastAsia="Times New Roman" w:hAnsi="Times New Roman"/>
          <w:sz w:val="14"/>
          <w:szCs w:val="14"/>
          <w:b w:val="1"/>
          <w:bCs w:val="1"/>
          <w:color w:val="auto"/>
        </w:rPr>
        <w:t>AND</w:t>
      </w:r>
      <w:r>
        <w:rPr>
          <w:rFonts w:ascii="Times New Roman" w:cs="Times New Roman" w:eastAsia="Times New Roman" w:hAnsi="Times New Roman"/>
          <w:sz w:val="18"/>
          <w:szCs w:val="18"/>
          <w:b w:val="1"/>
          <w:bCs w:val="1"/>
          <w:color w:val="auto"/>
        </w:rPr>
        <w:t xml:space="preserve"> ISIN N</w:t>
      </w:r>
      <w:r>
        <w:rPr>
          <w:rFonts w:ascii="Times New Roman" w:cs="Times New Roman" w:eastAsia="Times New Roman" w:hAnsi="Times New Roman"/>
          <w:sz w:val="14"/>
          <w:szCs w:val="14"/>
          <w:b w:val="1"/>
          <w:bCs w:val="1"/>
          <w:color w:val="auto"/>
        </w:rPr>
        <w:t>UMBERS</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ind w:left="4" w:firstLine="440"/>
        <w:spacing w:after="0" w:line="259" w:lineRule="auto"/>
        <w:rPr>
          <w:sz w:val="20"/>
          <w:szCs w:val="20"/>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b w:val="1"/>
          <w:bCs w:val="1"/>
          <w:color w:val="auto"/>
        </w:rPr>
        <w:t>Section 2.12</w:t>
      </w:r>
      <w:r>
        <w:rPr>
          <w:rFonts w:ascii="Times New Roman" w:cs="Times New Roman" w:eastAsia="Times New Roman" w:hAnsi="Times New Roman"/>
          <w:sz w:val="18"/>
          <w:szCs w:val="18"/>
          <w:color w:val="auto"/>
        </w:rPr>
        <w:t xml:space="preserve">, the Company may use one or more CUSIP or ISIN numbers to identify any of the Notes, and, if so, the Company and the Trustee will use such CUSIP or ISIN number(s) in notices to 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 the Trustee makes no representation as to the correctness or accuracy of any such CUSIP or ISIN number; and (ii) the effectiveness of any such notice will not be affected by any defect in, or omission of, any such CUSIP or ISIN number. The Company will promptly notify the Trustee of any change in the CUSIP or ISIN number(s) identifying any Notes.</w:t>
      </w:r>
    </w:p>
    <w:p>
      <w:pPr>
        <w:spacing w:after="0" w:line="116"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- 28 -</w:t>
      </w:r>
    </w:p>
    <w:p>
      <w:pPr>
        <w:sectPr>
          <w:pgSz w:w="11900" w:h="16838" w:orient="portrait"/>
          <w:cols w:equalWidth="0" w:num="1">
            <w:col w:w="10944"/>
          </w:cols>
          <w:pgMar w:left="436" w:top="266" w:right="519" w:bottom="1440" w:gutter="0" w:footer="0" w:header="0"/>
        </w:sectPr>
      </w:pPr>
    </w:p>
    <w:bookmarkStart w:id="41" w:name="page42"/>
    <w:bookmarkEnd w:id="41"/>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3. COVENANTS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3.01. P</w:t>
      </w:r>
      <w:r>
        <w:rPr>
          <w:rFonts w:ascii="Times New Roman" w:cs="Times New Roman" w:eastAsia="Times New Roman" w:hAnsi="Times New Roman"/>
          <w:sz w:val="14"/>
          <w:szCs w:val="14"/>
          <w:b w:val="1"/>
          <w:bCs w:val="1"/>
          <w:color w:val="auto"/>
        </w:rPr>
        <w:t>AYMENT ON</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4"/>
          <w:szCs w:val="14"/>
          <w:b w:val="1"/>
          <w:bCs w:val="1"/>
          <w:color w:val="auto"/>
        </w:rPr>
        <w:t>OTES</w:t>
      </w:r>
      <w:r>
        <w:rPr>
          <w:rFonts w:ascii="Times New Roman" w:cs="Times New Roman" w:eastAsia="Times New Roman" w:hAnsi="Times New Roman"/>
          <w:sz w:val="18"/>
          <w:szCs w:val="18"/>
          <w:b w:val="1"/>
          <w:bCs w:val="1"/>
          <w:color w:val="auto"/>
        </w:rPr>
        <w:t>.</w:t>
      </w:r>
    </w:p>
    <w:p>
      <w:pPr>
        <w:spacing w:after="0" w:line="119" w:lineRule="exact"/>
        <w:rPr>
          <w:sz w:val="20"/>
          <w:szCs w:val="20"/>
          <w:color w:val="auto"/>
        </w:rPr>
      </w:pPr>
    </w:p>
    <w:p>
      <w:pPr>
        <w:ind w:left="4" w:right="360" w:hanging="4"/>
        <w:spacing w:after="0" w:line="284" w:lineRule="auto"/>
        <w:tabs>
          <w:tab w:leader="none" w:pos="29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 The Company will pay or cause to be paid all the principal of, the Fundamental Change Repurchase Price and Redemption Price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on, and other amounts due with respect to, the Notes on the dates and in the manner set forth in this Indenture.</w:t>
      </w:r>
    </w:p>
    <w:p>
      <w:pPr>
        <w:spacing w:after="0" w:line="50" w:lineRule="exact"/>
        <w:rPr>
          <w:rFonts w:ascii="Times New Roman" w:cs="Times New Roman" w:eastAsia="Times New Roman" w:hAnsi="Times New Roman"/>
          <w:sz w:val="18"/>
          <w:szCs w:val="18"/>
          <w:color w:val="auto"/>
        </w:rPr>
      </w:pPr>
    </w:p>
    <w:p>
      <w:pPr>
        <w:ind w:left="4" w:right="200" w:hanging="4"/>
        <w:spacing w:after="0" w:line="261" w:lineRule="auto"/>
        <w:tabs>
          <w:tab w:leader="none" w:pos="28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Deposit of Funds</w:t>
      </w:r>
      <w:r>
        <w:rPr>
          <w:rFonts w:ascii="Times New Roman" w:cs="Times New Roman" w:eastAsia="Times New Roman" w:hAnsi="Times New Roman"/>
          <w:sz w:val="18"/>
          <w:szCs w:val="18"/>
          <w:color w:val="auto"/>
        </w:rPr>
        <w:t>. Before 11:00 A.M., New York City time, on each Redemption Date, Fundamental Change Repurchase Date or Interest Payment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and on the Maturity Date or any other date on which any cash amount is due on the Notes, the Company will deposit, or will cause there to be deposited, with the Paying Agent cash, in funds immediately available on such date, sufficient to pay the cash amount due on the applicable Notes on such date. The Paying Agent will return to the Company, as soon as practicable, any money not required for such purpose.</w:t>
      </w:r>
    </w:p>
    <w:p>
      <w:pPr>
        <w:spacing w:after="0" w:line="17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3.02. E</w:t>
      </w:r>
      <w:r>
        <w:rPr>
          <w:rFonts w:ascii="Times New Roman" w:cs="Times New Roman" w:eastAsia="Times New Roman" w:hAnsi="Times New Roman"/>
          <w:sz w:val="14"/>
          <w:szCs w:val="14"/>
          <w:b w:val="1"/>
          <w:bCs w:val="1"/>
          <w:color w:val="auto"/>
        </w:rPr>
        <w:t>XCHANGE</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CT</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EPORTS</w:t>
      </w:r>
      <w:r>
        <w:rPr>
          <w:rFonts w:ascii="Times New Roman" w:cs="Times New Roman" w:eastAsia="Times New Roman" w:hAnsi="Times New Roman"/>
          <w:sz w:val="18"/>
          <w:szCs w:val="18"/>
          <w:b w:val="1"/>
          <w:bCs w:val="1"/>
          <w:color w:val="auto"/>
        </w:rPr>
        <w:t>.</w:t>
      </w:r>
    </w:p>
    <w:p>
      <w:pPr>
        <w:spacing w:after="0" w:line="119" w:lineRule="exact"/>
        <w:rPr>
          <w:sz w:val="20"/>
          <w:szCs w:val="20"/>
          <w:color w:val="auto"/>
        </w:rPr>
      </w:pPr>
    </w:p>
    <w:p>
      <w:pPr>
        <w:ind w:left="4" w:right="20" w:hanging="4"/>
        <w:spacing w:after="0" w:line="255" w:lineRule="auto"/>
        <w:tabs>
          <w:tab w:leader="none" w:pos="29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 The Company will send to the Trustee copies of all reports that Holdings is required to file with the SEC pursuant to Section 13(a)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15(d) of the Exchange Act (other than current reports on Form 8-K (or any successor form)) within fifteen (15) calendar days after the date that Holdings is required to file the same (after giving effect to all applicable grace periods under the Exchange Act);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Company need not send to the Trustee any material for which Holdings has received, or is seeking in good faith and has not been denied, confidential treatment by the SEC. Any report that Holdings files with the SEC through the EDGAR system (or any successor thereto) will be deemed to be sent to the Trustee at the time such report is so filed via the EDGAR system (or such successor). Upon the request of any Holder, the Trustee will provide to such Holder a copy of any report that the Company has sent the Trustee pursuant to this </w:t>
      </w:r>
      <w:r>
        <w:rPr>
          <w:rFonts w:ascii="Times New Roman" w:cs="Times New Roman" w:eastAsia="Times New Roman" w:hAnsi="Times New Roman"/>
          <w:sz w:val="18"/>
          <w:szCs w:val="18"/>
          <w:b w:val="1"/>
          <w:bCs w:val="1"/>
          <w:color w:val="auto"/>
        </w:rPr>
        <w:t>Section 3.02(A</w:t>
      </w:r>
      <w:r>
        <w:rPr>
          <w:rFonts w:ascii="Times New Roman" w:cs="Times New Roman" w:eastAsia="Times New Roman" w:hAnsi="Times New Roman"/>
          <w:sz w:val="18"/>
          <w:szCs w:val="18"/>
          <w:color w:val="auto"/>
        </w:rPr>
        <w:t>), other than a report that is deemed to be sent to the Trustee pursuant to the preceding sentence.</w:t>
      </w:r>
    </w:p>
    <w:p>
      <w:pPr>
        <w:spacing w:after="0" w:line="76" w:lineRule="exact"/>
        <w:rPr>
          <w:rFonts w:ascii="Times New Roman" w:cs="Times New Roman" w:eastAsia="Times New Roman" w:hAnsi="Times New Roman"/>
          <w:sz w:val="18"/>
          <w:szCs w:val="18"/>
          <w:color w:val="auto"/>
        </w:rPr>
      </w:pPr>
    </w:p>
    <w:p>
      <w:pPr>
        <w:ind w:left="4" w:right="100" w:hanging="4"/>
        <w:spacing w:after="0" w:line="290" w:lineRule="auto"/>
        <w:tabs>
          <w:tab w:leader="none" w:pos="289"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Trustee’s Disclaimer</w:t>
      </w:r>
      <w:r>
        <w:rPr>
          <w:rFonts w:ascii="Times New Roman" w:cs="Times New Roman" w:eastAsia="Times New Roman" w:hAnsi="Times New Roman"/>
          <w:sz w:val="17"/>
          <w:szCs w:val="17"/>
          <w:color w:val="auto"/>
        </w:rPr>
        <w:t>. The Trustee need not determine whether the Company has filed any material via the EDGAR system (or such successor).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sending or filing of reports pursuant to </w:t>
      </w:r>
      <w:r>
        <w:rPr>
          <w:rFonts w:ascii="Times New Roman" w:cs="Times New Roman" w:eastAsia="Times New Roman" w:hAnsi="Times New Roman"/>
          <w:sz w:val="17"/>
          <w:szCs w:val="17"/>
          <w:b w:val="1"/>
          <w:bCs w:val="1"/>
          <w:color w:val="auto"/>
        </w:rPr>
        <w:t>Section 3.02(A</w:t>
      </w:r>
      <w:r>
        <w:rPr>
          <w:rFonts w:ascii="Times New Roman" w:cs="Times New Roman" w:eastAsia="Times New Roman" w:hAnsi="Times New Roman"/>
          <w:sz w:val="17"/>
          <w:szCs w:val="17"/>
          <w:color w:val="auto"/>
        </w:rPr>
        <w:t>) will not be deemed to constitute actual or constructive notice to the Trustee of any information contained, or determinable from information contained, therein, including the Company’s compliance with any of its covenants under this Indenture.</w:t>
      </w:r>
    </w:p>
    <w:p>
      <w:pPr>
        <w:spacing w:after="0" w:line="15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3.03. R</w:t>
      </w:r>
      <w:r>
        <w:rPr>
          <w:rFonts w:ascii="Times New Roman" w:cs="Times New Roman" w:eastAsia="Times New Roman" w:hAnsi="Times New Roman"/>
          <w:sz w:val="14"/>
          <w:szCs w:val="14"/>
          <w:b w:val="1"/>
          <w:bCs w:val="1"/>
          <w:color w:val="auto"/>
        </w:rPr>
        <w:t>ULE</w:t>
      </w:r>
      <w:r>
        <w:rPr>
          <w:rFonts w:ascii="Times New Roman" w:cs="Times New Roman" w:eastAsia="Times New Roman" w:hAnsi="Times New Roman"/>
          <w:sz w:val="18"/>
          <w:szCs w:val="18"/>
          <w:b w:val="1"/>
          <w:bCs w:val="1"/>
          <w:color w:val="auto"/>
        </w:rPr>
        <w:t xml:space="preserve"> 144A I</w:t>
      </w:r>
      <w:r>
        <w:rPr>
          <w:rFonts w:ascii="Times New Roman" w:cs="Times New Roman" w:eastAsia="Times New Roman" w:hAnsi="Times New Roman"/>
          <w:sz w:val="14"/>
          <w:szCs w:val="14"/>
          <w:b w:val="1"/>
          <w:bCs w:val="1"/>
          <w:color w:val="auto"/>
        </w:rPr>
        <w:t>NFORMATION</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At any time when any Notes or shares of Common Stock deliverable upon Exchange of the Notes are outstanding and constitute “restricted securities” (as defined in Rule 144), then the Company and Holdings (or the Company’s or Holdings’ successors, as applicable) will promptly provide, to the Trustee and, upon written request, to any Holder, beneficial owner or prospective purchaser of such Notes or shares, the information required to be delivered pursuant to Rule 144A(d)(4) under the Securities Act to facilitate the resale of such Notes or shares pursuant to Rule 144A, but only to the extent the same is required for such Notes or shares to be eligible for resale pursuant to Rule 144A.</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- 29 -</w:t>
      </w:r>
    </w:p>
    <w:p>
      <w:pPr>
        <w:sectPr>
          <w:pgSz w:w="11900" w:h="16838" w:orient="portrait"/>
          <w:cols w:equalWidth="0" w:num="1">
            <w:col w:w="11004"/>
          </w:cols>
          <w:pgMar w:left="436" w:top="266" w:right="459" w:bottom="1440" w:gutter="0" w:footer="0" w:header="0"/>
        </w:sectPr>
      </w:pPr>
    </w:p>
    <w:bookmarkStart w:id="42" w:name="page43"/>
    <w:bookmarkEnd w:id="42"/>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3.04. A</w:t>
      </w:r>
      <w:r>
        <w:rPr>
          <w:rFonts w:ascii="Times New Roman" w:cs="Times New Roman" w:eastAsia="Times New Roman" w:hAnsi="Times New Roman"/>
          <w:sz w:val="14"/>
          <w:szCs w:val="14"/>
          <w:b w:val="1"/>
          <w:bCs w:val="1"/>
          <w:color w:val="auto"/>
        </w:rPr>
        <w:t>DDITIONAL</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NTEREST</w:t>
      </w:r>
      <w:r>
        <w:rPr>
          <w:rFonts w:ascii="Times New Roman" w:cs="Times New Roman" w:eastAsia="Times New Roman" w:hAnsi="Times New Roman"/>
          <w:sz w:val="18"/>
          <w:szCs w:val="18"/>
          <w:b w:val="1"/>
          <w:bCs w:val="1"/>
          <w:color w:val="auto"/>
        </w:rPr>
        <w:t>.</w:t>
      </w:r>
    </w:p>
    <w:p>
      <w:pPr>
        <w:spacing w:after="0" w:line="119" w:lineRule="exact"/>
        <w:rPr>
          <w:sz w:val="20"/>
          <w:szCs w:val="20"/>
          <w:color w:val="auto"/>
        </w:rPr>
      </w:pPr>
    </w:p>
    <w:p>
      <w:pPr>
        <w:ind w:left="304" w:hanging="304"/>
        <w:spacing w:after="0"/>
        <w:tabs>
          <w:tab w:leader="none" w:pos="30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Accrual of Additional Interest</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4" w:right="240" w:hanging="4"/>
        <w:spacing w:after="0" w:line="282" w:lineRule="auto"/>
        <w:tabs>
          <w:tab w:leader="none" w:pos="219"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during the six (6)-month period beginning on, and including, the date that is six (6) months after the Last Original Issue Date of any Note,</w:t>
      </w:r>
    </w:p>
    <w:p>
      <w:pPr>
        <w:spacing w:after="0" w:line="53" w:lineRule="exact"/>
        <w:rPr>
          <w:rFonts w:ascii="Times New Roman" w:cs="Times New Roman" w:eastAsia="Times New Roman" w:hAnsi="Times New Roman"/>
          <w:sz w:val="18"/>
          <w:szCs w:val="18"/>
          <w:color w:val="auto"/>
        </w:rPr>
      </w:pPr>
    </w:p>
    <w:p>
      <w:pPr>
        <w:ind w:left="984" w:right="240" w:firstLine="408"/>
        <w:spacing w:after="0" w:line="282" w:lineRule="auto"/>
        <w:tabs>
          <w:tab w:leader="none" w:pos="164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Holdings fails to timely file any report (other than Form 8-K reports) that Holdings is required to file with the SEC pursuant to Section 13 or 15(d) of the Exchange Act (after giving effect to all applicable grace periods thereunder); or</w:t>
      </w:r>
    </w:p>
    <w:p>
      <w:pPr>
        <w:spacing w:after="0" w:line="53" w:lineRule="exact"/>
        <w:rPr>
          <w:rFonts w:ascii="Times New Roman" w:cs="Times New Roman" w:eastAsia="Times New Roman" w:hAnsi="Times New Roman"/>
          <w:sz w:val="18"/>
          <w:szCs w:val="18"/>
          <w:color w:val="auto"/>
        </w:rPr>
      </w:pPr>
    </w:p>
    <w:p>
      <w:pPr>
        <w:ind w:left="1644" w:hanging="252"/>
        <w:spacing w:after="0"/>
        <w:tabs>
          <w:tab w:leader="none" w:pos="164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Note is not otherwise Freely Tradable,</w:t>
      </w:r>
    </w:p>
    <w:p>
      <w:pPr>
        <w:spacing w:after="0" w:line="225" w:lineRule="exact"/>
        <w:rPr>
          <w:sz w:val="20"/>
          <w:szCs w:val="20"/>
          <w:color w:val="auto"/>
        </w:rPr>
      </w:pPr>
    </w:p>
    <w:p>
      <w:pPr>
        <w:ind w:left="4" w:right="640"/>
        <w:spacing w:after="0" w:line="282" w:lineRule="auto"/>
        <w:rPr>
          <w:sz w:val="20"/>
          <w:szCs w:val="20"/>
          <w:color w:val="auto"/>
        </w:rPr>
      </w:pPr>
      <w:r>
        <w:rPr>
          <w:rFonts w:ascii="Times New Roman" w:cs="Times New Roman" w:eastAsia="Times New Roman" w:hAnsi="Times New Roman"/>
          <w:sz w:val="18"/>
          <w:szCs w:val="18"/>
          <w:color w:val="auto"/>
        </w:rPr>
        <w:t>then Additional Interest will accrue on such Note for each day during such period on which such failure is continuing or such Note is not Freely Tradable.</w:t>
      </w:r>
    </w:p>
    <w:p>
      <w:pPr>
        <w:spacing w:after="0" w:line="54" w:lineRule="exact"/>
        <w:rPr>
          <w:sz w:val="20"/>
          <w:szCs w:val="20"/>
          <w:color w:val="auto"/>
        </w:rPr>
      </w:pPr>
    </w:p>
    <w:p>
      <w:pPr>
        <w:ind w:left="4" w:hanging="4"/>
        <w:spacing w:after="0" w:line="253" w:lineRule="auto"/>
        <w:tabs>
          <w:tab w:leader="none" w:pos="26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Additional Interest will accrue on a Note on each day on which such Note is not Freely Tradable on or after the De-Legending Deadline Date for such Note;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no additional interest shall be owed until the fifteenth Business Day following written notification to the Company by any Holder or beneficial owner requesting that the Company comply with its obligations described in this </w:t>
      </w:r>
      <w:r>
        <w:rPr>
          <w:rFonts w:ascii="Times New Roman" w:cs="Times New Roman" w:eastAsia="Times New Roman" w:hAnsi="Times New Roman"/>
          <w:sz w:val="18"/>
          <w:szCs w:val="18"/>
          <w:b w:val="1"/>
          <w:bCs w:val="1"/>
          <w:color w:val="auto"/>
        </w:rPr>
        <w:t>Section 3.04(A)(ii)</w:t>
      </w:r>
      <w:r>
        <w:rPr>
          <w:rFonts w:ascii="Times New Roman" w:cs="Times New Roman" w:eastAsia="Times New Roman" w:hAnsi="Times New Roman"/>
          <w:sz w:val="18"/>
          <w:szCs w:val="18"/>
          <w:color w:val="auto"/>
        </w:rPr>
        <w:t xml:space="preserve"> (which notice may be given at any time after the 330th day after the Last Original Issue Date of the Initial Notes or any additional Notes, as the case may be, but in all cases must be given no later than the Regular Record Date immediately preceding the Maturity Date), it being understood and agreed that in no event shall Additional Interest be owed for any period prior to the 380th day after the Last Original Issue Date of the Initial Notes or any additional Notes, as the case may be. Notwithstanding anything to the contrary in this Indenture or the Notes, with respect to any accrued Additional Interest, in the event that no Holder or beneficial owner has provided to the Company the notice described in the preceding sentence by the Close of Business on the Regular Record Date immediately preceding the Maturity Date, then such Additional Interest shall cease to accrue and shall be deemed to be extinguished on the Maturity Date (or, if later, the first date on which the Company has repaid the principal of, and accrued and unpaid interest (other than such Additional Interest) on, the Notes in full).</w:t>
      </w:r>
    </w:p>
    <w:p>
      <w:pPr>
        <w:spacing w:after="0" w:line="80" w:lineRule="exact"/>
        <w:rPr>
          <w:sz w:val="20"/>
          <w:szCs w:val="20"/>
          <w:color w:val="auto"/>
        </w:rPr>
      </w:pPr>
    </w:p>
    <w:p>
      <w:pPr>
        <w:ind w:left="4" w:right="40" w:hanging="4"/>
        <w:spacing w:after="0" w:line="256" w:lineRule="auto"/>
        <w:tabs>
          <w:tab w:leader="none" w:pos="28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Amount and Payment of Additional Interest</w:t>
      </w:r>
      <w:r>
        <w:rPr>
          <w:rFonts w:ascii="Times New Roman" w:cs="Times New Roman" w:eastAsia="Times New Roman" w:hAnsi="Times New Roman"/>
          <w:sz w:val="18"/>
          <w:szCs w:val="18"/>
          <w:color w:val="auto"/>
        </w:rPr>
        <w:t>. Any Additional Interest that accrues on a Note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3.04(A</w:t>
      </w:r>
      <w:r>
        <w:rPr>
          <w:rFonts w:ascii="Times New Roman" w:cs="Times New Roman" w:eastAsia="Times New Roman" w:hAnsi="Times New Roman"/>
          <w:sz w:val="18"/>
          <w:szCs w:val="18"/>
          <w:color w:val="auto"/>
        </w:rPr>
        <w:t>) will be payable on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dates and in the same manner as the Stated Interest on such Note and will accrue at a rate per annum equal to one quarter of one percent (0.25%) of the principal amount thereof for the first ninety (90) days on which Additional Interest accrues and, thereafter, at a rate per annum equal to one half of one percent (0.50%) of the principal amount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no event will Additional Interest, together with any Special Interest, accrue on any day on a Note at a combined rate per annum that exceeds one half of one percent (0.50%). For the avoidance of doubt, any Additional Interest that accrues on a Note will be in addition to the Stated Interest that accrues on such Note and, subject to the proviso of the immediately preceding sentence, in addition to any Special Interest that accrues on such Note.</w:t>
      </w:r>
    </w:p>
    <w:p>
      <w:pPr>
        <w:spacing w:after="0" w:line="119"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w:t>
      </w:r>
    </w:p>
    <w:p>
      <w:pPr>
        <w:sectPr>
          <w:pgSz w:w="11900" w:h="16838" w:orient="portrait"/>
          <w:cols w:equalWidth="0" w:num="1">
            <w:col w:w="11004"/>
          </w:cols>
          <w:pgMar w:left="436" w:top="266" w:right="459" w:bottom="1440" w:gutter="0" w:footer="0" w:header="0"/>
        </w:sectPr>
      </w:pPr>
    </w:p>
    <w:bookmarkStart w:id="43" w:name="page44"/>
    <w:bookmarkEnd w:id="43"/>
    <w:p>
      <w:pPr>
        <w:ind w:left="4" w:right="40" w:hanging="4"/>
        <w:spacing w:after="0" w:line="257" w:lineRule="auto"/>
        <w:tabs>
          <w:tab w:leader="none" w:pos="28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 of Accrual of Additional Interest; Trustee’s Disclaimer</w:t>
      </w:r>
      <w:r>
        <w:rPr>
          <w:rFonts w:ascii="Times New Roman" w:cs="Times New Roman" w:eastAsia="Times New Roman" w:hAnsi="Times New Roman"/>
          <w:sz w:val="18"/>
          <w:szCs w:val="18"/>
          <w:color w:val="auto"/>
        </w:rPr>
        <w:t>. The Company will send written notice to the Holder of each Note, and to the Trustee,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commencement and termination of any period in which Additional Interest accrues on such Note. In addition, if Additional Interest accrues on any Note, then, no later than five (5) Business Days before each date on which such Additional Interest is to be paid, the Company will deliver an Officer’s Certificate to the Trustee and the Paying Agent stating (i) that the Company is obligated to pay Additional Interest on such Note on such date of payment; and (ii) the amount of such Additional Interest that is payable on such date of payment. The Trustee will have no duty to determine whether any Additional Interest is payable or the amount thereof.</w:t>
      </w:r>
    </w:p>
    <w:p>
      <w:pPr>
        <w:spacing w:after="0" w:line="74" w:lineRule="exact"/>
        <w:rPr>
          <w:rFonts w:ascii="Times New Roman" w:cs="Times New Roman" w:eastAsia="Times New Roman" w:hAnsi="Times New Roman"/>
          <w:sz w:val="18"/>
          <w:szCs w:val="18"/>
          <w:color w:val="auto"/>
        </w:rPr>
      </w:pPr>
    </w:p>
    <w:p>
      <w:pPr>
        <w:ind w:left="4" w:right="420" w:hanging="4"/>
        <w:spacing w:after="0" w:line="284" w:lineRule="auto"/>
        <w:tabs>
          <w:tab w:leader="none" w:pos="29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Exclusive Remedy</w:t>
      </w:r>
      <w:r>
        <w:rPr>
          <w:rFonts w:ascii="Times New Roman" w:cs="Times New Roman" w:eastAsia="Times New Roman" w:hAnsi="Times New Roman"/>
          <w:sz w:val="18"/>
          <w:szCs w:val="18"/>
          <w:color w:val="auto"/>
        </w:rPr>
        <w:t>. The accrual of Additional Interest will be the exclusive remedy available to Holders for the failure of their Notes to become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Freely Tradable.</w:t>
      </w:r>
    </w:p>
    <w:p>
      <w:pPr>
        <w:spacing w:after="0" w:line="15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3.05. C</w:t>
      </w:r>
      <w:r>
        <w:rPr>
          <w:rFonts w:ascii="Times New Roman" w:cs="Times New Roman" w:eastAsia="Times New Roman" w:hAnsi="Times New Roman"/>
          <w:sz w:val="14"/>
          <w:szCs w:val="14"/>
          <w:b w:val="1"/>
          <w:bCs w:val="1"/>
          <w:color w:val="auto"/>
        </w:rPr>
        <w:t>OMPLIANCE AND</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EFAULT</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ERTIFICATES</w:t>
      </w:r>
      <w:r>
        <w:rPr>
          <w:rFonts w:ascii="Times New Roman" w:cs="Times New Roman" w:eastAsia="Times New Roman" w:hAnsi="Times New Roman"/>
          <w:sz w:val="18"/>
          <w:szCs w:val="18"/>
          <w:b w:val="1"/>
          <w:bCs w:val="1"/>
          <w:color w:val="auto"/>
        </w:rPr>
        <w:t>.</w:t>
      </w:r>
    </w:p>
    <w:p>
      <w:pPr>
        <w:spacing w:after="0" w:line="119" w:lineRule="exact"/>
        <w:rPr>
          <w:sz w:val="20"/>
          <w:szCs w:val="20"/>
          <w:color w:val="auto"/>
        </w:rPr>
      </w:pPr>
    </w:p>
    <w:p>
      <w:pPr>
        <w:ind w:left="4" w:hanging="4"/>
        <w:spacing w:after="0" w:line="258" w:lineRule="auto"/>
        <w:tabs>
          <w:tab w:leader="none" w:pos="299"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Annual Compliance Certificate</w:t>
      </w:r>
      <w:r>
        <w:rPr>
          <w:rFonts w:ascii="Times New Roman" w:cs="Times New Roman" w:eastAsia="Times New Roman" w:hAnsi="Times New Roman"/>
          <w:sz w:val="18"/>
          <w:szCs w:val="18"/>
          <w:color w:val="auto"/>
        </w:rPr>
        <w:t>. Within ninety (90) days after the last day of each fiscal year of the Company, beginning with the first such fiscal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ending after the date of this Indenture, the Company will deliver an Officer’s Certificate to the Trustee stating (i) that the signatory thereto has supervised a review of the activities of the Company and its Subsidiaries during such fiscal year with a view towards determining whether any Default or Event of Default has occurred; and (ii) whether, to such signatory’s knowledge, a Default or Event of Default has occurred or is continuing (and, if so, describing all such Defaults or Events of Default and what action the Company is taking or proposes to take with respect thereto).</w:t>
      </w:r>
    </w:p>
    <w:p>
      <w:pPr>
        <w:spacing w:after="0" w:line="183" w:lineRule="exact"/>
        <w:rPr>
          <w:rFonts w:ascii="Times New Roman" w:cs="Times New Roman" w:eastAsia="Times New Roman" w:hAnsi="Times New Roman"/>
          <w:sz w:val="18"/>
          <w:szCs w:val="18"/>
          <w:color w:val="auto"/>
        </w:rPr>
      </w:pPr>
    </w:p>
    <w:p>
      <w:pPr>
        <w:ind w:left="284" w:hanging="284"/>
        <w:spacing w:after="0"/>
        <w:tabs>
          <w:tab w:leader="none" w:pos="28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Default Certificate</w:t>
      </w:r>
      <w:r>
        <w:rPr>
          <w:rFonts w:ascii="Times New Roman" w:cs="Times New Roman" w:eastAsia="Times New Roman" w:hAnsi="Times New Roman"/>
          <w:sz w:val="18"/>
          <w:szCs w:val="18"/>
          <w:color w:val="auto"/>
        </w:rPr>
        <w:t>. If a Default or Event of Default occurs, then the Company will, within thirty (30) days after its first occurrence, deliver an</w:t>
      </w:r>
    </w:p>
    <w:p>
      <w:pPr>
        <w:spacing w:after="0" w:line="29" w:lineRule="exact"/>
        <w:rPr>
          <w:rFonts w:ascii="Times New Roman" w:cs="Times New Roman" w:eastAsia="Times New Roman" w:hAnsi="Times New Roman"/>
          <w:sz w:val="18"/>
          <w:szCs w:val="18"/>
          <w:color w:val="auto"/>
        </w:rPr>
      </w:pPr>
    </w:p>
    <w:p>
      <w:pPr>
        <w:ind w:left="4"/>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Officer’s Certificate to the Trustee describing the same and what action the Company is taking or proposes to take with respect thereto (such Officer’s Certificate, a “</w:t>
      </w:r>
      <w:r>
        <w:rPr>
          <w:rFonts w:ascii="Times New Roman" w:cs="Times New Roman" w:eastAsia="Times New Roman" w:hAnsi="Times New Roman"/>
          <w:sz w:val="18"/>
          <w:szCs w:val="18"/>
          <w:b w:val="1"/>
          <w:bCs w:val="1"/>
          <w:color w:val="auto"/>
        </w:rPr>
        <w:t>Default Certificate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is not required to deliver a Default Certificate if such Default has been cured;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further </w:t>
      </w:r>
      <w:r>
        <w:rPr>
          <w:rFonts w:ascii="Times New Roman" w:cs="Times New Roman" w:eastAsia="Times New Roman" w:hAnsi="Times New Roman"/>
          <w:sz w:val="18"/>
          <w:szCs w:val="18"/>
          <w:color w:val="auto"/>
        </w:rPr>
        <w:t>that the foregoing shall not relieve the Company from a requirement to so deliver a Default Certificate following any Default in payment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principal or interest, or in payment or delivery of the consideration due upon Exchange of the Notes, as the case may be.</w:t>
      </w:r>
    </w:p>
    <w:p>
      <w:pPr>
        <w:spacing w:after="0" w:line="18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3.06. St</w:t>
      </w:r>
      <w:r>
        <w:rPr>
          <w:rFonts w:ascii="Times New Roman" w:cs="Times New Roman" w:eastAsia="Times New Roman" w:hAnsi="Times New Roman"/>
          <w:sz w:val="14"/>
          <w:szCs w:val="14"/>
          <w:b w:val="1"/>
          <w:bCs w:val="1"/>
          <w:color w:val="auto"/>
        </w:rPr>
        <w:t>AY</w:t>
      </w:r>
      <w:r>
        <w:rPr>
          <w:rFonts w:ascii="Times New Roman" w:cs="Times New Roman" w:eastAsia="Times New Roman" w:hAnsi="Times New Roman"/>
          <w:sz w:val="18"/>
          <w:szCs w:val="18"/>
          <w:b w:val="1"/>
          <w:bCs w:val="1"/>
          <w:color w:val="auto"/>
        </w:rPr>
        <w:t>, E</w:t>
      </w:r>
      <w:r>
        <w:rPr>
          <w:rFonts w:ascii="Times New Roman" w:cs="Times New Roman" w:eastAsia="Times New Roman" w:hAnsi="Times New Roman"/>
          <w:sz w:val="14"/>
          <w:szCs w:val="14"/>
          <w:b w:val="1"/>
          <w:bCs w:val="1"/>
          <w:color w:val="auto"/>
        </w:rPr>
        <w:t>XTENSION AND</w:t>
      </w:r>
      <w:r>
        <w:rPr>
          <w:rFonts w:ascii="Times New Roman" w:cs="Times New Roman" w:eastAsia="Times New Roman" w:hAnsi="Times New Roman"/>
          <w:sz w:val="18"/>
          <w:szCs w:val="18"/>
          <w:b w:val="1"/>
          <w:bCs w:val="1"/>
          <w:color w:val="auto"/>
        </w:rPr>
        <w:t xml:space="preserve"> U</w:t>
      </w:r>
      <w:r>
        <w:rPr>
          <w:rFonts w:ascii="Times New Roman" w:cs="Times New Roman" w:eastAsia="Times New Roman" w:hAnsi="Times New Roman"/>
          <w:sz w:val="14"/>
          <w:szCs w:val="14"/>
          <w:b w:val="1"/>
          <w:bCs w:val="1"/>
          <w:color w:val="auto"/>
        </w:rPr>
        <w:t>SURY</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AWS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 w:right="40" w:firstLine="440"/>
        <w:spacing w:after="0" w:line="258" w:lineRule="auto"/>
        <w:rPr>
          <w:sz w:val="20"/>
          <w:szCs w:val="20"/>
          <w:color w:val="auto"/>
        </w:rPr>
      </w:pPr>
      <w:r>
        <w:rPr>
          <w:rFonts w:ascii="Times New Roman" w:cs="Times New Roman" w:eastAsia="Times New Roman" w:hAnsi="Times New Roman"/>
          <w:sz w:val="18"/>
          <w:szCs w:val="18"/>
          <w:color w:val="auto"/>
        </w:rPr>
        <w:t>To the extent that it may lawfully do so, the Company and each Guarantor (A) agrees that it will not at any time insist upon, plead, or in any manner whatsoever claim or take the benefit or advantage of, any stay, extension or usury law (wherever or whenever enacted or in force) that may affect the covenants or the performance of this Indenture; and (B) expressly waives all benefits or advantages of any such law and agrees that it will not, by resort to any such law, hinder, delay or impede the execution of any power granted to the Trustee by this Indenture, but will suffer and permit the execution of every such power as though no such law has been enacted.</w:t>
      </w:r>
    </w:p>
    <w:p>
      <w:pPr>
        <w:spacing w:after="0" w:line="17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3.07. A</w:t>
      </w:r>
      <w:r>
        <w:rPr>
          <w:rFonts w:ascii="Times New Roman" w:cs="Times New Roman" w:eastAsia="Times New Roman" w:hAnsi="Times New Roman"/>
          <w:sz w:val="14"/>
          <w:szCs w:val="14"/>
          <w:b w:val="1"/>
          <w:bCs w:val="1"/>
          <w:color w:val="auto"/>
        </w:rPr>
        <w:t>CQUISITION OF</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4"/>
          <w:szCs w:val="14"/>
          <w:b w:val="1"/>
          <w:bCs w:val="1"/>
          <w:color w:val="auto"/>
        </w:rPr>
        <w:t>OTES BY 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OMPANY</w:t>
      </w:r>
      <w:r>
        <w:rPr>
          <w:rFonts w:ascii="Times New Roman" w:cs="Times New Roman" w:eastAsia="Times New Roman" w:hAnsi="Times New Roman"/>
          <w:sz w:val="18"/>
          <w:szCs w:val="18"/>
          <w:b w:val="1"/>
          <w:bCs w:val="1"/>
          <w:color w:val="auto"/>
        </w:rPr>
        <w:t>, H</w:t>
      </w:r>
      <w:r>
        <w:rPr>
          <w:rFonts w:ascii="Times New Roman" w:cs="Times New Roman" w:eastAsia="Times New Roman" w:hAnsi="Times New Roman"/>
          <w:sz w:val="14"/>
          <w:szCs w:val="14"/>
          <w:b w:val="1"/>
          <w:bCs w:val="1"/>
          <w:color w:val="auto"/>
        </w:rPr>
        <w:t>OLDINGS AND THEIR</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ESPECTIVE</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FFILIATES</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ind w:left="4" w:right="160" w:firstLine="440"/>
        <w:spacing w:after="0" w:line="262" w:lineRule="auto"/>
        <w:rPr>
          <w:sz w:val="20"/>
          <w:szCs w:val="20"/>
          <w:color w:val="auto"/>
        </w:rPr>
      </w:pPr>
      <w:r>
        <w:rPr>
          <w:rFonts w:ascii="Times New Roman" w:cs="Times New Roman" w:eastAsia="Times New Roman" w:hAnsi="Times New Roman"/>
          <w:sz w:val="18"/>
          <w:szCs w:val="18"/>
          <w:color w:val="auto"/>
        </w:rPr>
        <w:t xml:space="preserve">Without limiting the generality of </w:t>
      </w:r>
      <w:r>
        <w:rPr>
          <w:rFonts w:ascii="Times New Roman" w:cs="Times New Roman" w:eastAsia="Times New Roman" w:hAnsi="Times New Roman"/>
          <w:sz w:val="18"/>
          <w:szCs w:val="18"/>
          <w:b w:val="1"/>
          <w:bCs w:val="1"/>
          <w:color w:val="auto"/>
        </w:rPr>
        <w:t>Section 2.18</w:t>
      </w:r>
      <w:r>
        <w:rPr>
          <w:rFonts w:ascii="Times New Roman" w:cs="Times New Roman" w:eastAsia="Times New Roman" w:hAnsi="Times New Roman"/>
          <w:sz w:val="18"/>
          <w:szCs w:val="18"/>
          <w:color w:val="auto"/>
        </w:rPr>
        <w:t xml:space="preserve">, Notes that the Company, Holdings or any of their respective Subsidiaries have purchased or otherwise acquired will be deemed to remain outstanding (except to the extent provided in </w:t>
      </w:r>
      <w:r>
        <w:rPr>
          <w:rFonts w:ascii="Times New Roman" w:cs="Times New Roman" w:eastAsia="Times New Roman" w:hAnsi="Times New Roman"/>
          <w:sz w:val="18"/>
          <w:szCs w:val="18"/>
          <w:b w:val="1"/>
          <w:bCs w:val="1"/>
          <w:color w:val="auto"/>
        </w:rPr>
        <w:t>Section 2.16</w:t>
      </w:r>
      <w:r>
        <w:rPr>
          <w:rFonts w:ascii="Times New Roman" w:cs="Times New Roman" w:eastAsia="Times New Roman" w:hAnsi="Times New Roman"/>
          <w:sz w:val="18"/>
          <w:szCs w:val="18"/>
          <w:color w:val="auto"/>
        </w:rPr>
        <w:t>) until such time as such Notes are delivered to the Trustee for cancellation. The Company will use commercially reasonable efforts to prevent any of its controlled Affiliates from acquiring any Note (or any beneficial interest therein).</w:t>
      </w:r>
    </w:p>
    <w:p>
      <w:pPr>
        <w:spacing w:after="0" w:line="11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- 31 -</w:t>
      </w:r>
    </w:p>
    <w:p>
      <w:pPr>
        <w:sectPr>
          <w:pgSz w:w="11900" w:h="16838" w:orient="portrait"/>
          <w:cols w:equalWidth="0" w:num="1">
            <w:col w:w="11004"/>
          </w:cols>
          <w:pgMar w:left="436" w:top="268" w:right="459" w:bottom="1440" w:gutter="0" w:footer="0" w:header="0"/>
        </w:sectPr>
      </w:pPr>
    </w:p>
    <w:bookmarkStart w:id="44" w:name="page45"/>
    <w:bookmarkEnd w:id="44"/>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4. REPURCHASE AND REDEMPTION</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4.01. N</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INKING</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4"/>
          <w:szCs w:val="14"/>
          <w:b w:val="1"/>
          <w:bCs w:val="1"/>
          <w:color w:val="auto"/>
        </w:rPr>
        <w:t>UND</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No sinking fund is required to be provided for the Notes.</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4.02. R</w:t>
      </w:r>
      <w:r>
        <w:rPr>
          <w:rFonts w:ascii="Times New Roman" w:cs="Times New Roman" w:eastAsia="Times New Roman" w:hAnsi="Times New Roman"/>
          <w:sz w:val="14"/>
          <w:szCs w:val="14"/>
          <w:b w:val="1"/>
          <w:bCs w:val="1"/>
          <w:color w:val="auto"/>
        </w:rPr>
        <w:t>IGHT OF</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4"/>
          <w:szCs w:val="14"/>
          <w:b w:val="1"/>
          <w:bCs w:val="1"/>
          <w:color w:val="auto"/>
        </w:rPr>
        <w:t>OLDERS TO</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EQUIRE 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OMPANY TO</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EPURCHASE</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4"/>
          <w:szCs w:val="14"/>
          <w:b w:val="1"/>
          <w:bCs w:val="1"/>
          <w:color w:val="auto"/>
        </w:rPr>
        <w:t>OTES</w:t>
      </w:r>
      <w:r>
        <w:rPr>
          <w:rFonts w:ascii="Times New Roman" w:cs="Times New Roman" w:eastAsia="Times New Roman" w:hAnsi="Times New Roman"/>
          <w:sz w:val="18"/>
          <w:szCs w:val="18"/>
          <w:b w:val="1"/>
          <w:bCs w:val="1"/>
          <w:color w:val="auto"/>
        </w:rPr>
        <w:t xml:space="preserve"> U</w:t>
      </w:r>
      <w:r>
        <w:rPr>
          <w:rFonts w:ascii="Times New Roman" w:cs="Times New Roman" w:eastAsia="Times New Roman" w:hAnsi="Times New Roman"/>
          <w:sz w:val="14"/>
          <w:szCs w:val="14"/>
          <w:b w:val="1"/>
          <w:bCs w:val="1"/>
          <w:color w:val="auto"/>
        </w:rPr>
        <w:t>PON A</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4"/>
          <w:szCs w:val="14"/>
          <w:b w:val="1"/>
          <w:bCs w:val="1"/>
          <w:color w:val="auto"/>
        </w:rPr>
        <w:t>UNDAMENTAL</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HANGE</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ind w:left="4" w:right="260" w:hanging="4"/>
        <w:spacing w:after="0" w:line="262" w:lineRule="auto"/>
        <w:tabs>
          <w:tab w:leader="none" w:pos="29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Right of Holders to Require the Company to Repurchase Notes Upon a Fundamental Change</w:t>
      </w:r>
      <w:r>
        <w:rPr>
          <w:rFonts w:ascii="Times New Roman" w:cs="Times New Roman" w:eastAsia="Times New Roman" w:hAnsi="Times New Roman"/>
          <w:sz w:val="18"/>
          <w:szCs w:val="18"/>
          <w:color w:val="auto"/>
        </w:rPr>
        <w:t>. Subject to the other terms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4.02</w:t>
      </w:r>
      <w:r>
        <w:rPr>
          <w:rFonts w:ascii="Times New Roman" w:cs="Times New Roman" w:eastAsia="Times New Roman" w:hAnsi="Times New Roman"/>
          <w:sz w:val="18"/>
          <w:szCs w:val="18"/>
          <w:color w:val="auto"/>
        </w:rPr>
        <w:t>, if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Fundamental Change occurs, then each Holder will have the right (the “</w:t>
      </w:r>
      <w:r>
        <w:rPr>
          <w:rFonts w:ascii="Times New Roman" w:cs="Times New Roman" w:eastAsia="Times New Roman" w:hAnsi="Times New Roman"/>
          <w:sz w:val="18"/>
          <w:szCs w:val="18"/>
          <w:b w:val="1"/>
          <w:bCs w:val="1"/>
          <w:color w:val="auto"/>
        </w:rPr>
        <w:t>Fundamental Change Repurchase Right</w:t>
      </w:r>
      <w:r>
        <w:rPr>
          <w:rFonts w:ascii="Times New Roman" w:cs="Times New Roman" w:eastAsia="Times New Roman" w:hAnsi="Times New Roman"/>
          <w:sz w:val="18"/>
          <w:szCs w:val="18"/>
          <w:color w:val="auto"/>
        </w:rPr>
        <w:t>”) to require the Company to repurchase such Holder’s Notes (or any portion thereof in an Authorized Denomination) on the Fundamental Change Repurchase Date for such Fundamental Change for a cash purchase price equal to the Fundamental Change Repurchase Price.</w:t>
      </w:r>
    </w:p>
    <w:p>
      <w:pPr>
        <w:spacing w:after="0" w:line="70" w:lineRule="exact"/>
        <w:rPr>
          <w:rFonts w:ascii="Times New Roman" w:cs="Times New Roman" w:eastAsia="Times New Roman" w:hAnsi="Times New Roman"/>
          <w:sz w:val="18"/>
          <w:szCs w:val="18"/>
          <w:color w:val="auto"/>
        </w:rPr>
      </w:pPr>
    </w:p>
    <w:p>
      <w:pPr>
        <w:ind w:left="4" w:right="20" w:hanging="4"/>
        <w:spacing w:after="0" w:line="256" w:lineRule="auto"/>
        <w:tabs>
          <w:tab w:leader="none" w:pos="28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Repurchase Prohibited in Certain Circumstances</w:t>
      </w:r>
      <w:r>
        <w:rPr>
          <w:rFonts w:ascii="Times New Roman" w:cs="Times New Roman" w:eastAsia="Times New Roman" w:hAnsi="Times New Roman"/>
          <w:sz w:val="18"/>
          <w:szCs w:val="18"/>
          <w:color w:val="auto"/>
        </w:rPr>
        <w:t>. If the principal amount of the Notes has been accelerated and such acceleration has not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rescinded on or before the Fundamental Change Repurchase Date for a Repurchase Upon Fundamental Change (except in the case of an acceleration resulting from a Default in the payment of the related Fundamental Change Repurchase Price, and any related interest pursuant to the proviso to the first sentence of </w:t>
      </w:r>
      <w:r>
        <w:rPr>
          <w:rFonts w:ascii="Times New Roman" w:cs="Times New Roman" w:eastAsia="Times New Roman" w:hAnsi="Times New Roman"/>
          <w:sz w:val="18"/>
          <w:szCs w:val="18"/>
          <w:b w:val="1"/>
          <w:bCs w:val="1"/>
          <w:color w:val="auto"/>
        </w:rPr>
        <w:t>Section 4.02(D</w:t>
      </w:r>
      <w:r>
        <w:rPr>
          <w:rFonts w:ascii="Times New Roman" w:cs="Times New Roman" w:eastAsia="Times New Roman" w:hAnsi="Times New Roman"/>
          <w:sz w:val="18"/>
          <w:szCs w:val="18"/>
          <w:color w:val="auto"/>
        </w:rPr>
        <w:t xml:space="preserve">), on such Fundamental Change Repurchase Date), then (i) the Company may not repurchase any Notes pursuant to this </w:t>
      </w:r>
      <w:r>
        <w:rPr>
          <w:rFonts w:ascii="Times New Roman" w:cs="Times New Roman" w:eastAsia="Times New Roman" w:hAnsi="Times New Roman"/>
          <w:sz w:val="18"/>
          <w:szCs w:val="18"/>
          <w:b w:val="1"/>
          <w:bCs w:val="1"/>
          <w:color w:val="auto"/>
        </w:rPr>
        <w:t>Section 4.02</w:t>
      </w:r>
      <w:r>
        <w:rPr>
          <w:rFonts w:ascii="Times New Roman" w:cs="Times New Roman" w:eastAsia="Times New Roman" w:hAnsi="Times New Roman"/>
          <w:sz w:val="18"/>
          <w:szCs w:val="18"/>
          <w:color w:val="auto"/>
        </w:rPr>
        <w:t>; and (ii) the Company will cause any Notes theretofore surrendered for such Repurchase Upon Fundamental Change to be returned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Holders thereof (or, if applicable with respect to Global Notes, cancel any instructions for book-entry transfer to the Company, the Trustee or the Paying Agent of the applicable beneficial interest in such Notes in accordance with the Depositary Procedures).</w:t>
      </w:r>
    </w:p>
    <w:p>
      <w:pPr>
        <w:spacing w:after="0" w:line="74" w:lineRule="exact"/>
        <w:rPr>
          <w:rFonts w:ascii="Times New Roman" w:cs="Times New Roman" w:eastAsia="Times New Roman" w:hAnsi="Times New Roman"/>
          <w:sz w:val="18"/>
          <w:szCs w:val="18"/>
          <w:color w:val="auto"/>
        </w:rPr>
      </w:pPr>
    </w:p>
    <w:p>
      <w:pPr>
        <w:ind w:left="4" w:right="340" w:hanging="4"/>
        <w:spacing w:after="0" w:line="267" w:lineRule="auto"/>
        <w:tabs>
          <w:tab w:leader="none" w:pos="28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Fundamental Change Repurchase Date</w:t>
      </w:r>
      <w:r>
        <w:rPr>
          <w:rFonts w:ascii="Times New Roman" w:cs="Times New Roman" w:eastAsia="Times New Roman" w:hAnsi="Times New Roman"/>
          <w:sz w:val="18"/>
          <w:szCs w:val="18"/>
          <w:color w:val="auto"/>
        </w:rPr>
        <w:t>. The Fundamental Change Repurchase Date for any Fundamental Change will be a Business Day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Company’s choosing that is no more than thirty five (35), nor less than twenty (20), Business Days after the date the Company sends the related Fundamental Change Notice pursuant to </w:t>
      </w:r>
      <w:r>
        <w:rPr>
          <w:rFonts w:ascii="Times New Roman" w:cs="Times New Roman" w:eastAsia="Times New Roman" w:hAnsi="Times New Roman"/>
          <w:sz w:val="18"/>
          <w:szCs w:val="18"/>
          <w:b w:val="1"/>
          <w:bCs w:val="1"/>
          <w:color w:val="auto"/>
        </w:rPr>
        <w:t>Section 4.02(E</w:t>
      </w:r>
      <w:r>
        <w:rPr>
          <w:rFonts w:ascii="Times New Roman" w:cs="Times New Roman" w:eastAsia="Times New Roman" w:hAnsi="Times New Roman"/>
          <w:sz w:val="18"/>
          <w:szCs w:val="18"/>
          <w:color w:val="auto"/>
        </w:rPr>
        <w:t>).</w:t>
      </w:r>
    </w:p>
    <w:p>
      <w:pPr>
        <w:spacing w:after="0" w:line="65" w:lineRule="exact"/>
        <w:rPr>
          <w:rFonts w:ascii="Times New Roman" w:cs="Times New Roman" w:eastAsia="Times New Roman" w:hAnsi="Times New Roman"/>
          <w:sz w:val="18"/>
          <w:szCs w:val="18"/>
          <w:color w:val="auto"/>
        </w:rPr>
      </w:pPr>
    </w:p>
    <w:p>
      <w:pPr>
        <w:ind w:left="4" w:hanging="4"/>
        <w:spacing w:after="0" w:line="256" w:lineRule="auto"/>
        <w:tabs>
          <w:tab w:leader="none" w:pos="29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Fundamental Change Repurchase Price</w:t>
      </w:r>
      <w:r>
        <w:rPr>
          <w:rFonts w:ascii="Times New Roman" w:cs="Times New Roman" w:eastAsia="Times New Roman" w:hAnsi="Times New Roman"/>
          <w:sz w:val="18"/>
          <w:szCs w:val="18"/>
          <w:color w:val="auto"/>
        </w:rPr>
        <w:t>. The Fundamental Change Repurchase Price for any Note to be repurchased upon a Repurchase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Fundamental Change following a Fundamental Change is an amount in cash equal to the principal amount of such Note plus accrued and unpaid interest on such Note to, but excluding, the Fundamental Change Repurchase Date for such Fundamental Change;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such Fundamental Change Repurchase Date is after a Regular Record Date and on or before the next Interest Payment Date, then (i) the Holder of such Note at the Close of Business on such Regular Record Date will be entitled, notwithstanding such Repurchase Upon Fundamental Change, to receive, on or, at the Company’s election, before such Interest Payment Date, the unpaid interest that would have accrued on such Note to, but excluding, such Interest Payment Date (assuming, solely for these purposes, that such</w:t>
      </w:r>
    </w:p>
    <w:p>
      <w:pPr>
        <w:spacing w:after="0" w:line="117"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32 -</w:t>
      </w:r>
    </w:p>
    <w:p>
      <w:pPr>
        <w:sectPr>
          <w:pgSz w:w="11900" w:h="16838" w:orient="portrait"/>
          <w:cols w:equalWidth="0" w:num="1">
            <w:col w:w="10984"/>
          </w:cols>
          <w:pgMar w:left="436" w:top="266" w:right="479" w:bottom="1440" w:gutter="0" w:footer="0" w:header="0"/>
        </w:sectPr>
      </w:pPr>
    </w:p>
    <w:bookmarkStart w:id="45" w:name="page46"/>
    <w:bookmarkEnd w:id="45"/>
    <w:p>
      <w:pPr>
        <w:ind w:left="4"/>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Note remained outstanding through such Interest Payment Date, if such Fundamental Change Repurchase Date is before such Interest Payment Date); and (ii) the Fundamental Change Repurchase Price will not include accrued and unpaid interest on such Note to, but excluding, such Fundamental Change Repurchase Date. For the avoidance of doubt, if an Interest Payment Date is not a Business Day within the meaning of </w:t>
      </w:r>
      <w:r>
        <w:rPr>
          <w:rFonts w:ascii="Times New Roman" w:cs="Times New Roman" w:eastAsia="Times New Roman" w:hAnsi="Times New Roman"/>
          <w:sz w:val="18"/>
          <w:szCs w:val="18"/>
          <w:b w:val="1"/>
          <w:bCs w:val="1"/>
          <w:color w:val="auto"/>
        </w:rPr>
        <w:t>Section 2.05(C</w:t>
      </w:r>
      <w:r>
        <w:rPr>
          <w:rFonts w:ascii="Times New Roman" w:cs="Times New Roman" w:eastAsia="Times New Roman" w:hAnsi="Times New Roman"/>
          <w:sz w:val="18"/>
          <w:szCs w:val="18"/>
          <w:color w:val="auto"/>
        </w:rPr>
        <w:t xml:space="preserve">) and such Fundamental Change Repurchase Date occurs on the Business Day immediately after such Interest Payment Date, then (x) accrued and unpaid interest on Notes to, but excluding, such Interest Payment Date will be paid, in accordance with </w:t>
      </w:r>
      <w:r>
        <w:rPr>
          <w:rFonts w:ascii="Times New Roman" w:cs="Times New Roman" w:eastAsia="Times New Roman" w:hAnsi="Times New Roman"/>
          <w:sz w:val="18"/>
          <w:szCs w:val="18"/>
          <w:b w:val="1"/>
          <w:bCs w:val="1"/>
          <w:color w:val="auto"/>
        </w:rPr>
        <w:t>Section 2.05(C</w:t>
      </w:r>
      <w:r>
        <w:rPr>
          <w:rFonts w:ascii="Times New Roman" w:cs="Times New Roman" w:eastAsia="Times New Roman" w:hAnsi="Times New Roman"/>
          <w:sz w:val="18"/>
          <w:szCs w:val="18"/>
          <w:color w:val="auto"/>
        </w:rPr>
        <w:t>), on the next Business Day to Holders as of the Close of Business on the immediately preceding Regular Record Date; and (y) the Fundamental Change Repurchase Price will include interest on Notes to be repurchased from, and including, such Interest Payment Date.</w:t>
      </w:r>
    </w:p>
    <w:p>
      <w:pPr>
        <w:spacing w:after="0" w:line="187" w:lineRule="exact"/>
        <w:rPr>
          <w:sz w:val="20"/>
          <w:szCs w:val="20"/>
          <w:color w:val="auto"/>
        </w:rPr>
      </w:pPr>
    </w:p>
    <w:p>
      <w:pPr>
        <w:ind w:left="4" w:right="80" w:hanging="4"/>
        <w:spacing w:after="0" w:line="315" w:lineRule="auto"/>
        <w:tabs>
          <w:tab w:leader="none" w:pos="279"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Fundamental Change Notice</w:t>
      </w:r>
      <w:r>
        <w:rPr>
          <w:rFonts w:ascii="Times New Roman" w:cs="Times New Roman" w:eastAsia="Times New Roman" w:hAnsi="Times New Roman"/>
          <w:sz w:val="17"/>
          <w:szCs w:val="17"/>
          <w:color w:val="auto"/>
        </w:rPr>
        <w:t>. On or before the twentieth (20th) calendar day after the effective date of a Fundamental Change, the Company will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send to each Holder, the Trustee, the Exchange Agent and the Paying Agent a notice of such Fundamental Change (a “</w:t>
      </w:r>
      <w:r>
        <w:rPr>
          <w:rFonts w:ascii="Times New Roman" w:cs="Times New Roman" w:eastAsia="Times New Roman" w:hAnsi="Times New Roman"/>
          <w:sz w:val="17"/>
          <w:szCs w:val="17"/>
          <w:b w:val="1"/>
          <w:bCs w:val="1"/>
          <w:color w:val="auto"/>
        </w:rPr>
        <w:t>Fundamental Change Notice</w:t>
      </w:r>
      <w:r>
        <w:rPr>
          <w:rFonts w:ascii="Times New Roman" w:cs="Times New Roman" w:eastAsia="Times New Roman" w:hAnsi="Times New Roman"/>
          <w:sz w:val="17"/>
          <w:szCs w:val="17"/>
          <w:color w:val="auto"/>
        </w:rPr>
        <w:t>”).</w:t>
      </w:r>
    </w:p>
    <w:p>
      <w:pPr>
        <w:spacing w:after="0" w:line="13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Such Fundamental Change Notice must state:</w:t>
      </w:r>
    </w:p>
    <w:p>
      <w:pPr>
        <w:spacing w:after="0" w:line="117" w:lineRule="exact"/>
        <w:rPr>
          <w:sz w:val="20"/>
          <w:szCs w:val="20"/>
          <w:color w:val="auto"/>
        </w:rPr>
      </w:pPr>
    </w:p>
    <w:p>
      <w:pPr>
        <w:ind w:left="664" w:hanging="224"/>
        <w:spacing w:after="0"/>
        <w:tabs>
          <w:tab w:leader="none" w:pos="66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briefly, the events causing such Fundamental Change;</w:t>
      </w:r>
    </w:p>
    <w:p>
      <w:pPr>
        <w:spacing w:after="0" w:line="117"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date of such Fundamental Change;</w:t>
      </w:r>
    </w:p>
    <w:p>
      <w:pPr>
        <w:spacing w:after="0" w:line="113" w:lineRule="exact"/>
        <w:rPr>
          <w:rFonts w:ascii="Times New Roman" w:cs="Times New Roman" w:eastAsia="Times New Roman" w:hAnsi="Times New Roman"/>
          <w:sz w:val="18"/>
          <w:szCs w:val="18"/>
          <w:color w:val="auto"/>
        </w:rPr>
      </w:pPr>
    </w:p>
    <w:p>
      <w:pPr>
        <w:jc w:val="both"/>
        <w:ind w:left="444" w:right="60" w:hanging="4"/>
        <w:spacing w:after="0" w:line="268" w:lineRule="auto"/>
        <w:tabs>
          <w:tab w:leader="none" w:pos="75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procedures that a Holder must follow to require the Company to repurchase its Notes pursuant to this </w:t>
      </w:r>
      <w:r>
        <w:rPr>
          <w:rFonts w:ascii="Times New Roman" w:cs="Times New Roman" w:eastAsia="Times New Roman" w:hAnsi="Times New Roman"/>
          <w:sz w:val="18"/>
          <w:szCs w:val="18"/>
          <w:b w:val="1"/>
          <w:bCs w:val="1"/>
          <w:color w:val="auto"/>
        </w:rPr>
        <w:t>Section 4.02</w:t>
      </w:r>
      <w:r>
        <w:rPr>
          <w:rFonts w:ascii="Times New Roman" w:cs="Times New Roman" w:eastAsia="Times New Roman" w:hAnsi="Times New Roman"/>
          <w:sz w:val="18"/>
          <w:szCs w:val="18"/>
          <w:color w:val="auto"/>
        </w:rPr>
        <w:t>, including the deadline for exercising the Fundamental Change Repurchase Right and the procedures for submitting and withdrawing a Fundamental Change Repurchase Notice;</w:t>
      </w:r>
    </w:p>
    <w:p>
      <w:pPr>
        <w:spacing w:after="0" w:line="66" w:lineRule="exact"/>
        <w:rPr>
          <w:rFonts w:ascii="Times New Roman" w:cs="Times New Roman" w:eastAsia="Times New Roman" w:hAnsi="Times New Roman"/>
          <w:sz w:val="18"/>
          <w:szCs w:val="18"/>
          <w:color w:val="auto"/>
        </w:rPr>
      </w:pPr>
    </w:p>
    <w:p>
      <w:pPr>
        <w:ind w:left="744" w:hanging="304"/>
        <w:spacing w:after="0"/>
        <w:tabs>
          <w:tab w:leader="none" w:pos="74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Fundamental Change Repurchase Date for such Fundamental Change;</w:t>
      </w:r>
    </w:p>
    <w:p>
      <w:pPr>
        <w:spacing w:after="0" w:line="117" w:lineRule="exact"/>
        <w:rPr>
          <w:rFonts w:ascii="Times New Roman" w:cs="Times New Roman" w:eastAsia="Times New Roman" w:hAnsi="Times New Roman"/>
          <w:sz w:val="18"/>
          <w:szCs w:val="18"/>
          <w:color w:val="auto"/>
        </w:rPr>
      </w:pPr>
    </w:p>
    <w:p>
      <w:pPr>
        <w:ind w:left="444" w:right="220" w:hanging="4"/>
        <w:spacing w:after="0" w:line="266" w:lineRule="auto"/>
        <w:tabs>
          <w:tab w:leader="none" w:pos="69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Fundamental Change Repurchase Price per $1,000 principal amount of Notes for such Fundamental Change (and, if such Fundamental Change Repurchase Date is after a Regular Record Date and on or before the next Interest Payment Date, the amount, manner and timing of the interest payment payable pursuant to the proviso to the first sentence of </w:t>
      </w:r>
      <w:r>
        <w:rPr>
          <w:rFonts w:ascii="Times New Roman" w:cs="Times New Roman" w:eastAsia="Times New Roman" w:hAnsi="Times New Roman"/>
          <w:sz w:val="18"/>
          <w:szCs w:val="18"/>
          <w:b w:val="1"/>
          <w:bCs w:val="1"/>
          <w:color w:val="auto"/>
        </w:rPr>
        <w:t>Section 4.02(D</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744" w:hanging="304"/>
        <w:spacing w:after="0"/>
        <w:tabs>
          <w:tab w:leader="none" w:pos="74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Paying Agent and the Exchange Agent;</w:t>
      </w:r>
    </w:p>
    <w:p>
      <w:pPr>
        <w:spacing w:after="0" w:line="117" w:lineRule="exact"/>
        <w:rPr>
          <w:rFonts w:ascii="Times New Roman" w:cs="Times New Roman" w:eastAsia="Times New Roman" w:hAnsi="Times New Roman"/>
          <w:sz w:val="18"/>
          <w:szCs w:val="18"/>
          <w:color w:val="auto"/>
        </w:rPr>
      </w:pPr>
    </w:p>
    <w:p>
      <w:pPr>
        <w:ind w:left="444" w:right="240" w:hanging="4"/>
        <w:spacing w:after="0" w:line="282" w:lineRule="auto"/>
        <w:tabs>
          <w:tab w:leader="none" w:pos="79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Exchange Rate in effect on the date of such Fundamental Change Notice and a description and quantification of any adjustments to the Exchange Rate that may result from such Fundamental Change (including pursuant to </w:t>
      </w:r>
      <w:r>
        <w:rPr>
          <w:rFonts w:ascii="Times New Roman" w:cs="Times New Roman" w:eastAsia="Times New Roman" w:hAnsi="Times New Roman"/>
          <w:sz w:val="18"/>
          <w:szCs w:val="18"/>
          <w:b w:val="1"/>
          <w:bCs w:val="1"/>
          <w:color w:val="auto"/>
        </w:rPr>
        <w:t>Section 5.07</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444" w:right="340" w:hanging="4"/>
        <w:spacing w:after="0" w:line="282" w:lineRule="auto"/>
        <w:tabs>
          <w:tab w:leader="none" w:pos="84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Notes for which a Fundamental Change Repurchase Notice has been duly tendered and not duly withdrawn must be delivered to the Paying Agent for the Holder thereof to be entitled to receive the Fundamental Change Repurchase Price;</w:t>
      </w:r>
    </w:p>
    <w:p>
      <w:pPr>
        <w:spacing w:after="0" w:line="53" w:lineRule="exact"/>
        <w:rPr>
          <w:rFonts w:ascii="Times New Roman" w:cs="Times New Roman" w:eastAsia="Times New Roman" w:hAnsi="Times New Roman"/>
          <w:sz w:val="18"/>
          <w:szCs w:val="18"/>
          <w:color w:val="auto"/>
        </w:rPr>
      </w:pPr>
    </w:p>
    <w:p>
      <w:pPr>
        <w:ind w:left="444" w:right="780" w:hanging="4"/>
        <w:spacing w:after="0" w:line="282" w:lineRule="auto"/>
        <w:tabs>
          <w:tab w:leader="none" w:pos="74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Notes (or any portion thereof) that are subject to a Fundamental Change Repurchase Notice that has been duly tendered may be Exchanged only if such Fundamental Change Repurchase Notice is withdrawn in accordance with this Indenture; and</w:t>
      </w:r>
    </w:p>
    <w:p>
      <w:pPr>
        <w:spacing w:after="0" w:line="94"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33 -</w:t>
      </w:r>
    </w:p>
    <w:p>
      <w:pPr>
        <w:sectPr>
          <w:pgSz w:w="11900" w:h="16838" w:orient="portrait"/>
          <w:cols w:equalWidth="0" w:num="1">
            <w:col w:w="11004"/>
          </w:cols>
          <w:pgMar w:left="436" w:top="270" w:right="459" w:bottom="1440" w:gutter="0" w:footer="0" w:header="0"/>
        </w:sectPr>
      </w:pPr>
    </w:p>
    <w:bookmarkStart w:id="46" w:name="page47"/>
    <w:bookmarkEnd w:id="46"/>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(x) the CUSIP and ISIN numbers, if any, of the Notes.</w:t>
      </w:r>
    </w:p>
    <w:p>
      <w:pPr>
        <w:spacing w:after="0" w:line="225" w:lineRule="exact"/>
        <w:rPr>
          <w:sz w:val="20"/>
          <w:szCs w:val="20"/>
          <w:color w:val="auto"/>
        </w:rPr>
      </w:pPr>
    </w:p>
    <w:p>
      <w:pPr>
        <w:ind w:left="4" w:right="240" w:firstLine="440"/>
        <w:spacing w:after="0" w:line="282" w:lineRule="auto"/>
        <w:rPr>
          <w:sz w:val="20"/>
          <w:szCs w:val="20"/>
          <w:color w:val="auto"/>
        </w:rPr>
      </w:pPr>
      <w:r>
        <w:rPr>
          <w:rFonts w:ascii="Times New Roman" w:cs="Times New Roman" w:eastAsia="Times New Roman" w:hAnsi="Times New Roman"/>
          <w:sz w:val="18"/>
          <w:szCs w:val="18"/>
          <w:color w:val="auto"/>
        </w:rPr>
        <w:t>Neither the failure to deliver a Fundamental Change Notice nor any defect in a Fundamental Change Notice will limit the Fundamental Change Repurchase Right of any Holder or otherwise affect the validity of any proceedings relating to any Repurchase Upon Fundamental Change.</w:t>
      </w:r>
    </w:p>
    <w:p>
      <w:pPr>
        <w:spacing w:after="0" w:line="52" w:lineRule="exact"/>
        <w:rPr>
          <w:sz w:val="20"/>
          <w:szCs w:val="20"/>
          <w:color w:val="auto"/>
        </w:rPr>
      </w:pPr>
    </w:p>
    <w:p>
      <w:pPr>
        <w:ind w:left="264" w:hanging="264"/>
        <w:spacing w:after="0"/>
        <w:tabs>
          <w:tab w:leader="none" w:pos="26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Procedures to Exercise the Fundamental Change Repurchase Right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hanging="4"/>
        <w:spacing w:after="0" w:line="284" w:lineRule="auto"/>
        <w:tabs>
          <w:tab w:leader="none" w:pos="21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Delivery of Fundamental Change Repurchase Notice and Notes to Be Repurchased</w:t>
      </w:r>
      <w:r>
        <w:rPr>
          <w:rFonts w:ascii="Times New Roman" w:cs="Times New Roman" w:eastAsia="Times New Roman" w:hAnsi="Times New Roman"/>
          <w:sz w:val="18"/>
          <w:szCs w:val="18"/>
          <w:color w:val="auto"/>
        </w:rPr>
        <w:t>. To exercise its Fundamental Change Repurchase Right for a Note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a Fundamental Change, the Holder thereof must deliver to the Paying Agent:</w:t>
      </w:r>
    </w:p>
    <w:p>
      <w:pPr>
        <w:spacing w:after="0" w:line="52" w:lineRule="exact"/>
        <w:rPr>
          <w:rFonts w:ascii="Times New Roman" w:cs="Times New Roman" w:eastAsia="Times New Roman" w:hAnsi="Times New Roman"/>
          <w:sz w:val="18"/>
          <w:szCs w:val="18"/>
          <w:color w:val="auto"/>
        </w:rPr>
      </w:pPr>
    </w:p>
    <w:p>
      <w:pPr>
        <w:ind w:left="984" w:right="60" w:firstLine="408"/>
        <w:spacing w:after="0" w:line="312" w:lineRule="auto"/>
        <w:tabs>
          <w:tab w:leader="none" w:pos="1640" w:val="left"/>
        </w:tabs>
        <w:numPr>
          <w:ilvl w:val="1"/>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before the Close of Business on the Business Day immediately before the related Fundamental Change Repurchase Date (or such later time as may be required by law), a duly completed, written Fundamental Change Repurchase Notice with respect to such Note; and</w:t>
      </w:r>
    </w:p>
    <w:p>
      <w:pPr>
        <w:spacing w:after="0" w:line="31" w:lineRule="exact"/>
        <w:rPr>
          <w:rFonts w:ascii="Times New Roman" w:cs="Times New Roman" w:eastAsia="Times New Roman" w:hAnsi="Times New Roman"/>
          <w:sz w:val="17"/>
          <w:szCs w:val="17"/>
          <w:color w:val="auto"/>
        </w:rPr>
      </w:pPr>
    </w:p>
    <w:p>
      <w:pPr>
        <w:ind w:left="1644" w:hanging="252"/>
        <w:spacing w:after="0"/>
        <w:tabs>
          <w:tab w:leader="none" w:pos="1644"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Note, duly endorsed for transfer (if such Note is a Physical Note) or by book-entry transfer (if such Note is a Global Note).</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Paying Agent will promptly deliver to the Company a copy of each Fundamental Change Repurchase Notice that it receives.</w:t>
      </w:r>
    </w:p>
    <w:p>
      <w:pPr>
        <w:spacing w:after="0" w:line="115" w:lineRule="exact"/>
        <w:rPr>
          <w:sz w:val="20"/>
          <w:szCs w:val="20"/>
          <w:color w:val="auto"/>
        </w:rPr>
      </w:pPr>
    </w:p>
    <w:p>
      <w:pPr>
        <w:ind w:left="264" w:hanging="264"/>
        <w:spacing w:after="0"/>
        <w:tabs>
          <w:tab w:leader="none" w:pos="26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Contents of Fundamental Change Repurchase Notices</w:t>
      </w:r>
      <w:r>
        <w:rPr>
          <w:rFonts w:ascii="Times New Roman" w:cs="Times New Roman" w:eastAsia="Times New Roman" w:hAnsi="Times New Roman"/>
          <w:sz w:val="18"/>
          <w:szCs w:val="18"/>
          <w:color w:val="auto"/>
        </w:rPr>
        <w:t>. Each Fundamental Change Repurchase Notice with respect to a Note must state:</w:t>
      </w:r>
    </w:p>
    <w:p>
      <w:pPr>
        <w:spacing w:after="0" w:line="119" w:lineRule="exact"/>
        <w:rPr>
          <w:rFonts w:ascii="Times New Roman" w:cs="Times New Roman" w:eastAsia="Times New Roman" w:hAnsi="Times New Roman"/>
          <w:sz w:val="18"/>
          <w:szCs w:val="18"/>
          <w:color w:val="auto"/>
        </w:rPr>
      </w:pPr>
    </w:p>
    <w:p>
      <w:pPr>
        <w:ind w:left="1644" w:hanging="252"/>
        <w:spacing w:after="0"/>
        <w:tabs>
          <w:tab w:leader="none" w:pos="1644"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Note is a Physical Note, the certificate number of such Note;</w:t>
      </w:r>
    </w:p>
    <w:p>
      <w:pPr>
        <w:spacing w:after="0" w:line="117" w:lineRule="exact"/>
        <w:rPr>
          <w:rFonts w:ascii="Times New Roman" w:cs="Times New Roman" w:eastAsia="Times New Roman" w:hAnsi="Times New Roman"/>
          <w:sz w:val="18"/>
          <w:szCs w:val="18"/>
          <w:color w:val="auto"/>
        </w:rPr>
      </w:pPr>
    </w:p>
    <w:p>
      <w:pPr>
        <w:ind w:left="1644" w:hanging="252"/>
        <w:spacing w:after="0"/>
        <w:tabs>
          <w:tab w:leader="none" w:pos="1644"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such Note to be repurchased, which must be an Authorized Denomination; and</w:t>
      </w:r>
    </w:p>
    <w:p>
      <w:pPr>
        <w:spacing w:after="0" w:line="117" w:lineRule="exact"/>
        <w:rPr>
          <w:rFonts w:ascii="Times New Roman" w:cs="Times New Roman" w:eastAsia="Times New Roman" w:hAnsi="Times New Roman"/>
          <w:sz w:val="18"/>
          <w:szCs w:val="18"/>
          <w:color w:val="auto"/>
        </w:rPr>
      </w:pPr>
    </w:p>
    <w:p>
      <w:pPr>
        <w:ind w:left="1644" w:hanging="252"/>
        <w:spacing w:after="0"/>
        <w:tabs>
          <w:tab w:leader="none" w:pos="1644"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such Holder is exercising its Fundamental Change Repurchase Right with respect to such principal amount of such Note;</w:t>
      </w:r>
    </w:p>
    <w:p>
      <w:pPr>
        <w:spacing w:after="0" w:line="115" w:lineRule="exact"/>
        <w:rPr>
          <w:sz w:val="20"/>
          <w:szCs w:val="20"/>
          <w:color w:val="auto"/>
        </w:rPr>
      </w:pPr>
    </w:p>
    <w:p>
      <w:pPr>
        <w:ind w:left="444" w:right="320"/>
        <w:spacing w:after="0" w:line="267"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if such Note is a Global Note, then such Fundamental Change Repurchase Notice must comply with the Depositary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Procedures (and any such Fundamental Change Repurchase Notice delivered in compliance with the Depositary Procedures will be deemed to satisfy the requirements of this </w:t>
      </w:r>
      <w:r>
        <w:rPr>
          <w:rFonts w:ascii="Times New Roman" w:cs="Times New Roman" w:eastAsia="Times New Roman" w:hAnsi="Times New Roman"/>
          <w:sz w:val="18"/>
          <w:szCs w:val="18"/>
          <w:b w:val="1"/>
          <w:bCs w:val="1"/>
          <w:color w:val="auto"/>
        </w:rPr>
        <w:t>Section 4.02(F</w:t>
      </w:r>
      <w:r>
        <w:rPr>
          <w:rFonts w:ascii="Times New Roman" w:cs="Times New Roman" w:eastAsia="Times New Roman" w:hAnsi="Times New Roman"/>
          <w:sz w:val="18"/>
          <w:szCs w:val="18"/>
          <w:color w:val="auto"/>
        </w:rPr>
        <w:t>)).</w:t>
      </w:r>
    </w:p>
    <w:p>
      <w:pPr>
        <w:spacing w:after="0" w:line="65" w:lineRule="exact"/>
        <w:rPr>
          <w:sz w:val="20"/>
          <w:szCs w:val="20"/>
          <w:color w:val="auto"/>
        </w:rPr>
      </w:pPr>
    </w:p>
    <w:p>
      <w:pPr>
        <w:ind w:left="4" w:right="180" w:hanging="4"/>
        <w:spacing w:after="0" w:line="290" w:lineRule="auto"/>
        <w:tabs>
          <w:tab w:leader="none" w:pos="319"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Withdrawal of Fundamental Change Repurchase Notice</w:t>
      </w:r>
      <w:r>
        <w:rPr>
          <w:rFonts w:ascii="Times New Roman" w:cs="Times New Roman" w:eastAsia="Times New Roman" w:hAnsi="Times New Roman"/>
          <w:sz w:val="17"/>
          <w:szCs w:val="17"/>
          <w:color w:val="auto"/>
        </w:rPr>
        <w:t>. A Holder that has delivered a Fundamental Change Repurchase Notice with respect to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Note may withdraw such Fundamental Change Repurchase Notice by delivering a written notice of withdrawal to the Paying Agent at any time before the Close of Business on the Business Day immediately before the related Fundamental Change Repurchase Date. Such withdrawal notice must state:</w:t>
      </w:r>
    </w:p>
    <w:p>
      <w:pPr>
        <w:spacing w:after="0" w:line="89" w:lineRule="exact"/>
        <w:rPr>
          <w:rFonts w:ascii="Times New Roman" w:cs="Times New Roman" w:eastAsia="Times New Roman" w:hAnsi="Times New Roman"/>
          <w:sz w:val="17"/>
          <w:szCs w:val="17"/>
          <w:color w:val="auto"/>
        </w:rPr>
      </w:pPr>
    </w:p>
    <w:p>
      <w:pPr>
        <w:ind w:left="5424" w:hanging="111"/>
        <w:spacing w:after="0"/>
        <w:tabs>
          <w:tab w:leader="none" w:pos="5424"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34 -</w:t>
      </w:r>
    </w:p>
    <w:p>
      <w:pPr>
        <w:sectPr>
          <w:pgSz w:w="11900" w:h="16838" w:orient="portrait"/>
          <w:cols w:equalWidth="0" w:num="1">
            <w:col w:w="11004"/>
          </w:cols>
          <w:pgMar w:left="436" w:top="270" w:right="459" w:bottom="1440" w:gutter="0" w:footer="0" w:header="0"/>
        </w:sectPr>
      </w:pPr>
    </w:p>
    <w:bookmarkStart w:id="47" w:name="page48"/>
    <w:bookmarkEnd w:id="47"/>
    <w:p>
      <w:pPr>
        <w:ind w:left="1644" w:hanging="252"/>
        <w:spacing w:after="0"/>
        <w:tabs>
          <w:tab w:leader="none" w:pos="164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such Note is a Physical Note, the certificate number of such Note;</w:t>
      </w:r>
    </w:p>
    <w:p>
      <w:pPr>
        <w:spacing w:after="0" w:line="117" w:lineRule="exact"/>
        <w:rPr>
          <w:rFonts w:ascii="Times New Roman" w:cs="Times New Roman" w:eastAsia="Times New Roman" w:hAnsi="Times New Roman"/>
          <w:sz w:val="18"/>
          <w:szCs w:val="18"/>
          <w:color w:val="auto"/>
        </w:rPr>
      </w:pPr>
    </w:p>
    <w:p>
      <w:pPr>
        <w:ind w:left="1644" w:hanging="252"/>
        <w:spacing w:after="0"/>
        <w:tabs>
          <w:tab w:leader="none" w:pos="164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such Note to be withdrawn, which must be an Authorized Denomination; and</w:t>
      </w:r>
    </w:p>
    <w:p>
      <w:pPr>
        <w:spacing w:after="0" w:line="117" w:lineRule="exact"/>
        <w:rPr>
          <w:rFonts w:ascii="Times New Roman" w:cs="Times New Roman" w:eastAsia="Times New Roman" w:hAnsi="Times New Roman"/>
          <w:sz w:val="18"/>
          <w:szCs w:val="18"/>
          <w:color w:val="auto"/>
        </w:rPr>
      </w:pPr>
    </w:p>
    <w:p>
      <w:pPr>
        <w:ind w:left="984" w:right="200" w:firstLine="408"/>
        <w:spacing w:after="0" w:line="282" w:lineRule="auto"/>
        <w:tabs>
          <w:tab w:leader="none" w:pos="16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such Note, if any, that remains subject to such Fundamental Change Repurchase Notice, which must be an Authorized Denomination;</w:t>
      </w:r>
    </w:p>
    <w:p>
      <w:pPr>
        <w:spacing w:after="0" w:line="52" w:lineRule="exact"/>
        <w:rPr>
          <w:sz w:val="20"/>
          <w:szCs w:val="20"/>
          <w:color w:val="auto"/>
        </w:rPr>
      </w:pPr>
    </w:p>
    <w:p>
      <w:pPr>
        <w:jc w:val="both"/>
        <w:ind w:left="444" w:right="280"/>
        <w:spacing w:after="0" w:line="315" w:lineRule="auto"/>
        <w:rPr>
          <w:sz w:val="20"/>
          <w:szCs w:val="20"/>
          <w:color w:val="auto"/>
        </w:rPr>
      </w:pP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however</w:t>
      </w:r>
      <w:r>
        <w:rPr>
          <w:rFonts w:ascii="Times New Roman" w:cs="Times New Roman" w:eastAsia="Times New Roman" w:hAnsi="Times New Roman"/>
          <w:sz w:val="17"/>
          <w:szCs w:val="17"/>
          <w:color w:val="auto"/>
        </w:rPr>
        <w:t>, that if such Note is a Global Note, then such withdrawal notice must comply with the Depositary Procedures (and any such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withdrawal notice delivered in compliance with the Depositary Procedures will be deemed to satisfy the requirements of this </w:t>
      </w:r>
      <w:r>
        <w:rPr>
          <w:rFonts w:ascii="Times New Roman" w:cs="Times New Roman" w:eastAsia="Times New Roman" w:hAnsi="Times New Roman"/>
          <w:sz w:val="17"/>
          <w:szCs w:val="17"/>
          <w:b w:val="1"/>
          <w:bCs w:val="1"/>
          <w:color w:val="auto"/>
        </w:rPr>
        <w:t>Section 4.02(F</w:t>
      </w:r>
      <w:r>
        <w:rPr>
          <w:rFonts w:ascii="Times New Roman" w:cs="Times New Roman" w:eastAsia="Times New Roman" w:hAnsi="Times New Roman"/>
          <w:sz w:val="17"/>
          <w:szCs w:val="17"/>
          <w:color w:val="auto"/>
        </w:rPr>
        <w:t>)).</w:t>
      </w:r>
    </w:p>
    <w:p>
      <w:pPr>
        <w:spacing w:after="0" w:line="29" w:lineRule="exact"/>
        <w:rPr>
          <w:sz w:val="20"/>
          <w:szCs w:val="20"/>
          <w:color w:val="auto"/>
        </w:rPr>
      </w:pPr>
    </w:p>
    <w:p>
      <w:pPr>
        <w:ind w:left="444"/>
        <w:spacing w:after="0" w:line="256" w:lineRule="auto"/>
        <w:rPr>
          <w:sz w:val="20"/>
          <w:szCs w:val="20"/>
          <w:color w:val="auto"/>
        </w:rPr>
      </w:pPr>
      <w:r>
        <w:rPr>
          <w:rFonts w:ascii="Times New Roman" w:cs="Times New Roman" w:eastAsia="Times New Roman" w:hAnsi="Times New Roman"/>
          <w:sz w:val="18"/>
          <w:szCs w:val="18"/>
          <w:color w:val="auto"/>
        </w:rPr>
        <w:t xml:space="preserve">Upon receipt of any such withdrawal notice with respect to a Note (or any portion thereof), the Paying Agent will (x) promptly deliver a copy of such withdrawal notice to the Company; and (y) if such Note is surrendered to the Paying Agent, cause such Note (or such portion thereof in accordance with </w:t>
      </w:r>
      <w:r>
        <w:rPr>
          <w:rFonts w:ascii="Times New Roman" w:cs="Times New Roman" w:eastAsia="Times New Roman" w:hAnsi="Times New Roman"/>
          <w:sz w:val="18"/>
          <w:szCs w:val="18"/>
          <w:b w:val="1"/>
          <w:bCs w:val="1"/>
          <w:color w:val="auto"/>
        </w:rPr>
        <w:t>Section 2.11</w:t>
      </w:r>
      <w:r>
        <w:rPr>
          <w:rFonts w:ascii="Times New Roman" w:cs="Times New Roman" w:eastAsia="Times New Roman" w:hAnsi="Times New Roman"/>
          <w:sz w:val="18"/>
          <w:szCs w:val="18"/>
          <w:color w:val="auto"/>
        </w:rPr>
        <w:t>, treating such Note as having been then surrendered for partial repurchase in the amount set forth in such withdrawal notice as remaining subject to repurchase) to be returned to the Holder thereof (or, if applicable with respect to any Global Note, cancel any instructions for book-entry transfer to the Company, the Trustee or the Paying Agent of the applicable beneficial interest in such Note in accordance with the Depositary Procedures).</w:t>
      </w:r>
    </w:p>
    <w:p>
      <w:pPr>
        <w:spacing w:after="0" w:line="77" w:lineRule="exact"/>
        <w:rPr>
          <w:sz w:val="20"/>
          <w:szCs w:val="20"/>
          <w:color w:val="auto"/>
        </w:rPr>
      </w:pPr>
    </w:p>
    <w:p>
      <w:pPr>
        <w:ind w:left="4" w:right="20" w:hanging="4"/>
        <w:spacing w:after="0" w:line="255" w:lineRule="auto"/>
        <w:tabs>
          <w:tab w:leader="none" w:pos="299"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Payment of the Fundamental Change Repurchase Price</w:t>
      </w:r>
      <w:r>
        <w:rPr>
          <w:rFonts w:ascii="Times New Roman" w:cs="Times New Roman" w:eastAsia="Times New Roman" w:hAnsi="Times New Roman"/>
          <w:sz w:val="18"/>
          <w:szCs w:val="18"/>
          <w:color w:val="auto"/>
        </w:rPr>
        <w:t>. Without limiting the Company’s obligation to deposit the Fundamental Change Repurchase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Price within the time proscribed by </w:t>
      </w:r>
      <w:r>
        <w:rPr>
          <w:rFonts w:ascii="Times New Roman" w:cs="Times New Roman" w:eastAsia="Times New Roman" w:hAnsi="Times New Roman"/>
          <w:sz w:val="18"/>
          <w:szCs w:val="18"/>
          <w:b w:val="1"/>
          <w:bCs w:val="1"/>
          <w:color w:val="auto"/>
        </w:rPr>
        <w:t>Section 3.01(B</w:t>
      </w:r>
      <w:r>
        <w:rPr>
          <w:rFonts w:ascii="Times New Roman" w:cs="Times New Roman" w:eastAsia="Times New Roman" w:hAnsi="Times New Roman"/>
          <w:sz w:val="18"/>
          <w:szCs w:val="18"/>
          <w:color w:val="auto"/>
        </w:rPr>
        <w:t xml:space="preserve">), the Company will cause the Fundamental Change Repurchase Price for a Note (or portion thereof) to be repurchased pursuant to a Repurchase Upon Fundamental Change to be paid to the Holder thereof on or before the later of (i) the applicable Fundamental Change Repurchase Date; and (ii) the date (x) such Note is delivered to the Paying Agent (in the case of a Physical Note) or (y) the Depositary Procedures relating to the repurchase, and the delivery to the Paying Agent, of such Holder’s beneficial interest in such Note to be repurchased are complied with (in the case of a Global Note). For the avoidance of doubt, interest payable pursuant to the proviso to the first sentence of </w:t>
      </w:r>
      <w:r>
        <w:rPr>
          <w:rFonts w:ascii="Times New Roman" w:cs="Times New Roman" w:eastAsia="Times New Roman" w:hAnsi="Times New Roman"/>
          <w:sz w:val="18"/>
          <w:szCs w:val="18"/>
          <w:b w:val="1"/>
          <w:bCs w:val="1"/>
          <w:color w:val="auto"/>
        </w:rPr>
        <w:t>Section 4.02(D</w:t>
      </w:r>
      <w:r>
        <w:rPr>
          <w:rFonts w:ascii="Times New Roman" w:cs="Times New Roman" w:eastAsia="Times New Roman" w:hAnsi="Times New Roman"/>
          <w:sz w:val="18"/>
          <w:szCs w:val="18"/>
          <w:color w:val="auto"/>
        </w:rPr>
        <w:t>) on any Note to be repurchased pursuant to a Repurchase Upon Fundamental Change must be paid pursuant to such proviso regardless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whether such Note is delivered or such Depositary Procedures are complied with pursuant to the first sentence of this </w:t>
      </w:r>
      <w:r>
        <w:rPr>
          <w:rFonts w:ascii="Times New Roman" w:cs="Times New Roman" w:eastAsia="Times New Roman" w:hAnsi="Times New Roman"/>
          <w:sz w:val="18"/>
          <w:szCs w:val="18"/>
          <w:b w:val="1"/>
          <w:bCs w:val="1"/>
          <w:color w:val="auto"/>
        </w:rPr>
        <w:t>Section 4.02(G</w:t>
      </w:r>
      <w:r>
        <w:rPr>
          <w:rFonts w:ascii="Times New Roman" w:cs="Times New Roman" w:eastAsia="Times New Roman" w:hAnsi="Times New Roman"/>
          <w:sz w:val="18"/>
          <w:szCs w:val="18"/>
          <w:color w:val="auto"/>
        </w:rPr>
        <w:t>).</w:t>
      </w:r>
    </w:p>
    <w:p>
      <w:pPr>
        <w:spacing w:after="0" w:line="74" w:lineRule="exact"/>
        <w:rPr>
          <w:rFonts w:ascii="Times New Roman" w:cs="Times New Roman" w:eastAsia="Times New Roman" w:hAnsi="Times New Roman"/>
          <w:sz w:val="18"/>
          <w:szCs w:val="18"/>
          <w:color w:val="auto"/>
        </w:rPr>
      </w:pPr>
    </w:p>
    <w:p>
      <w:pPr>
        <w:ind w:left="4" w:right="100" w:hanging="4"/>
        <w:spacing w:after="0" w:line="278" w:lineRule="auto"/>
        <w:tabs>
          <w:tab w:leader="none" w:pos="299"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Third Party May Conduct Repurchase Offer In Lieu of the Company</w:t>
      </w:r>
      <w:r>
        <w:rPr>
          <w:rFonts w:ascii="Times New Roman" w:cs="Times New Roman" w:eastAsia="Times New Roman" w:hAnsi="Times New Roman"/>
          <w:sz w:val="17"/>
          <w:szCs w:val="17"/>
          <w:color w:val="auto"/>
        </w:rPr>
        <w:t>. Notwithstanding anything to the contrary in this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b w:val="1"/>
          <w:bCs w:val="1"/>
          <w:color w:val="auto"/>
        </w:rPr>
        <w:t>Section 4.02</w:t>
      </w:r>
      <w:r>
        <w:rPr>
          <w:rFonts w:ascii="Times New Roman" w:cs="Times New Roman" w:eastAsia="Times New Roman" w:hAnsi="Times New Roman"/>
          <w:sz w:val="17"/>
          <w:szCs w:val="17"/>
          <w:color w:val="auto"/>
        </w:rPr>
        <w:t>, the Company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will be deemed to satisfy its obligations under this </w:t>
      </w:r>
      <w:r>
        <w:rPr>
          <w:rFonts w:ascii="Times New Roman" w:cs="Times New Roman" w:eastAsia="Times New Roman" w:hAnsi="Times New Roman"/>
          <w:sz w:val="17"/>
          <w:szCs w:val="17"/>
          <w:b w:val="1"/>
          <w:bCs w:val="1"/>
          <w:color w:val="auto"/>
        </w:rPr>
        <w:t>Section 4.02</w:t>
      </w:r>
      <w:r>
        <w:rPr>
          <w:rFonts w:ascii="Times New Roman" w:cs="Times New Roman" w:eastAsia="Times New Roman" w:hAnsi="Times New Roman"/>
          <w:sz w:val="17"/>
          <w:szCs w:val="17"/>
          <w:color w:val="auto"/>
        </w:rPr>
        <w:t xml:space="preserve"> if (i) one or more third parties conduct any Repurchase Upon Fundamental Change and related offer to repurchase Notes otherwise required by this </w:t>
      </w:r>
      <w:r>
        <w:rPr>
          <w:rFonts w:ascii="Times New Roman" w:cs="Times New Roman" w:eastAsia="Times New Roman" w:hAnsi="Times New Roman"/>
          <w:sz w:val="17"/>
          <w:szCs w:val="17"/>
          <w:b w:val="1"/>
          <w:bCs w:val="1"/>
          <w:color w:val="auto"/>
        </w:rPr>
        <w:t>Section 4.02</w:t>
      </w:r>
      <w:r>
        <w:rPr>
          <w:rFonts w:ascii="Times New Roman" w:cs="Times New Roman" w:eastAsia="Times New Roman" w:hAnsi="Times New Roman"/>
          <w:sz w:val="17"/>
          <w:szCs w:val="17"/>
          <w:color w:val="auto"/>
        </w:rPr>
        <w:t xml:space="preserve"> in a manner that would have satisfied the requirements of this </w:t>
      </w:r>
      <w:r>
        <w:rPr>
          <w:rFonts w:ascii="Times New Roman" w:cs="Times New Roman" w:eastAsia="Times New Roman" w:hAnsi="Times New Roman"/>
          <w:sz w:val="17"/>
          <w:szCs w:val="17"/>
          <w:b w:val="1"/>
          <w:bCs w:val="1"/>
          <w:color w:val="auto"/>
        </w:rPr>
        <w:t>Section 4.02</w:t>
      </w:r>
      <w:r>
        <w:rPr>
          <w:rFonts w:ascii="Times New Roman" w:cs="Times New Roman" w:eastAsia="Times New Roman" w:hAnsi="Times New Roman"/>
          <w:sz w:val="17"/>
          <w:szCs w:val="17"/>
          <w:color w:val="auto"/>
        </w:rPr>
        <w:t xml:space="preserve"> if conducted directly by the Company; and (ii) an owner of a beneficial interest in any Note repurchased by such third party or parties will not receive a lesser amount (as a result of withholding or other similar taxes) than such owner would have received had the Company repurchased such Note.</w:t>
      </w:r>
    </w:p>
    <w:p>
      <w:pPr>
        <w:spacing w:after="0" w:line="100" w:lineRule="exact"/>
        <w:rPr>
          <w:rFonts w:ascii="Times New Roman" w:cs="Times New Roman" w:eastAsia="Times New Roman" w:hAnsi="Times New Roman"/>
          <w:sz w:val="17"/>
          <w:szCs w:val="17"/>
          <w:color w:val="auto"/>
        </w:rPr>
      </w:pPr>
    </w:p>
    <w:p>
      <w:pPr>
        <w:ind w:left="5424" w:hanging="111"/>
        <w:spacing w:after="0"/>
        <w:tabs>
          <w:tab w:leader="none" w:pos="5424"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35 -</w:t>
      </w:r>
    </w:p>
    <w:p>
      <w:pPr>
        <w:sectPr>
          <w:pgSz w:w="11900" w:h="16838" w:orient="portrait"/>
          <w:cols w:equalWidth="0" w:num="1">
            <w:col w:w="11004"/>
          </w:cols>
          <w:pgMar w:left="436" w:top="270" w:right="459" w:bottom="1440" w:gutter="0" w:footer="0" w:header="0"/>
        </w:sectPr>
      </w:pPr>
    </w:p>
    <w:bookmarkStart w:id="48" w:name="page49"/>
    <w:bookmarkEnd w:id="48"/>
    <w:p>
      <w:pPr>
        <w:jc w:val="both"/>
        <w:ind w:left="4" w:hanging="4"/>
        <w:spacing w:after="0" w:line="258" w:lineRule="auto"/>
        <w:tabs>
          <w:tab w:leader="none" w:pos="22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Requirement to Conduct an Offer to Repurchase Notes if the Fundamental Change Results in the Notes Becoming Exchangeable into an Amount of Cash Exceeding the Fundamental Change Repurchase Price</w:t>
      </w:r>
      <w:r>
        <w:rPr>
          <w:rFonts w:ascii="Times New Roman" w:cs="Times New Roman" w:eastAsia="Times New Roman" w:hAnsi="Times New Roman"/>
          <w:sz w:val="18"/>
          <w:szCs w:val="18"/>
          <w:color w:val="auto"/>
        </w:rPr>
        <w:t>. Notwithstanding anything to the contrary 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4.02</w:t>
      </w:r>
      <w:r>
        <w:rPr>
          <w:rFonts w:ascii="Times New Roman" w:cs="Times New Roman" w:eastAsia="Times New Roman" w:hAnsi="Times New Roman"/>
          <w:sz w:val="18"/>
          <w:szCs w:val="18"/>
          <w:color w:val="auto"/>
        </w:rPr>
        <w:t>, the Company will not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required to send a Fundamental Change Notice pursuant to </w:t>
      </w:r>
      <w:r>
        <w:rPr>
          <w:rFonts w:ascii="Times New Roman" w:cs="Times New Roman" w:eastAsia="Times New Roman" w:hAnsi="Times New Roman"/>
          <w:sz w:val="18"/>
          <w:szCs w:val="18"/>
          <w:b w:val="1"/>
          <w:bCs w:val="1"/>
          <w:color w:val="auto"/>
        </w:rPr>
        <w:t>Section 4.02(E</w:t>
      </w:r>
      <w:r>
        <w:rPr>
          <w:rFonts w:ascii="Times New Roman" w:cs="Times New Roman" w:eastAsia="Times New Roman" w:hAnsi="Times New Roman"/>
          <w:sz w:val="18"/>
          <w:szCs w:val="18"/>
          <w:color w:val="auto"/>
        </w:rPr>
        <w:t>), or offer to repurchase or repurchase any Notes pursuant to this</w:t>
      </w:r>
    </w:p>
    <w:p>
      <w:pPr>
        <w:ind w:left="4" w:right="16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Section 4.02</w:t>
      </w:r>
      <w:r>
        <w:rPr>
          <w:rFonts w:ascii="Times New Roman" w:cs="Times New Roman" w:eastAsia="Times New Roman" w:hAnsi="Times New Roman"/>
          <w:sz w:val="18"/>
          <w:szCs w:val="18"/>
          <w:color w:val="auto"/>
        </w:rPr>
        <w:t>, in connection with a Common Stock Change Event that constitutes a Fundamental Change pursuant to</w:t>
      </w:r>
      <w:r>
        <w:rPr>
          <w:rFonts w:ascii="Times New Roman" w:cs="Times New Roman" w:eastAsia="Times New Roman" w:hAnsi="Times New Roman"/>
          <w:sz w:val="18"/>
          <w:szCs w:val="18"/>
          <w:b w:val="1"/>
          <w:bCs w:val="1"/>
          <w:color w:val="auto"/>
        </w:rPr>
        <w:t xml:space="preserve"> clause (B)(ii) </w:t>
      </w:r>
      <w:r>
        <w:rPr>
          <w:rFonts w:ascii="Times New Roman" w:cs="Times New Roman" w:eastAsia="Times New Roman" w:hAnsi="Times New Roman"/>
          <w:sz w:val="18"/>
          <w:szCs w:val="18"/>
          <w:color w:val="auto"/>
        </w:rPr>
        <w:t>of the definition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thereof (regardless of whether such Common Stock Change Event also constitutes a Fundamental Change pursuant to any other clause of such definition), if (i) the Reference Property of such Common Stock Change Event consists entirely of cash in U.S. dollars; (ii) immediately after such Fundamental Change, the Notes become Exchangeable, pursuant to </w:t>
      </w:r>
      <w:r>
        <w:rPr>
          <w:rFonts w:ascii="Times New Roman" w:cs="Times New Roman" w:eastAsia="Times New Roman" w:hAnsi="Times New Roman"/>
          <w:sz w:val="18"/>
          <w:szCs w:val="18"/>
          <w:b w:val="1"/>
          <w:bCs w:val="1"/>
          <w:color w:val="auto"/>
        </w:rPr>
        <w:t>Section 5.09(A</w:t>
      </w:r>
      <w:r>
        <w:rPr>
          <w:rFonts w:ascii="Times New Roman" w:cs="Times New Roman" w:eastAsia="Times New Roman" w:hAnsi="Times New Roman"/>
          <w:sz w:val="18"/>
          <w:szCs w:val="18"/>
          <w:color w:val="auto"/>
        </w:rPr>
        <w:t xml:space="preserve">) and, if applicable, </w:t>
      </w:r>
      <w:r>
        <w:rPr>
          <w:rFonts w:ascii="Times New Roman" w:cs="Times New Roman" w:eastAsia="Times New Roman" w:hAnsi="Times New Roman"/>
          <w:sz w:val="18"/>
          <w:szCs w:val="18"/>
          <w:b w:val="1"/>
          <w:bCs w:val="1"/>
          <w:color w:val="auto"/>
        </w:rPr>
        <w:t>Section 5.07</w:t>
      </w:r>
      <w:r>
        <w:rPr>
          <w:rFonts w:ascii="Times New Roman" w:cs="Times New Roman" w:eastAsia="Times New Roman" w:hAnsi="Times New Roman"/>
          <w:sz w:val="18"/>
          <w:szCs w:val="18"/>
          <w:color w:val="auto"/>
        </w:rPr>
        <w:t xml:space="preserve">, into consideration that consists solely of U.S. dollars in an amount per $1,000 aggregate principal amount of Notes that equals or exceeds the Fundamental Change Repurchase Price per $1,000 aggregate principal amount of Notes (calculated assuming that the same includes accrued and unpaid interest to, but excluding, the latest possible Fundamental Change Repurchase Date for such Fundamental Change); and (iii) the Company timely sends the notice relating to such Fundamental Change required pursuant to </w:t>
      </w:r>
      <w:r>
        <w:rPr>
          <w:rFonts w:ascii="Times New Roman" w:cs="Times New Roman" w:eastAsia="Times New Roman" w:hAnsi="Times New Roman"/>
          <w:sz w:val="18"/>
          <w:szCs w:val="18"/>
          <w:b w:val="1"/>
          <w:bCs w:val="1"/>
          <w:color w:val="auto"/>
        </w:rPr>
        <w:t>Section 5.01(C)(i)(3)(b)</w:t>
      </w:r>
      <w:r>
        <w:rPr>
          <w:rFonts w:ascii="Times New Roman" w:cs="Times New Roman" w:eastAsia="Times New Roman" w:hAnsi="Times New Roman"/>
          <w:sz w:val="18"/>
          <w:szCs w:val="18"/>
          <w:color w:val="auto"/>
        </w:rPr>
        <w:t xml:space="preserve"> and includes, in such notice, a statement that the Company is relying on this </w:t>
      </w:r>
      <w:r>
        <w:rPr>
          <w:rFonts w:ascii="Times New Roman" w:cs="Times New Roman" w:eastAsia="Times New Roman" w:hAnsi="Times New Roman"/>
          <w:sz w:val="18"/>
          <w:szCs w:val="18"/>
          <w:b w:val="1"/>
          <w:bCs w:val="1"/>
          <w:color w:val="auto"/>
        </w:rPr>
        <w:t>Section 4.02(I</w:t>
      </w:r>
      <w:r>
        <w:rPr>
          <w:rFonts w:ascii="Times New Roman" w:cs="Times New Roman" w:eastAsia="Times New Roman" w:hAnsi="Times New Roman"/>
          <w:sz w:val="18"/>
          <w:szCs w:val="18"/>
          <w:color w:val="auto"/>
        </w:rPr>
        <w:t>).</w:t>
      </w:r>
    </w:p>
    <w:p>
      <w:pPr>
        <w:spacing w:after="0" w:line="83" w:lineRule="exact"/>
        <w:rPr>
          <w:rFonts w:ascii="Times New Roman" w:cs="Times New Roman" w:eastAsia="Times New Roman" w:hAnsi="Times New Roman"/>
          <w:sz w:val="18"/>
          <w:szCs w:val="18"/>
          <w:color w:val="auto"/>
        </w:rPr>
      </w:pPr>
    </w:p>
    <w:p>
      <w:pPr>
        <w:ind w:left="4" w:right="40" w:hanging="4"/>
        <w:spacing w:after="0" w:line="257" w:lineRule="auto"/>
        <w:tabs>
          <w:tab w:leader="none" w:pos="23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Compliance with Applicable Securities Laws</w:t>
      </w:r>
      <w:r>
        <w:rPr>
          <w:rFonts w:ascii="Times New Roman" w:cs="Times New Roman" w:eastAsia="Times New Roman" w:hAnsi="Times New Roman"/>
          <w:sz w:val="18"/>
          <w:szCs w:val="18"/>
          <w:color w:val="auto"/>
        </w:rPr>
        <w:t>. To the extent applicable, the Company will comply, in all material respects, with all federal and state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securities laws in connection with a Repurchase Upon Fundamental Change (including complying with Rules 13e-4 and 14e-1 under the Exchange Act and filing any required Schedule TO, to the extent applicable) so as to permit effecting such Repurchase Upon Fundamental Change in the manner set forth in this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to the extent that the Company’s obligations pursuant to this </w:t>
      </w:r>
      <w:r>
        <w:rPr>
          <w:rFonts w:ascii="Times New Roman" w:cs="Times New Roman" w:eastAsia="Times New Roman" w:hAnsi="Times New Roman"/>
          <w:sz w:val="18"/>
          <w:szCs w:val="18"/>
          <w:b w:val="1"/>
          <w:bCs w:val="1"/>
          <w:color w:val="auto"/>
        </w:rPr>
        <w:t>Section 4.02</w:t>
      </w:r>
      <w:r>
        <w:rPr>
          <w:rFonts w:ascii="Times New Roman" w:cs="Times New Roman" w:eastAsia="Times New Roman" w:hAnsi="Times New Roman"/>
          <w:sz w:val="18"/>
          <w:szCs w:val="18"/>
          <w:color w:val="auto"/>
        </w:rPr>
        <w:t xml:space="preserve"> conflict with any law or regulation that is applicable to the Company and enacted after the Issue Date, the Company’s compliance with such law or regulation will not be considered to be a Default of such obligations.</w:t>
      </w:r>
    </w:p>
    <w:p>
      <w:pPr>
        <w:spacing w:after="0" w:line="72" w:lineRule="exact"/>
        <w:rPr>
          <w:rFonts w:ascii="Times New Roman" w:cs="Times New Roman" w:eastAsia="Times New Roman" w:hAnsi="Times New Roman"/>
          <w:sz w:val="18"/>
          <w:szCs w:val="18"/>
          <w:color w:val="auto"/>
        </w:rPr>
      </w:pPr>
    </w:p>
    <w:p>
      <w:pPr>
        <w:ind w:left="4" w:right="180" w:hanging="4"/>
        <w:spacing w:after="0" w:line="268" w:lineRule="auto"/>
        <w:tabs>
          <w:tab w:leader="none" w:pos="29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Repurchase in Part</w:t>
      </w:r>
      <w:r>
        <w:rPr>
          <w:rFonts w:ascii="Times New Roman" w:cs="Times New Roman" w:eastAsia="Times New Roman" w:hAnsi="Times New Roman"/>
          <w:sz w:val="18"/>
          <w:szCs w:val="18"/>
          <w:color w:val="auto"/>
        </w:rPr>
        <w:t>. Subject to the terms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4.02</w:t>
      </w:r>
      <w:r>
        <w:rPr>
          <w:rFonts w:ascii="Times New Roman" w:cs="Times New Roman" w:eastAsia="Times New Roman" w:hAnsi="Times New Roman"/>
          <w:sz w:val="18"/>
          <w:szCs w:val="18"/>
          <w:color w:val="auto"/>
        </w:rPr>
        <w:t>, Notes may be repurchased pursuant to a Repurchase Upon Fundamental Change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part, but only in Authorized Denominations. Provisions of this </w:t>
      </w:r>
      <w:r>
        <w:rPr>
          <w:rFonts w:ascii="Times New Roman" w:cs="Times New Roman" w:eastAsia="Times New Roman" w:hAnsi="Times New Roman"/>
          <w:sz w:val="18"/>
          <w:szCs w:val="18"/>
          <w:b w:val="1"/>
          <w:bCs w:val="1"/>
          <w:color w:val="auto"/>
        </w:rPr>
        <w:t>Section 4.02</w:t>
      </w:r>
      <w:r>
        <w:rPr>
          <w:rFonts w:ascii="Times New Roman" w:cs="Times New Roman" w:eastAsia="Times New Roman" w:hAnsi="Times New Roman"/>
          <w:sz w:val="18"/>
          <w:szCs w:val="18"/>
          <w:color w:val="auto"/>
        </w:rPr>
        <w:t xml:space="preserve"> applying to the repurchase of a Note in whole will equally apply to the repurchase of a permitted portion of a Note.</w:t>
      </w:r>
    </w:p>
    <w:p>
      <w:pPr>
        <w:spacing w:after="0" w:line="17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4.03. R</w:t>
      </w:r>
      <w:r>
        <w:rPr>
          <w:rFonts w:ascii="Times New Roman" w:cs="Times New Roman" w:eastAsia="Times New Roman" w:hAnsi="Times New Roman"/>
          <w:sz w:val="14"/>
          <w:szCs w:val="14"/>
          <w:b w:val="1"/>
          <w:bCs w:val="1"/>
          <w:color w:val="auto"/>
        </w:rPr>
        <w:t>IGHT OF 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OMPANY TO</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EDEEM THE</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4"/>
          <w:szCs w:val="14"/>
          <w:b w:val="1"/>
          <w:bCs w:val="1"/>
          <w:color w:val="auto"/>
        </w:rPr>
        <w:t>OTES</w:t>
      </w:r>
      <w:r>
        <w:rPr>
          <w:rFonts w:ascii="Times New Roman" w:cs="Times New Roman" w:eastAsia="Times New Roman" w:hAnsi="Times New Roman"/>
          <w:sz w:val="18"/>
          <w:szCs w:val="18"/>
          <w:b w:val="1"/>
          <w:bCs w:val="1"/>
          <w:color w:val="auto"/>
        </w:rPr>
        <w:t>.</w:t>
      </w:r>
    </w:p>
    <w:p>
      <w:pPr>
        <w:spacing w:after="0" w:line="119" w:lineRule="exact"/>
        <w:rPr>
          <w:sz w:val="20"/>
          <w:szCs w:val="20"/>
          <w:color w:val="auto"/>
        </w:rPr>
      </w:pPr>
    </w:p>
    <w:p>
      <w:pPr>
        <w:ind w:left="304" w:hanging="304"/>
        <w:spacing w:after="0"/>
        <w:tabs>
          <w:tab w:leader="none" w:pos="30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Right to Redeem Before June 7, 2027. </w:t>
      </w:r>
      <w:r>
        <w:rPr>
          <w:rFonts w:ascii="Times New Roman" w:cs="Times New Roman" w:eastAsia="Times New Roman" w:hAnsi="Times New Roman"/>
          <w:sz w:val="18"/>
          <w:szCs w:val="18"/>
          <w:color w:val="auto"/>
        </w:rPr>
        <w:t>The Company may not redeem the Notes at its option at any time before June 7, 2027.</w:t>
      </w:r>
    </w:p>
    <w:p>
      <w:pPr>
        <w:spacing w:after="0" w:line="115" w:lineRule="exact"/>
        <w:rPr>
          <w:rFonts w:ascii="Times New Roman" w:cs="Times New Roman" w:eastAsia="Times New Roman" w:hAnsi="Times New Roman"/>
          <w:sz w:val="18"/>
          <w:szCs w:val="18"/>
          <w:color w:val="auto"/>
        </w:rPr>
      </w:pPr>
    </w:p>
    <w:p>
      <w:pPr>
        <w:ind w:left="4" w:right="20" w:hanging="4"/>
        <w:spacing w:after="0" w:line="259" w:lineRule="auto"/>
        <w:tabs>
          <w:tab w:leader="none" w:pos="289"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Right to Redeem the Notes on or After June 7, 2027</w:t>
      </w:r>
      <w:r>
        <w:rPr>
          <w:rFonts w:ascii="Times New Roman" w:cs="Times New Roman" w:eastAsia="Times New Roman" w:hAnsi="Times New Roman"/>
          <w:sz w:val="18"/>
          <w:szCs w:val="18"/>
          <w:color w:val="auto"/>
        </w:rPr>
        <w:t>. Subject to the terms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4.03</w:t>
      </w:r>
      <w:r>
        <w:rPr>
          <w:rFonts w:ascii="Times New Roman" w:cs="Times New Roman" w:eastAsia="Times New Roman" w:hAnsi="Times New Roman"/>
          <w:sz w:val="18"/>
          <w:szCs w:val="18"/>
          <w:color w:val="auto"/>
        </w:rPr>
        <w:t>, the Company has the right, at its election, to redeem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or any portion in an Authorized Denomination, of the Notes, at any time, and from time to time, on a Redemption Date on or after June 7, 2027 and on or before the forty-first (41st) Scheduled Trading Day immediately before the Maturity Date, for a cash purchase price equal to the Redemption Price, but only if (A) the Notes are Freely Tradable (unless the Company elects in the related Redemption Notice for Cash Settlement to apply to all Exchanges of Notes with an Exchange Date that occurs on or after the</w:t>
      </w:r>
    </w:p>
    <w:p>
      <w:pPr>
        <w:spacing w:after="0" w:line="115"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36 -</w:t>
      </w:r>
    </w:p>
    <w:p>
      <w:pPr>
        <w:sectPr>
          <w:pgSz w:w="11900" w:h="16838" w:orient="portrait"/>
          <w:cols w:equalWidth="0" w:num="1">
            <w:col w:w="10924"/>
          </w:cols>
          <w:pgMar w:left="436" w:top="268" w:right="539" w:bottom="1440" w:gutter="0" w:footer="0" w:header="0"/>
        </w:sectPr>
      </w:pPr>
    </w:p>
    <w:bookmarkStart w:id="49" w:name="page50"/>
    <w:bookmarkEnd w:id="49"/>
    <w:p>
      <w:pPr>
        <w:ind w:left="4" w:right="6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Redemption Notice Date for such Redemption and on or before the second Scheduled Trading Day immediately before the related Redemption Date) and any accrued and unpaid Additional Interest through the most recent Interest Payment Date has been paid as of the Redemption Notice Date for such Redemption and (B) the Last Reported Sale Price per share of Common Stock exceeds one hundred and thirty percent (130%) of the Exchange Price on</w:t>
      </w:r>
    </w:p>
    <w:p>
      <w:pPr>
        <w:spacing w:after="0" w:line="2" w:lineRule="exact"/>
        <w:rPr>
          <w:sz w:val="20"/>
          <w:szCs w:val="20"/>
          <w:color w:val="auto"/>
        </w:rPr>
      </w:pPr>
    </w:p>
    <w:p>
      <w:pPr>
        <w:ind w:left="4" w:hanging="4"/>
        <w:spacing w:after="0" w:line="252" w:lineRule="auto"/>
        <w:tabs>
          <w:tab w:leader="none" w:pos="259"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at least twenty (20) Trading Days (whether or not consecutive) during the thirty (30) consecutive Trading Days ending on, and including, the Trading Day immediately before the Redemption Notice Date for such Redemption; and (y) the Trading Day immediately before the Redemption Notice Date for such Redemption;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Company will not be entitled to call less than all of the outstanding Notes for Redemption unless the excess of the principal amount of Notes outstanding as of the time the Company sends the related Redemption Notice over the aggregate principal amount of Notes set forth in such Redemption Notice as being subject to such Redemption is at least one hundred million dollars ($100,000,000). For the avoidance of doubt, the calling (or deemed calling pursuant to </w:t>
      </w:r>
      <w:r>
        <w:rPr>
          <w:rFonts w:ascii="Times New Roman" w:cs="Times New Roman" w:eastAsia="Times New Roman" w:hAnsi="Times New Roman"/>
          <w:sz w:val="18"/>
          <w:szCs w:val="18"/>
          <w:b w:val="1"/>
          <w:bCs w:val="1"/>
          <w:color w:val="auto"/>
        </w:rPr>
        <w:t>Section 4.03(I</w:t>
      </w:r>
      <w:r>
        <w:rPr>
          <w:rFonts w:ascii="Times New Roman" w:cs="Times New Roman" w:eastAsia="Times New Roman" w:hAnsi="Times New Roman"/>
          <w:sz w:val="18"/>
          <w:szCs w:val="18"/>
          <w:color w:val="auto"/>
        </w:rPr>
        <w:t xml:space="preserve">)) of any Notes for Redemption will constitute a Make-Whole Fundamental Change with respect to such Notes pursuant to </w:t>
      </w:r>
      <w:r>
        <w:rPr>
          <w:rFonts w:ascii="Times New Roman" w:cs="Times New Roman" w:eastAsia="Times New Roman" w:hAnsi="Times New Roman"/>
          <w:sz w:val="18"/>
          <w:szCs w:val="18"/>
          <w:b w:val="1"/>
          <w:bCs w:val="1"/>
          <w:color w:val="auto"/>
        </w:rPr>
        <w:t>clause (B)</w:t>
      </w:r>
      <w:r>
        <w:rPr>
          <w:rFonts w:ascii="Times New Roman" w:cs="Times New Roman" w:eastAsia="Times New Roman" w:hAnsi="Times New Roman"/>
          <w:sz w:val="18"/>
          <w:szCs w:val="18"/>
          <w:color w:val="auto"/>
        </w:rPr>
        <w:t xml:space="preserve"> of the definition thereof.</w:t>
      </w:r>
    </w:p>
    <w:p>
      <w:pPr>
        <w:spacing w:after="0" w:line="78" w:lineRule="exact"/>
        <w:rPr>
          <w:sz w:val="20"/>
          <w:szCs w:val="20"/>
          <w:color w:val="auto"/>
        </w:rPr>
      </w:pPr>
    </w:p>
    <w:p>
      <w:pPr>
        <w:ind w:left="4" w:right="20" w:hanging="4"/>
        <w:spacing w:after="0" w:line="257" w:lineRule="auto"/>
        <w:tabs>
          <w:tab w:leader="none" w:pos="289"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Redemption Prohibited in Certain Circumstances</w:t>
      </w:r>
      <w:r>
        <w:rPr>
          <w:rFonts w:ascii="Times New Roman" w:cs="Times New Roman" w:eastAsia="Times New Roman" w:hAnsi="Times New Roman"/>
          <w:sz w:val="18"/>
          <w:szCs w:val="18"/>
          <w:color w:val="auto"/>
        </w:rPr>
        <w:t>. If the principal amount of the Notes has been accelerated and such acceleration has not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rescinded on or before the Redemption Date (except in the case of an acceleration resulting from a Default in the payment of the related Redemption Price, and any related interest pursuant to the proviso to the first sentence of </w:t>
      </w:r>
      <w:r>
        <w:rPr>
          <w:rFonts w:ascii="Times New Roman" w:cs="Times New Roman" w:eastAsia="Times New Roman" w:hAnsi="Times New Roman"/>
          <w:sz w:val="18"/>
          <w:szCs w:val="18"/>
          <w:b w:val="1"/>
          <w:bCs w:val="1"/>
          <w:color w:val="auto"/>
        </w:rPr>
        <w:t>Section 4.03(E</w:t>
      </w:r>
      <w:r>
        <w:rPr>
          <w:rFonts w:ascii="Times New Roman" w:cs="Times New Roman" w:eastAsia="Times New Roman" w:hAnsi="Times New Roman"/>
          <w:sz w:val="18"/>
          <w:szCs w:val="18"/>
          <w:color w:val="auto"/>
        </w:rPr>
        <w:t xml:space="preserve">), on such Redemption Date), then (i) the Company may not call for Redemption or otherwise redeem any Notes pursuant to this </w:t>
      </w:r>
      <w:r>
        <w:rPr>
          <w:rFonts w:ascii="Times New Roman" w:cs="Times New Roman" w:eastAsia="Times New Roman" w:hAnsi="Times New Roman"/>
          <w:sz w:val="18"/>
          <w:szCs w:val="18"/>
          <w:b w:val="1"/>
          <w:bCs w:val="1"/>
          <w:color w:val="auto"/>
        </w:rPr>
        <w:t>Section 4.03</w:t>
      </w:r>
      <w:r>
        <w:rPr>
          <w:rFonts w:ascii="Times New Roman" w:cs="Times New Roman" w:eastAsia="Times New Roman" w:hAnsi="Times New Roman"/>
          <w:sz w:val="18"/>
          <w:szCs w:val="18"/>
          <w:color w:val="auto"/>
        </w:rPr>
        <w:t>; and (ii) the Company will cause any Notes theretofore surrendered for such Redemption to be returned to the Holders thereof (or, if applicable with respect to Global Notes, cancel any instructions for book-entry transfer to the Company, the Trustee or the Paying Agent of the applicable beneficial interests in such Notes in accordance with the Depositary Procedures).</w:t>
      </w:r>
    </w:p>
    <w:p>
      <w:pPr>
        <w:spacing w:after="0" w:line="74" w:lineRule="exact"/>
        <w:rPr>
          <w:rFonts w:ascii="Times New Roman" w:cs="Times New Roman" w:eastAsia="Times New Roman" w:hAnsi="Times New Roman"/>
          <w:sz w:val="18"/>
          <w:szCs w:val="18"/>
          <w:color w:val="auto"/>
        </w:rPr>
      </w:pPr>
    </w:p>
    <w:p>
      <w:pPr>
        <w:ind w:left="4" w:hanging="4"/>
        <w:spacing w:after="0" w:line="284" w:lineRule="auto"/>
        <w:tabs>
          <w:tab w:leader="none" w:pos="299"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Redemption Date</w:t>
      </w:r>
      <w:r>
        <w:rPr>
          <w:rFonts w:ascii="Times New Roman" w:cs="Times New Roman" w:eastAsia="Times New Roman" w:hAnsi="Times New Roman"/>
          <w:sz w:val="18"/>
          <w:szCs w:val="18"/>
          <w:color w:val="auto"/>
        </w:rPr>
        <w:t>. The Redemption Date for any Redemption will be a Business Day of the Company’s choosing that is no more than sixty five (65),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nor less than forty five (45), Scheduled Trading Days after the Redemption Notice Date for such Redemption.</w:t>
      </w:r>
    </w:p>
    <w:p>
      <w:pPr>
        <w:spacing w:after="0" w:line="50" w:lineRule="exact"/>
        <w:rPr>
          <w:rFonts w:ascii="Times New Roman" w:cs="Times New Roman" w:eastAsia="Times New Roman" w:hAnsi="Times New Roman"/>
          <w:sz w:val="18"/>
          <w:szCs w:val="18"/>
          <w:color w:val="auto"/>
        </w:rPr>
      </w:pPr>
    </w:p>
    <w:p>
      <w:pPr>
        <w:ind w:left="4" w:hanging="4"/>
        <w:spacing w:after="0" w:line="253" w:lineRule="auto"/>
        <w:tabs>
          <w:tab w:leader="none" w:pos="279"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Redemption Price</w:t>
      </w:r>
      <w:r>
        <w:rPr>
          <w:rFonts w:ascii="Times New Roman" w:cs="Times New Roman" w:eastAsia="Times New Roman" w:hAnsi="Times New Roman"/>
          <w:sz w:val="18"/>
          <w:szCs w:val="18"/>
          <w:color w:val="auto"/>
        </w:rPr>
        <w:t>. The Redemption Price for any Note called for Redemption is an amount in cash equal to the principal amount of such Note plus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accrued and unpaid interest on such Note to, but excluding, the Redemption Date for such Redemption;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if such Redemption Date is after a Regular Record Date and on or before the next Interest Payment Date, then (i) the Holder of such Note at the Close of Business on such Regular Record Date will be entitled, notwithstanding such Redemption, to receive, on or, at the Company’s election, before such Interest Payment Date, the unpaid interest that would have accrued on such Note to, but excluding, such Interest Payment Date (assuming, solely for these purposes, that such Note remained outstanding through such Interest Payment Date, if such Redemption Date is before such Interest Payment Date); and (ii) the Redemption Price will not include accrued and unpaid interest on such Note to, but excluding, such Redemption Date. For the avoidance of doubt, if an Interest Payment Date is not a Business Day within the meaning of </w:t>
      </w:r>
      <w:r>
        <w:rPr>
          <w:rFonts w:ascii="Times New Roman" w:cs="Times New Roman" w:eastAsia="Times New Roman" w:hAnsi="Times New Roman"/>
          <w:sz w:val="18"/>
          <w:szCs w:val="18"/>
          <w:b w:val="1"/>
          <w:bCs w:val="1"/>
          <w:color w:val="auto"/>
        </w:rPr>
        <w:t>Section 2.05(C</w:t>
      </w:r>
      <w:r>
        <w:rPr>
          <w:rFonts w:ascii="Times New Roman" w:cs="Times New Roman" w:eastAsia="Times New Roman" w:hAnsi="Times New Roman"/>
          <w:sz w:val="18"/>
          <w:szCs w:val="18"/>
          <w:color w:val="auto"/>
        </w:rPr>
        <w:t xml:space="preserve">) and such Redemption Date occurs on the Business Day immediately after such Interest Payment Date, then (x) accrued and unpaid interest on Notes to, but excluding, such Interest Payment Date will be paid, in accordance with </w:t>
      </w:r>
      <w:r>
        <w:rPr>
          <w:rFonts w:ascii="Times New Roman" w:cs="Times New Roman" w:eastAsia="Times New Roman" w:hAnsi="Times New Roman"/>
          <w:sz w:val="18"/>
          <w:szCs w:val="18"/>
          <w:b w:val="1"/>
          <w:bCs w:val="1"/>
          <w:color w:val="auto"/>
        </w:rPr>
        <w:t>Section 2.05(C</w:t>
      </w:r>
      <w:r>
        <w:rPr>
          <w:rFonts w:ascii="Times New Roman" w:cs="Times New Roman" w:eastAsia="Times New Roman" w:hAnsi="Times New Roman"/>
          <w:sz w:val="18"/>
          <w:szCs w:val="18"/>
          <w:color w:val="auto"/>
        </w:rPr>
        <w:t>), on the next Business Day to Holders as of the Close of Business on the immediately preceding Regular Record Date; and (y) the Redemption Price will include interest on Notes to be redeemed from, and including, such Interest Payment Date.</w:t>
      </w:r>
    </w:p>
    <w:p>
      <w:pPr>
        <w:spacing w:after="0" w:line="126"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37 -</w:t>
      </w:r>
    </w:p>
    <w:p>
      <w:pPr>
        <w:sectPr>
          <w:pgSz w:w="11900" w:h="16838" w:orient="portrait"/>
          <w:cols w:equalWidth="0" w:num="1">
            <w:col w:w="11004"/>
          </w:cols>
          <w:pgMar w:left="436" w:top="270" w:right="459" w:bottom="1440" w:gutter="0" w:footer="0" w:header="0"/>
        </w:sectPr>
      </w:pPr>
    </w:p>
    <w:bookmarkStart w:id="50" w:name="page51"/>
    <w:bookmarkEnd w:id="50"/>
    <w:p>
      <w:pPr>
        <w:ind w:left="4" w:hanging="4"/>
        <w:spacing w:after="0" w:line="284" w:lineRule="auto"/>
        <w:tabs>
          <w:tab w:leader="none" w:pos="269"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Redemption Notice</w:t>
      </w:r>
      <w:r>
        <w:rPr>
          <w:rFonts w:ascii="Times New Roman" w:cs="Times New Roman" w:eastAsia="Times New Roman" w:hAnsi="Times New Roman"/>
          <w:sz w:val="18"/>
          <w:szCs w:val="18"/>
          <w:color w:val="auto"/>
        </w:rPr>
        <w:t>. To call any Notes for Redemption, the Company must send to each Holder of such Notes a written notice of such Redemption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Notice</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Such Redemption Notice must state:</w:t>
      </w:r>
    </w:p>
    <w:p>
      <w:pPr>
        <w:spacing w:after="0" w:line="117" w:lineRule="exact"/>
        <w:rPr>
          <w:sz w:val="20"/>
          <w:szCs w:val="20"/>
          <w:color w:val="auto"/>
        </w:rPr>
      </w:pPr>
    </w:p>
    <w:p>
      <w:pPr>
        <w:ind w:left="224" w:hanging="224"/>
        <w:spacing w:after="0"/>
        <w:tabs>
          <w:tab w:leader="none" w:pos="22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such Notes have been called for Redemption, briefly describing the Company’s Redemption right under this Indenture;</w:t>
      </w:r>
    </w:p>
    <w:p>
      <w:pPr>
        <w:spacing w:after="0" w:line="117"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Date for such Redemption;</w:t>
      </w:r>
    </w:p>
    <w:p>
      <w:pPr>
        <w:spacing w:after="0" w:line="117" w:lineRule="exact"/>
        <w:rPr>
          <w:rFonts w:ascii="Times New Roman" w:cs="Times New Roman" w:eastAsia="Times New Roman" w:hAnsi="Times New Roman"/>
          <w:sz w:val="18"/>
          <w:szCs w:val="18"/>
          <w:color w:val="auto"/>
        </w:rPr>
      </w:pPr>
    </w:p>
    <w:p>
      <w:pPr>
        <w:ind w:left="4" w:right="40" w:hanging="4"/>
        <w:spacing w:after="0" w:line="266" w:lineRule="auto"/>
        <w:tabs>
          <w:tab w:leader="none" w:pos="319"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Redemption Price per $1,000 principal amount of Notes for such Redemption (and, if the Redemption Date is after a Regular Record Date and on or before the next Interest Payment Date, the amount, manner and timing of the interest payment payable pursuant to the proviso to the first sentence of </w:t>
      </w:r>
      <w:r>
        <w:rPr>
          <w:rFonts w:ascii="Times New Roman" w:cs="Times New Roman" w:eastAsia="Times New Roman" w:hAnsi="Times New Roman"/>
          <w:sz w:val="18"/>
          <w:szCs w:val="18"/>
          <w:b w:val="1"/>
          <w:bCs w:val="1"/>
          <w:color w:val="auto"/>
        </w:rPr>
        <w:t>Section 4.03(E</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304" w:hanging="304"/>
        <w:spacing w:after="0"/>
        <w:tabs>
          <w:tab w:leader="none" w:pos="30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Paying Agent and the Exchange Agent;</w:t>
      </w:r>
    </w:p>
    <w:p>
      <w:pPr>
        <w:spacing w:after="0" w:line="113" w:lineRule="exact"/>
        <w:rPr>
          <w:rFonts w:ascii="Times New Roman" w:cs="Times New Roman" w:eastAsia="Times New Roman" w:hAnsi="Times New Roman"/>
          <w:sz w:val="18"/>
          <w:szCs w:val="18"/>
          <w:color w:val="auto"/>
        </w:rPr>
      </w:pPr>
    </w:p>
    <w:p>
      <w:pPr>
        <w:ind w:left="4" w:right="200" w:hanging="4"/>
        <w:spacing w:after="0" w:line="268" w:lineRule="auto"/>
        <w:tabs>
          <w:tab w:leader="none" w:pos="259"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Notes called for Redemption (or deemed to have been called, pursuant to </w:t>
      </w:r>
      <w:r>
        <w:rPr>
          <w:rFonts w:ascii="Times New Roman" w:cs="Times New Roman" w:eastAsia="Times New Roman" w:hAnsi="Times New Roman"/>
          <w:sz w:val="18"/>
          <w:szCs w:val="18"/>
          <w:b w:val="1"/>
          <w:bCs w:val="1"/>
          <w:color w:val="auto"/>
        </w:rPr>
        <w:t>Section 4.03(I)</w:t>
      </w:r>
      <w:r>
        <w:rPr>
          <w:rFonts w:ascii="Times New Roman" w:cs="Times New Roman" w:eastAsia="Times New Roman" w:hAnsi="Times New Roman"/>
          <w:sz w:val="18"/>
          <w:szCs w:val="18"/>
          <w:color w:val="auto"/>
        </w:rPr>
        <w:t>) may be Exchanged at any time before the Close of Business on the second (2nd) Scheduled Trading Day immediately before the Redemption Date (or, if the Company fails to pay the Redemption Price due on such Redemption Date in full, at any time until such time as the Company pays such Redemption Price in full);</w:t>
      </w:r>
    </w:p>
    <w:p>
      <w:pPr>
        <w:spacing w:after="0" w:line="66" w:lineRule="exact"/>
        <w:rPr>
          <w:rFonts w:ascii="Times New Roman" w:cs="Times New Roman" w:eastAsia="Times New Roman" w:hAnsi="Times New Roman"/>
          <w:sz w:val="18"/>
          <w:szCs w:val="18"/>
          <w:color w:val="auto"/>
        </w:rPr>
      </w:pPr>
    </w:p>
    <w:p>
      <w:pPr>
        <w:ind w:left="4" w:right="340" w:hanging="4"/>
        <w:spacing w:after="0" w:line="282" w:lineRule="auto"/>
        <w:tabs>
          <w:tab w:leader="none" w:pos="309"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Exchange Rate in effect on the Redemption Notice Date for such Redemption and a description and quantification of any adjustments to the Exchange Rate that may result from such Redemption (including pursuant to </w:t>
      </w:r>
      <w:r>
        <w:rPr>
          <w:rFonts w:ascii="Times New Roman" w:cs="Times New Roman" w:eastAsia="Times New Roman" w:hAnsi="Times New Roman"/>
          <w:sz w:val="18"/>
          <w:szCs w:val="18"/>
          <w:b w:val="1"/>
          <w:bCs w:val="1"/>
          <w:color w:val="auto"/>
        </w:rPr>
        <w:t>Section 5.07</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4" w:right="160" w:hanging="4"/>
        <w:spacing w:after="0" w:line="282" w:lineRule="auto"/>
        <w:tabs>
          <w:tab w:leader="none" w:pos="359"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Settlement Method that will apply to all Exchanges of Notes with an Exchange Date that occurs on or after such Redemption Notice Date and on or before the second (2nd) Scheduled Trading Day before such Redemption Date; and</w:t>
      </w:r>
    </w:p>
    <w:p>
      <w:pPr>
        <w:spacing w:after="0" w:line="53" w:lineRule="exact"/>
        <w:rPr>
          <w:rFonts w:ascii="Times New Roman" w:cs="Times New Roman" w:eastAsia="Times New Roman" w:hAnsi="Times New Roman"/>
          <w:sz w:val="18"/>
          <w:szCs w:val="18"/>
          <w:color w:val="auto"/>
        </w:rPr>
      </w:pPr>
    </w:p>
    <w:p>
      <w:pPr>
        <w:ind w:left="404" w:hanging="404"/>
        <w:spacing w:after="0"/>
        <w:tabs>
          <w:tab w:leader="none" w:pos="40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CUSIP and ISIN numbers, if any, of the Notes.</w:t>
      </w:r>
    </w:p>
    <w:p>
      <w:pPr>
        <w:spacing w:after="0" w:line="225" w:lineRule="exact"/>
        <w:rPr>
          <w:sz w:val="20"/>
          <w:szCs w:val="20"/>
          <w:color w:val="auto"/>
        </w:rPr>
      </w:pPr>
    </w:p>
    <w:p>
      <w:pPr>
        <w:ind w:left="4" w:right="80" w:firstLine="440"/>
        <w:spacing w:after="0" w:line="282" w:lineRule="auto"/>
        <w:rPr>
          <w:sz w:val="20"/>
          <w:szCs w:val="20"/>
          <w:color w:val="auto"/>
        </w:rPr>
      </w:pPr>
      <w:r>
        <w:rPr>
          <w:rFonts w:ascii="Times New Roman" w:cs="Times New Roman" w:eastAsia="Times New Roman" w:hAnsi="Times New Roman"/>
          <w:sz w:val="18"/>
          <w:szCs w:val="18"/>
          <w:color w:val="auto"/>
        </w:rPr>
        <w:t>On or before the Redemption Notice Date, the Company will send a copy of such Redemption Notice to the Trustee, the Exchange Agent and the Paying Agent.</w:t>
      </w:r>
    </w:p>
    <w:p>
      <w:pPr>
        <w:spacing w:after="0" w:line="52" w:lineRule="exact"/>
        <w:rPr>
          <w:sz w:val="20"/>
          <w:szCs w:val="20"/>
          <w:color w:val="auto"/>
        </w:rPr>
      </w:pPr>
    </w:p>
    <w:p>
      <w:pPr>
        <w:ind w:left="304" w:hanging="304"/>
        <w:spacing w:after="0"/>
        <w:tabs>
          <w:tab w:leader="none" w:pos="30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Selection and Exchange of Notes to Be Redeemed in Part</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jc w:val="both"/>
        <w:ind w:left="4" w:right="160" w:hanging="4"/>
        <w:spacing w:after="0" w:line="266" w:lineRule="auto"/>
        <w:tabs>
          <w:tab w:leader="none" w:pos="219"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less than all Notes then outstanding are called for Redemption, then the Notes to be redeemed will be selected by the Company as follows: (1) in the case of Global Notes, in accordance with the Depositary Procedures; and (2) in the case of Physical Notes, pro rata, by lot or by such other method the Company considers fair and appropriate.</w:t>
      </w:r>
    </w:p>
    <w:p>
      <w:pPr>
        <w:spacing w:after="0" w:line="108"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38 -</w:t>
      </w:r>
    </w:p>
    <w:p>
      <w:pPr>
        <w:sectPr>
          <w:pgSz w:w="11900" w:h="16838" w:orient="portrait"/>
          <w:cols w:equalWidth="0" w:num="1">
            <w:col w:w="10984"/>
          </w:cols>
          <w:pgMar w:left="436" w:top="268" w:right="479" w:bottom="1440" w:gutter="0" w:footer="0" w:header="0"/>
        </w:sectPr>
      </w:pPr>
    </w:p>
    <w:bookmarkStart w:id="51" w:name="page52"/>
    <w:bookmarkEnd w:id="51"/>
    <w:p>
      <w:pPr>
        <w:ind w:left="4" w:right="40" w:hanging="4"/>
        <w:spacing w:after="0" w:line="282" w:lineRule="auto"/>
        <w:tabs>
          <w:tab w:leader="none" w:pos="269"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only a portion of a Note is subject to Redemption and such Note is Exchanged in part, then the Exchanged portion of such Note will be deemed to be from the portion of such Note that was subject to Redemption.</w:t>
      </w:r>
    </w:p>
    <w:p>
      <w:pPr>
        <w:spacing w:after="0" w:line="16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(H) </w:t>
      </w:r>
      <w:r>
        <w:rPr>
          <w:rFonts w:ascii="Times New Roman" w:cs="Times New Roman" w:eastAsia="Times New Roman" w:hAnsi="Times New Roman"/>
          <w:sz w:val="18"/>
          <w:szCs w:val="18"/>
          <w:i w:val="1"/>
          <w:iCs w:val="1"/>
          <w:color w:val="auto"/>
        </w:rPr>
        <w:t>Payment of the Redemption Price</w:t>
      </w:r>
      <w:r>
        <w:rPr>
          <w:rFonts w:ascii="Times New Roman" w:cs="Times New Roman" w:eastAsia="Times New Roman" w:hAnsi="Times New Roman"/>
          <w:sz w:val="18"/>
          <w:szCs w:val="18"/>
          <w:color w:val="auto"/>
        </w:rPr>
        <w:t>. Without limiting the Company’s obligation to deposit the Redemption Price by the time proscribed by</w:t>
      </w:r>
    </w:p>
    <w:p>
      <w:pPr>
        <w:spacing w:after="0" w:line="29" w:lineRule="exact"/>
        <w:rPr>
          <w:sz w:val="20"/>
          <w:szCs w:val="20"/>
          <w:color w:val="auto"/>
        </w:rPr>
      </w:pPr>
    </w:p>
    <w:p>
      <w:pPr>
        <w:ind w:left="4"/>
        <w:spacing w:after="0" w:line="255" w:lineRule="auto"/>
        <w:rPr>
          <w:sz w:val="20"/>
          <w:szCs w:val="20"/>
          <w:color w:val="auto"/>
        </w:rPr>
      </w:pPr>
      <w:r>
        <w:rPr>
          <w:rFonts w:ascii="Times New Roman" w:cs="Times New Roman" w:eastAsia="Times New Roman" w:hAnsi="Times New Roman"/>
          <w:sz w:val="18"/>
          <w:szCs w:val="18"/>
          <w:b w:val="1"/>
          <w:bCs w:val="1"/>
          <w:color w:val="auto"/>
        </w:rPr>
        <w:t>Section 3.01(B</w:t>
      </w:r>
      <w:r>
        <w:rPr>
          <w:rFonts w:ascii="Times New Roman" w:cs="Times New Roman" w:eastAsia="Times New Roman" w:hAnsi="Times New Roman"/>
          <w:sz w:val="18"/>
          <w:szCs w:val="18"/>
          <w:color w:val="auto"/>
        </w:rPr>
        <w:t>), the Company will cause the Redemption Price for a Note (or portion thereof) subject to Redemption to be paid to the Holder thereof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or before the applicable Redemption Date. For the avoidance of doubt, interest payable pursuant to the proviso to the first sentence of </w:t>
      </w:r>
      <w:r>
        <w:rPr>
          <w:rFonts w:ascii="Times New Roman" w:cs="Times New Roman" w:eastAsia="Times New Roman" w:hAnsi="Times New Roman"/>
          <w:sz w:val="18"/>
          <w:szCs w:val="18"/>
          <w:b w:val="1"/>
          <w:bCs w:val="1"/>
          <w:color w:val="auto"/>
        </w:rPr>
        <w:t>Section 4.03(E</w:t>
      </w:r>
      <w:r>
        <w:rPr>
          <w:rFonts w:ascii="Times New Roman" w:cs="Times New Roman" w:eastAsia="Times New Roman" w:hAnsi="Times New Roman"/>
          <w:sz w:val="18"/>
          <w:szCs w:val="18"/>
          <w:color w:val="auto"/>
        </w:rPr>
        <w:t>) on any Note (or portion thereof) subject to Redemption must be paid pursuant to such proviso.</w:t>
      </w:r>
    </w:p>
    <w:p>
      <w:pPr>
        <w:spacing w:after="0" w:line="74" w:lineRule="exact"/>
        <w:rPr>
          <w:sz w:val="20"/>
          <w:szCs w:val="20"/>
          <w:color w:val="auto"/>
        </w:rPr>
      </w:pPr>
    </w:p>
    <w:p>
      <w:pPr>
        <w:ind w:left="4" w:right="40" w:hanging="4"/>
        <w:spacing w:after="0" w:line="256" w:lineRule="auto"/>
        <w:tabs>
          <w:tab w:leader="none" w:pos="229"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Special Provisions for Partial Calls</w:t>
      </w:r>
      <w:r>
        <w:rPr>
          <w:rFonts w:ascii="Times New Roman" w:cs="Times New Roman" w:eastAsia="Times New Roman" w:hAnsi="Times New Roman"/>
          <w:sz w:val="18"/>
          <w:szCs w:val="18"/>
          <w:color w:val="auto"/>
        </w:rPr>
        <w:t>. If the Company elects to redeem less than all of the outstanding Notes pursuant 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4.03</w:t>
      </w:r>
      <w:r>
        <w:rPr>
          <w:rFonts w:ascii="Times New Roman" w:cs="Times New Roman" w:eastAsia="Times New Roman" w:hAnsi="Times New Roman"/>
          <w:sz w:val="18"/>
          <w:szCs w:val="18"/>
          <w:color w:val="auto"/>
        </w:rPr>
        <w:t>,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Holder of any Note, or any owner of a beneficial interest in any Global Note, is reasonably not able to determine, before the Close of Business on the forty second (42nd) Scheduled Trading Day immediately before the Redemption Date for such Redemption, whether such Note or beneficial interest, as applicable, is to be redeemed pursuant to such Redemption, then such Holder or owner, as applicable, will be entitled to Exchange such Note or beneficial interest, as applicable, at any time before the Close of Business on the second (2nd) Scheduled Trading Day immediately before such Redemption Date (subject to extension pursuant to </w:t>
      </w:r>
      <w:r>
        <w:rPr>
          <w:rFonts w:ascii="Times New Roman" w:cs="Times New Roman" w:eastAsia="Times New Roman" w:hAnsi="Times New Roman"/>
          <w:sz w:val="18"/>
          <w:szCs w:val="18"/>
          <w:b w:val="1"/>
          <w:bCs w:val="1"/>
          <w:color w:val="auto"/>
        </w:rPr>
        <w:t>Section 5.01(C)(i)(4</w:t>
      </w:r>
      <w:r>
        <w:rPr>
          <w:rFonts w:ascii="Times New Roman" w:cs="Times New Roman" w:eastAsia="Times New Roman" w:hAnsi="Times New Roman"/>
          <w:sz w:val="18"/>
          <w:szCs w:val="18"/>
          <w:color w:val="auto"/>
        </w:rPr>
        <w:t xml:space="preserve">)), and each such Exchange will be deemed to be of a Note called for Redemption for purposes of this </w:t>
      </w:r>
      <w:r>
        <w:rPr>
          <w:rFonts w:ascii="Times New Roman" w:cs="Times New Roman" w:eastAsia="Times New Roman" w:hAnsi="Times New Roman"/>
          <w:sz w:val="18"/>
          <w:szCs w:val="18"/>
          <w:b w:val="1"/>
          <w:bCs w:val="1"/>
          <w:color w:val="auto"/>
        </w:rPr>
        <w:t>Section 4.03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Sections 5.01(C)(i)(4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5.07</w:t>
      </w:r>
      <w:r>
        <w:rPr>
          <w:rFonts w:ascii="Times New Roman" w:cs="Times New Roman" w:eastAsia="Times New Roman" w:hAnsi="Times New Roman"/>
          <w:sz w:val="18"/>
          <w:szCs w:val="18"/>
          <w:color w:val="auto"/>
        </w:rPr>
        <w:t>.</w:t>
      </w:r>
    </w:p>
    <w:p>
      <w:pPr>
        <w:spacing w:after="0" w:line="39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Article 5. EXCHANGE</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5.01. R</w:t>
      </w:r>
      <w:r>
        <w:rPr>
          <w:rFonts w:ascii="Times New Roman" w:cs="Times New Roman" w:eastAsia="Times New Roman" w:hAnsi="Times New Roman"/>
          <w:sz w:val="14"/>
          <w:szCs w:val="14"/>
          <w:b w:val="1"/>
          <w:bCs w:val="1"/>
          <w:color w:val="auto"/>
        </w:rPr>
        <w:t>IGHT TO</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XCHANGE</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ind w:left="304" w:hanging="304"/>
        <w:spacing w:after="0"/>
        <w:tabs>
          <w:tab w:leader="none" w:pos="30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 Subject to the provisions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Article 5</w:t>
      </w:r>
      <w:r>
        <w:rPr>
          <w:rFonts w:ascii="Times New Roman" w:cs="Times New Roman" w:eastAsia="Times New Roman" w:hAnsi="Times New Roman"/>
          <w:sz w:val="18"/>
          <w:szCs w:val="18"/>
          <w:color w:val="auto"/>
        </w:rPr>
        <w:t>, each Holder may, at its option, Exchange such Holder’s Notes into Exchange Consideration.</w:t>
      </w:r>
    </w:p>
    <w:p>
      <w:pPr>
        <w:spacing w:after="0" w:line="119" w:lineRule="exact"/>
        <w:rPr>
          <w:rFonts w:ascii="Times New Roman" w:cs="Times New Roman" w:eastAsia="Times New Roman" w:hAnsi="Times New Roman"/>
          <w:sz w:val="18"/>
          <w:szCs w:val="18"/>
          <w:color w:val="auto"/>
        </w:rPr>
      </w:pPr>
    </w:p>
    <w:p>
      <w:pPr>
        <w:ind w:left="4" w:right="260" w:hanging="4"/>
        <w:spacing w:after="0" w:line="284" w:lineRule="auto"/>
        <w:tabs>
          <w:tab w:leader="none" w:pos="289"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Exchanges in Part</w:t>
      </w:r>
      <w:r>
        <w:rPr>
          <w:rFonts w:ascii="Times New Roman" w:cs="Times New Roman" w:eastAsia="Times New Roman" w:hAnsi="Times New Roman"/>
          <w:sz w:val="18"/>
          <w:szCs w:val="18"/>
          <w:color w:val="auto"/>
        </w:rPr>
        <w:t>. Subject to the terms of this Indenture, Notes may be Exchanged in part, but only in Authorized Denominations. Provisions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Article 5</w:t>
      </w:r>
      <w:r>
        <w:rPr>
          <w:rFonts w:ascii="Times New Roman" w:cs="Times New Roman" w:eastAsia="Times New Roman" w:hAnsi="Times New Roman"/>
          <w:sz w:val="18"/>
          <w:szCs w:val="18"/>
          <w:color w:val="auto"/>
        </w:rPr>
        <w:t xml:space="preserve"> applying to the Exchange of a Note in whole will equally apply to Exchanges of a permitted portion of a Note.</w:t>
      </w:r>
    </w:p>
    <w:p>
      <w:pPr>
        <w:spacing w:after="0" w:line="50" w:lineRule="exact"/>
        <w:rPr>
          <w:rFonts w:ascii="Times New Roman" w:cs="Times New Roman" w:eastAsia="Times New Roman" w:hAnsi="Times New Roman"/>
          <w:sz w:val="18"/>
          <w:szCs w:val="18"/>
          <w:color w:val="auto"/>
        </w:rPr>
      </w:pPr>
    </w:p>
    <w:p>
      <w:pPr>
        <w:ind w:left="284" w:hanging="284"/>
        <w:spacing w:after="0"/>
        <w:tabs>
          <w:tab w:leader="none" w:pos="28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When Notes May Be Exchanged</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ind w:left="224" w:hanging="224"/>
        <w:spacing w:after="0"/>
        <w:tabs>
          <w:tab w:leader="none" w:pos="22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5.01(C)(ii</w:t>
      </w:r>
      <w:r>
        <w:rPr>
          <w:rFonts w:ascii="Times New Roman" w:cs="Times New Roman" w:eastAsia="Times New Roman" w:hAnsi="Times New Roman"/>
          <w:sz w:val="18"/>
          <w:szCs w:val="18"/>
          <w:color w:val="auto"/>
        </w:rPr>
        <w:t>), a Note may be Exchanged only in the following circumstances:</w:t>
      </w:r>
    </w:p>
    <w:p>
      <w:pPr>
        <w:spacing w:after="0" w:line="119" w:lineRule="exact"/>
        <w:rPr>
          <w:rFonts w:ascii="Times New Roman" w:cs="Times New Roman" w:eastAsia="Times New Roman" w:hAnsi="Times New Roman"/>
          <w:sz w:val="18"/>
          <w:szCs w:val="18"/>
          <w:color w:val="auto"/>
        </w:rPr>
      </w:pPr>
    </w:p>
    <w:p>
      <w:pPr>
        <w:ind w:left="984" w:firstLine="408"/>
        <w:spacing w:after="0" w:line="258" w:lineRule="auto"/>
        <w:tabs>
          <w:tab w:leader="none" w:pos="1639" w:val="left"/>
        </w:tabs>
        <w:numPr>
          <w:ilvl w:val="2"/>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Exchange Upon Satisfaction of Common Stock Sale Price Condition</w:t>
      </w:r>
      <w:r>
        <w:rPr>
          <w:rFonts w:ascii="Times New Roman" w:cs="Times New Roman" w:eastAsia="Times New Roman" w:hAnsi="Times New Roman"/>
          <w:sz w:val="18"/>
          <w:szCs w:val="18"/>
          <w:color w:val="auto"/>
        </w:rPr>
        <w:t>. A Holder may Exchange its Notes during any calendar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 (and only during such calendar quarter) commencing after the calendar quarter ending on September 30, 2024, if the Last Reported Sale Price per share of Common Stock exceeds one hundred and thirty percent (130%) of the Exchange Price for each of at least twenty</w:t>
      </w:r>
    </w:p>
    <w:p>
      <w:pPr>
        <w:ind w:left="984" w:right="40" w:firstLine="7"/>
        <w:spacing w:after="0" w:line="260" w:lineRule="auto"/>
        <w:tabs>
          <w:tab w:leader="none" w:pos="1326"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Days (whether or not consecutive) during the thirty (30) consecutive Trading Days ending on, and including, the last Trading Day of the immediately preceding calendar quarter.</w:t>
      </w:r>
    </w:p>
    <w:p>
      <w:pPr>
        <w:spacing w:after="0" w:line="113"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3"/>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39 -</w:t>
      </w:r>
    </w:p>
    <w:p>
      <w:pPr>
        <w:sectPr>
          <w:pgSz w:w="11900" w:h="16838" w:orient="portrait"/>
          <w:cols w:equalWidth="0" w:num="1">
            <w:col w:w="10984"/>
          </w:cols>
          <w:pgMar w:left="436" w:top="270" w:right="479" w:bottom="1440" w:gutter="0" w:footer="0" w:header="0"/>
        </w:sectPr>
      </w:pPr>
    </w:p>
    <w:bookmarkStart w:id="52" w:name="page53"/>
    <w:bookmarkEnd w:id="52"/>
    <w:p>
      <w:pPr>
        <w:ind w:left="984" w:right="20" w:firstLine="408"/>
        <w:spacing w:after="0" w:line="257" w:lineRule="auto"/>
        <w:tabs>
          <w:tab w:leader="none" w:pos="1639"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Exchange Upon Satisfaction of Note Trading Price Condition</w:t>
      </w:r>
      <w:r>
        <w:rPr>
          <w:rFonts w:ascii="Times New Roman" w:cs="Times New Roman" w:eastAsia="Times New Roman" w:hAnsi="Times New Roman"/>
          <w:sz w:val="18"/>
          <w:szCs w:val="18"/>
          <w:color w:val="auto"/>
        </w:rPr>
        <w:t>. A Holder may Exchange its Notes during the five (5) consecutive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Days immediately after any ten (10) consecutive Trading Day period (such ten (10) consecutive Trading Day period, the “</w:t>
      </w:r>
      <w:r>
        <w:rPr>
          <w:rFonts w:ascii="Times New Roman" w:cs="Times New Roman" w:eastAsia="Times New Roman" w:hAnsi="Times New Roman"/>
          <w:sz w:val="18"/>
          <w:szCs w:val="18"/>
          <w:b w:val="1"/>
          <w:bCs w:val="1"/>
          <w:color w:val="auto"/>
        </w:rPr>
        <w:t>Measurement Period</w:t>
      </w:r>
      <w:r>
        <w:rPr>
          <w:rFonts w:ascii="Times New Roman" w:cs="Times New Roman" w:eastAsia="Times New Roman" w:hAnsi="Times New Roman"/>
          <w:sz w:val="18"/>
          <w:szCs w:val="18"/>
          <w:color w:val="auto"/>
        </w:rPr>
        <w:t>”) if the Trading Price per $1,000 principal amount of Notes, as determined following a request by a Holder in accordance with the procedures set forth below, for each Trading Day of the Measurement Period was less than ninety eight percent (98%) of the product of the Last Reported Sale Price per share of Common Stock on such Trading Day and the Exchange Rate on such Trading Day. The condition set forth in the preceding sentence is referred to in this Indenture as the “</w:t>
      </w:r>
      <w:r>
        <w:rPr>
          <w:rFonts w:ascii="Times New Roman" w:cs="Times New Roman" w:eastAsia="Times New Roman" w:hAnsi="Times New Roman"/>
          <w:sz w:val="18"/>
          <w:szCs w:val="18"/>
          <w:b w:val="1"/>
          <w:bCs w:val="1"/>
          <w:color w:val="auto"/>
        </w:rPr>
        <w:t>Trading Price Condition</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left="984"/>
        <w:spacing w:after="0" w:line="253" w:lineRule="auto"/>
        <w:rPr>
          <w:sz w:val="20"/>
          <w:szCs w:val="20"/>
          <w:color w:val="auto"/>
        </w:rPr>
      </w:pPr>
      <w:r>
        <w:rPr>
          <w:rFonts w:ascii="Times New Roman" w:cs="Times New Roman" w:eastAsia="Times New Roman" w:hAnsi="Times New Roman"/>
          <w:sz w:val="18"/>
          <w:szCs w:val="18"/>
          <w:color w:val="auto"/>
        </w:rPr>
        <w:t xml:space="preserve">The Trading Price will be determined by the Bid Solicitation Agent pursuant to this </w:t>
      </w:r>
      <w:r>
        <w:rPr>
          <w:rFonts w:ascii="Times New Roman" w:cs="Times New Roman" w:eastAsia="Times New Roman" w:hAnsi="Times New Roman"/>
          <w:sz w:val="18"/>
          <w:szCs w:val="18"/>
          <w:b w:val="1"/>
          <w:bCs w:val="1"/>
          <w:color w:val="auto"/>
        </w:rPr>
        <w:t>Section 5.01(C)(i)(2</w:t>
      </w:r>
      <w:r>
        <w:rPr>
          <w:rFonts w:ascii="Times New Roman" w:cs="Times New Roman" w:eastAsia="Times New Roman" w:hAnsi="Times New Roman"/>
          <w:sz w:val="18"/>
          <w:szCs w:val="18"/>
          <w:color w:val="auto"/>
        </w:rPr>
        <w:t>) and the definition of “Trading Price.” The Bid Solicitation Agent (if not the Company) will have no obligation to determine the Trading Price of the Notes unless the Company has requested such determination in writing, and the Company will have no obligation to make such request (or seek bids itself) unless a Holder of at least five million ($5,000,000) in aggregate principal amount of Notes provides the Company with reasonable evidence that the Trading Price per $1,000 principal amount of Notes would be less than ninety eight percent (98%) of the product of the Last Reported Sale Price per share of Common Stock and the Exchange Rate. If a Holder provides such evidence, then the Company will (if acting as Bid Solicitation Agent), or will instruct the Bid Solicitation Agent to, determine the Trading Price of the Notes beginning on the next Trading Day and on each successive Trading Day until the Trading Price per $1,000 principal amount of Notes is greater than or equal to ninety eight percent (98%) of the product of the Last Reported Sale Price per share of Common Stock on such Trading Day and the Exchange Rate on such Trading Day. If the Trading Price Condition has been met as set forth above, then the Company will notify the Holders, the Trustee and the Exchange Agent of the same. If, on any Trading Day after the Trading Price Condition has been met as set forth above, the Trading Price per $1,000 principal amount of Notes is greater than or equal to ninety eight percent (98%) of the product of the Last Reported Sale Price per share of Common Stock on such Trading Day and the Exchange Rate on such Trading Day, then the Company will notify the Holders, the Trustee and the Exchange Agent of the same.</w:t>
      </w:r>
    </w:p>
    <w:p>
      <w:pPr>
        <w:spacing w:after="0" w:line="79" w:lineRule="exact"/>
        <w:rPr>
          <w:sz w:val="20"/>
          <w:szCs w:val="20"/>
          <w:color w:val="auto"/>
        </w:rPr>
      </w:pPr>
    </w:p>
    <w:p>
      <w:pPr>
        <w:ind w:left="1644" w:hanging="252"/>
        <w:spacing w:after="0"/>
        <w:tabs>
          <w:tab w:leader="none" w:pos="1644"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Exchange Upon Specified Corporate Events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Certain Distributions</w:t>
      </w:r>
      <w:r>
        <w:rPr>
          <w:rFonts w:ascii="Times New Roman" w:cs="Times New Roman" w:eastAsia="Times New Roman" w:hAnsi="Times New Roman"/>
          <w:sz w:val="18"/>
          <w:szCs w:val="18"/>
          <w:color w:val="auto"/>
        </w:rPr>
        <w:t>. If, before March 1, 2029, Holdings elects to:</w:t>
      </w:r>
    </w:p>
    <w:p>
      <w:pPr>
        <w:spacing w:after="0" w:line="119" w:lineRule="exact"/>
        <w:rPr>
          <w:sz w:val="20"/>
          <w:szCs w:val="20"/>
          <w:color w:val="auto"/>
        </w:rPr>
      </w:pPr>
    </w:p>
    <w:p>
      <w:pPr>
        <w:ind w:left="4" w:hanging="4"/>
        <w:spacing w:after="0" w:line="255" w:lineRule="auto"/>
        <w:tabs>
          <w:tab w:leader="none" w:pos="229"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distribute, to all or substantially all holders of Common Stock, any rights, options or warrants (other than rights issued pursuant to a stockholder rights plan, so long as such rights have not separated from the Common Stock and are not exercisable until the occurrence of a triggering event, except that such rights will be deemed to be distributed under this </w:t>
      </w:r>
      <w:r>
        <w:rPr>
          <w:rFonts w:ascii="Times New Roman" w:cs="Times New Roman" w:eastAsia="Times New Roman" w:hAnsi="Times New Roman"/>
          <w:sz w:val="18"/>
          <w:szCs w:val="18"/>
          <w:b w:val="1"/>
          <w:bCs w:val="1"/>
          <w:color w:val="auto"/>
        </w:rPr>
        <w:t>clause (I</w:t>
      </w:r>
      <w:r>
        <w:rPr>
          <w:rFonts w:ascii="Times New Roman" w:cs="Times New Roman" w:eastAsia="Times New Roman" w:hAnsi="Times New Roman"/>
          <w:sz w:val="18"/>
          <w:szCs w:val="18"/>
          <w:color w:val="auto"/>
        </w:rPr>
        <w:t xml:space="preserve">) upon their separation from the Common Stock or upon the occurrence of such triggering event) entitling them, for a period of not more than sixty (60) calendar days after the record date of such distribution, to subscribe for or purchase shares of Common Stock at a price per share that is less than the average of the Last Reported Sale Prices per share of Common Stock for the ten (10) consecutive Trading Days ending on, and including, the Trading Day immediately before the date such distribution is announced (determined in the manner set forth in the third paragraph of </w:t>
      </w:r>
      <w:r>
        <w:rPr>
          <w:rFonts w:ascii="Times New Roman" w:cs="Times New Roman" w:eastAsia="Times New Roman" w:hAnsi="Times New Roman"/>
          <w:sz w:val="18"/>
          <w:szCs w:val="18"/>
          <w:b w:val="1"/>
          <w:bCs w:val="1"/>
          <w:color w:val="auto"/>
        </w:rPr>
        <w:t>Section 5.05(A)(ii</w:t>
      </w:r>
      <w:r>
        <w:rPr>
          <w:rFonts w:ascii="Times New Roman" w:cs="Times New Roman" w:eastAsia="Times New Roman" w:hAnsi="Times New Roman"/>
          <w:sz w:val="18"/>
          <w:szCs w:val="18"/>
          <w:color w:val="auto"/>
        </w:rPr>
        <w:t>)); or</w:t>
      </w:r>
    </w:p>
    <w:p>
      <w:pPr>
        <w:spacing w:after="0" w:line="121"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40 -</w:t>
      </w:r>
    </w:p>
    <w:p>
      <w:pPr>
        <w:sectPr>
          <w:pgSz w:w="11900" w:h="16838" w:orient="portrait"/>
          <w:cols w:equalWidth="0" w:num="1">
            <w:col w:w="10984"/>
          </w:cols>
          <w:pgMar w:left="436" w:top="268" w:right="479" w:bottom="1440" w:gutter="0" w:footer="0" w:header="0"/>
        </w:sectPr>
      </w:pPr>
    </w:p>
    <w:bookmarkStart w:id="53" w:name="page54"/>
    <w:bookmarkEnd w:id="53"/>
    <w:p>
      <w:pPr>
        <w:ind w:left="4" w:right="280" w:hanging="4"/>
        <w:spacing w:after="0" w:line="266" w:lineRule="auto"/>
        <w:tabs>
          <w:tab w:leader="none" w:pos="289"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distribute, to all or substantially all holders of Common Stock, assets or securities of Holdings or rights to purchase Holdings’ securities, which distribution per share of Common Stock has a value, as determined in good faith by Holdings, exceeding ten percent (10%) of the Last Reported Sale Price per share of Common Stock on the Trading Day immediately before the date such distribution is announced,</w:t>
      </w:r>
    </w:p>
    <w:p>
      <w:pPr>
        <w:spacing w:after="0" w:line="68" w:lineRule="exact"/>
        <w:rPr>
          <w:sz w:val="20"/>
          <w:szCs w:val="20"/>
          <w:color w:val="auto"/>
        </w:rPr>
      </w:pPr>
    </w:p>
    <w:p>
      <w:pPr>
        <w:ind w:left="1424"/>
        <w:spacing w:after="0" w:line="253" w:lineRule="auto"/>
        <w:rPr>
          <w:sz w:val="20"/>
          <w:szCs w:val="20"/>
          <w:color w:val="auto"/>
        </w:rPr>
      </w:pPr>
      <w:r>
        <w:rPr>
          <w:rFonts w:ascii="Times New Roman" w:cs="Times New Roman" w:eastAsia="Times New Roman" w:hAnsi="Times New Roman"/>
          <w:sz w:val="18"/>
          <w:szCs w:val="18"/>
          <w:color w:val="auto"/>
        </w:rPr>
        <w:t xml:space="preserve">then, in either case, (x) the Company will send notice of such distribution, and of the related right to Exchange Notes, to Holders, the Trustee and the Exchange Agent at least forty seven (47) Scheduled Trading Days before the Ex-Dividend Date for such distribution (or, if later in the case of any such separation of rights issued pursuant to a stockholder rights plan or the occurrence of any such triggering event under a stockholder rights plan, as soon as reasonably practicable after the Company becomes aware that such separation or triggering event has occurred or will occur); and (y) once the Company has sent such notice, Holders may Exchange their Notes at any time until the earlier of the Close of Business on the Business Day immediately before such Ex-Dividend Date and the Company’s announcement that such distribution will not take place;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Notes will not become Exchangeable pursuant to </w:t>
      </w:r>
      <w:r>
        <w:rPr>
          <w:rFonts w:ascii="Times New Roman" w:cs="Times New Roman" w:eastAsia="Times New Roman" w:hAnsi="Times New Roman"/>
          <w:sz w:val="18"/>
          <w:szCs w:val="18"/>
          <w:b w:val="1"/>
          <w:bCs w:val="1"/>
          <w:color w:val="auto"/>
        </w:rPr>
        <w:t>clause (y)</w:t>
      </w:r>
      <w:r>
        <w:rPr>
          <w:rFonts w:ascii="Times New Roman" w:cs="Times New Roman" w:eastAsia="Times New Roman" w:hAnsi="Times New Roman"/>
          <w:sz w:val="18"/>
          <w:szCs w:val="18"/>
          <w:color w:val="auto"/>
        </w:rPr>
        <w:t xml:space="preserve"> above (but the Company will be required to send notice of such distribution pursuant to </w:t>
      </w:r>
      <w:r>
        <w:rPr>
          <w:rFonts w:ascii="Times New Roman" w:cs="Times New Roman" w:eastAsia="Times New Roman" w:hAnsi="Times New Roman"/>
          <w:sz w:val="18"/>
          <w:szCs w:val="18"/>
          <w:b w:val="1"/>
          <w:bCs w:val="1"/>
          <w:color w:val="auto"/>
        </w:rPr>
        <w:t>clause</w:t>
      </w:r>
    </w:p>
    <w:p>
      <w:pPr>
        <w:spacing w:after="0" w:line="1" w:lineRule="exact"/>
        <w:rPr>
          <w:sz w:val="20"/>
          <w:szCs w:val="20"/>
          <w:color w:val="auto"/>
        </w:rPr>
      </w:pPr>
    </w:p>
    <w:p>
      <w:pPr>
        <w:ind w:left="1424" w:right="20" w:firstLine="8"/>
        <w:spacing w:after="0" w:line="253" w:lineRule="auto"/>
        <w:tabs>
          <w:tab w:leader="none" w:pos="1679" w:val="left"/>
        </w:tabs>
        <w:numPr>
          <w:ilvl w:val="1"/>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above) on account of such distribution if each Holder participates, at the same time and on the same terms as holders of Common Stock, and solely by virtue of being a Holder, in such distribution without having to Exchange such Holder’s Notes and as if such Holder held a number of shares of Common Stock equal to the product of (i) the Exchange Rate in effect on the record date for such distribution; and (ii) the aggregate principal amount (expressed in thousands) of Notes held by such Holder on such record date.</w:t>
      </w:r>
    </w:p>
    <w:p>
      <w:pPr>
        <w:spacing w:after="0" w:line="78" w:lineRule="exact"/>
        <w:rPr>
          <w:rFonts w:ascii="Times New Roman" w:cs="Times New Roman" w:eastAsia="Times New Roman" w:hAnsi="Times New Roman"/>
          <w:sz w:val="18"/>
          <w:szCs w:val="18"/>
          <w:b w:val="1"/>
          <w:bCs w:val="1"/>
          <w:color w:val="auto"/>
        </w:rPr>
      </w:pPr>
    </w:p>
    <w:p>
      <w:pPr>
        <w:ind w:left="4" w:right="60" w:hanging="4"/>
        <w:spacing w:after="0" w:line="254" w:lineRule="auto"/>
        <w:tabs>
          <w:tab w:leader="none" w:pos="259"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Certain Corporate Events</w:t>
      </w:r>
      <w:r>
        <w:rPr>
          <w:rFonts w:ascii="Times New Roman" w:cs="Times New Roman" w:eastAsia="Times New Roman" w:hAnsi="Times New Roman"/>
          <w:sz w:val="18"/>
          <w:szCs w:val="18"/>
          <w:color w:val="auto"/>
        </w:rPr>
        <w:t>. If a Fundamental Change, Make-Whole Fundamental Change or Common Stock Change Event occurs (other than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merger or other business combination transaction that is effected solely to change the Company’s or Holdings’ jurisdiction of organization and that does not constitute a Fundamental Change or a Make-Whole Fundamental Change), then, in each case, Holders may Exchange their Notes at any time from, and including, the effective date of such transaction or event to, and including, the thirty fifth (35th) Trading Day after such effective date (or, if such transaction or event also constitutes a Fundamental Change (other than an Exempted Fundamental Change), to, but excluding, the related Fundamental Change Repurchase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the Company does not provide the notice referred to in the immediately following sentence by the Business Day after such effective date, then the last day on which the Notes are Exchangeable pursuant to this sentence will be extended by the number of Business Days from, and including, the Business Day after such effective date to, but excluding, the date the Company provides such notice. No later than the Business Day after such effective date, the Company will send notice to the Holders, the Trustee and the Exchange Agent of such transaction or event, such effective date and the related right to Exchange Notes.</w:t>
      </w:r>
    </w:p>
    <w:p>
      <w:pPr>
        <w:spacing w:after="0" w:line="119"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2"/>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41 -</w:t>
      </w:r>
    </w:p>
    <w:p>
      <w:pPr>
        <w:sectPr>
          <w:pgSz w:w="11900" w:h="16838" w:orient="portrait"/>
          <w:cols w:equalWidth="0" w:num="1">
            <w:col w:w="11024"/>
          </w:cols>
          <w:pgMar w:left="436" w:top="270" w:right="439" w:bottom="1440" w:gutter="0" w:footer="0" w:header="0"/>
        </w:sectPr>
      </w:pPr>
    </w:p>
    <w:bookmarkStart w:id="54" w:name="page55"/>
    <w:bookmarkEnd w:id="54"/>
    <w:p>
      <w:pPr>
        <w:ind w:left="984" w:right="320" w:firstLine="408"/>
        <w:spacing w:after="0" w:line="262" w:lineRule="auto"/>
        <w:tabs>
          <w:tab w:leader="none" w:pos="1639"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Exchange Upon Redemption</w:t>
      </w:r>
      <w:r>
        <w:rPr>
          <w:rFonts w:ascii="Times New Roman" w:cs="Times New Roman" w:eastAsia="Times New Roman" w:hAnsi="Times New Roman"/>
          <w:sz w:val="18"/>
          <w:szCs w:val="18"/>
          <w:color w:val="auto"/>
        </w:rPr>
        <w:t>. If the Company calls (or is deemed,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4.03(I</w:t>
      </w:r>
      <w:r>
        <w:rPr>
          <w:rFonts w:ascii="Times New Roman" w:cs="Times New Roman" w:eastAsia="Times New Roman" w:hAnsi="Times New Roman"/>
          <w:sz w:val="18"/>
          <w:szCs w:val="18"/>
          <w:color w:val="auto"/>
        </w:rPr>
        <w:t>), to have called) any Note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Redemption, then the Holder of such Note may Exchange such Note at any time before the Close of Business on the second (2nd) Scheduled Trading Day immediately before the related Redemption Date (or, if the Company fails to pay the Redemption Price due on such Redemption Date in full, at any time until such time as the Company pays such Redemption Price in full).</w:t>
      </w:r>
    </w:p>
    <w:p>
      <w:pPr>
        <w:spacing w:after="0" w:line="70" w:lineRule="exact"/>
        <w:rPr>
          <w:rFonts w:ascii="Times New Roman" w:cs="Times New Roman" w:eastAsia="Times New Roman" w:hAnsi="Times New Roman"/>
          <w:sz w:val="18"/>
          <w:szCs w:val="18"/>
          <w:color w:val="auto"/>
        </w:rPr>
      </w:pPr>
    </w:p>
    <w:p>
      <w:pPr>
        <w:ind w:left="984" w:right="280" w:firstLine="408"/>
        <w:spacing w:after="0" w:line="267" w:lineRule="auto"/>
        <w:tabs>
          <w:tab w:leader="none" w:pos="1639"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Exchanges During Free Exchangeability Period</w:t>
      </w:r>
      <w:r>
        <w:rPr>
          <w:rFonts w:ascii="Times New Roman" w:cs="Times New Roman" w:eastAsia="Times New Roman" w:hAnsi="Times New Roman"/>
          <w:sz w:val="18"/>
          <w:szCs w:val="18"/>
          <w:color w:val="auto"/>
        </w:rPr>
        <w:t>. A Holder may Exchange its Notes at any time from, and including, March 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2029 until the Close of Business on the second (2nd) Scheduled Trading Day immediately before the Maturity Date regardless of the conditions set forth in </w:t>
      </w:r>
      <w:r>
        <w:rPr>
          <w:rFonts w:ascii="Times New Roman" w:cs="Times New Roman" w:eastAsia="Times New Roman" w:hAnsi="Times New Roman"/>
          <w:sz w:val="18"/>
          <w:szCs w:val="18"/>
          <w:b w:val="1"/>
          <w:bCs w:val="1"/>
          <w:color w:val="auto"/>
        </w:rPr>
        <w:t>clauses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b w:val="1"/>
          <w:bCs w:val="1"/>
          <w:color w:val="auto"/>
        </w:rPr>
        <w:t>Section 5.01(C)(i</w:t>
      </w:r>
      <w:r>
        <w:rPr>
          <w:rFonts w:ascii="Times New Roman" w:cs="Times New Roman" w:eastAsia="Times New Roman" w:hAnsi="Times New Roman"/>
          <w:sz w:val="18"/>
          <w:szCs w:val="18"/>
          <w:color w:val="auto"/>
        </w:rPr>
        <w:t>).</w:t>
      </w:r>
    </w:p>
    <w:p>
      <w:pPr>
        <w:spacing w:after="0" w:line="6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For the avoidance of doubt, the Notes may become Exchangeable pursuant to any one or more of the preceding sub-paragraphs of this</w:t>
      </w:r>
    </w:p>
    <w:p>
      <w:pPr>
        <w:spacing w:after="0" w:line="27" w:lineRule="exact"/>
        <w:rPr>
          <w:sz w:val="20"/>
          <w:szCs w:val="20"/>
          <w:color w:val="auto"/>
        </w:rPr>
      </w:pPr>
    </w:p>
    <w:p>
      <w:pPr>
        <w:ind w:left="444" w:right="220"/>
        <w:spacing w:after="0" w:line="260" w:lineRule="auto"/>
        <w:rPr>
          <w:sz w:val="20"/>
          <w:szCs w:val="20"/>
          <w:color w:val="auto"/>
        </w:rPr>
      </w:pPr>
      <w:r>
        <w:rPr>
          <w:rFonts w:ascii="Times New Roman" w:cs="Times New Roman" w:eastAsia="Times New Roman" w:hAnsi="Times New Roman"/>
          <w:sz w:val="18"/>
          <w:szCs w:val="18"/>
          <w:b w:val="1"/>
          <w:bCs w:val="1"/>
          <w:color w:val="auto"/>
        </w:rPr>
        <w:t>Section 5.01(C)(i</w:t>
      </w:r>
      <w:r>
        <w:rPr>
          <w:rFonts w:ascii="Times New Roman" w:cs="Times New Roman" w:eastAsia="Times New Roman" w:hAnsi="Times New Roman"/>
          <w:sz w:val="18"/>
          <w:szCs w:val="18"/>
          <w:color w:val="auto"/>
        </w:rPr>
        <w:t>) and the Notes ceasing to be Exchangeable pursuant to a particular sub-paragraph of this</w:t>
      </w:r>
      <w:r>
        <w:rPr>
          <w:rFonts w:ascii="Times New Roman" w:cs="Times New Roman" w:eastAsia="Times New Roman" w:hAnsi="Times New Roman"/>
          <w:sz w:val="18"/>
          <w:szCs w:val="18"/>
          <w:b w:val="1"/>
          <w:bCs w:val="1"/>
          <w:color w:val="auto"/>
        </w:rPr>
        <w:t xml:space="preserve"> Section 5.01(C)(i</w:t>
      </w:r>
      <w:r>
        <w:rPr>
          <w:rFonts w:ascii="Times New Roman" w:cs="Times New Roman" w:eastAsia="Times New Roman" w:hAnsi="Times New Roman"/>
          <w:sz w:val="18"/>
          <w:szCs w:val="18"/>
          <w:color w:val="auto"/>
        </w:rPr>
        <w:t>) will not preclude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Notes from being Exchangeable pursuant to any other sub-paragraph of this </w:t>
      </w:r>
      <w:r>
        <w:rPr>
          <w:rFonts w:ascii="Times New Roman" w:cs="Times New Roman" w:eastAsia="Times New Roman" w:hAnsi="Times New Roman"/>
          <w:sz w:val="18"/>
          <w:szCs w:val="18"/>
          <w:b w:val="1"/>
          <w:bCs w:val="1"/>
          <w:color w:val="auto"/>
        </w:rPr>
        <w:t>Section 5.01(C)(i</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264" w:hanging="264"/>
        <w:spacing w:after="0"/>
        <w:tabs>
          <w:tab w:leader="none" w:pos="26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Limitations and Closed Periods</w:t>
      </w:r>
      <w:r>
        <w:rPr>
          <w:rFonts w:ascii="Times New Roman" w:cs="Times New Roman" w:eastAsia="Times New Roman" w:hAnsi="Times New Roman"/>
          <w:sz w:val="18"/>
          <w:szCs w:val="18"/>
          <w:color w:val="auto"/>
        </w:rPr>
        <w:t>. Notwithstanding anything to the contrary in this Indenture or the Notes:</w:t>
      </w:r>
    </w:p>
    <w:p>
      <w:pPr>
        <w:spacing w:after="0" w:line="119" w:lineRule="exact"/>
        <w:rPr>
          <w:rFonts w:ascii="Times New Roman" w:cs="Times New Roman" w:eastAsia="Times New Roman" w:hAnsi="Times New Roman"/>
          <w:sz w:val="18"/>
          <w:szCs w:val="18"/>
          <w:color w:val="auto"/>
        </w:rPr>
      </w:pPr>
    </w:p>
    <w:p>
      <w:pPr>
        <w:ind w:left="984" w:right="480" w:firstLine="408"/>
        <w:spacing w:after="0" w:line="282" w:lineRule="auto"/>
        <w:tabs>
          <w:tab w:leader="none" w:pos="164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may be surrendered for Exchange only after the Open of Business and before the Close of Business on a day that is a Business Day;</w:t>
      </w:r>
    </w:p>
    <w:p>
      <w:pPr>
        <w:spacing w:after="0" w:line="53" w:lineRule="exact"/>
        <w:rPr>
          <w:rFonts w:ascii="Times New Roman" w:cs="Times New Roman" w:eastAsia="Times New Roman" w:hAnsi="Times New Roman"/>
          <w:sz w:val="18"/>
          <w:szCs w:val="18"/>
          <w:color w:val="auto"/>
        </w:rPr>
      </w:pPr>
    </w:p>
    <w:p>
      <w:pPr>
        <w:ind w:left="984" w:right="300" w:firstLine="408"/>
        <w:spacing w:after="0" w:line="282" w:lineRule="auto"/>
        <w:tabs>
          <w:tab w:leader="none" w:pos="164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may any Note be Exchanged after the Close of Business on the second (2nd) Scheduled Trading Day immediately before the Maturity Date;</w:t>
      </w:r>
    </w:p>
    <w:p>
      <w:pPr>
        <w:spacing w:after="0" w:line="49" w:lineRule="exact"/>
        <w:rPr>
          <w:rFonts w:ascii="Times New Roman" w:cs="Times New Roman" w:eastAsia="Times New Roman" w:hAnsi="Times New Roman"/>
          <w:sz w:val="18"/>
          <w:szCs w:val="18"/>
          <w:color w:val="auto"/>
        </w:rPr>
      </w:pPr>
    </w:p>
    <w:p>
      <w:pPr>
        <w:ind w:left="984" w:right="100" w:firstLine="408"/>
        <w:spacing w:after="0" w:line="268" w:lineRule="auto"/>
        <w:tabs>
          <w:tab w:leader="none" w:pos="164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Company calls any Note for Redemption pursuant to </w:t>
      </w:r>
      <w:r>
        <w:rPr>
          <w:rFonts w:ascii="Times New Roman" w:cs="Times New Roman" w:eastAsia="Times New Roman" w:hAnsi="Times New Roman"/>
          <w:sz w:val="18"/>
          <w:szCs w:val="18"/>
          <w:b w:val="1"/>
          <w:bCs w:val="1"/>
          <w:color w:val="auto"/>
        </w:rPr>
        <w:t>Section 4.03</w:t>
      </w:r>
      <w:r>
        <w:rPr>
          <w:rFonts w:ascii="Times New Roman" w:cs="Times New Roman" w:eastAsia="Times New Roman" w:hAnsi="Times New Roman"/>
          <w:sz w:val="18"/>
          <w:szCs w:val="18"/>
          <w:color w:val="auto"/>
        </w:rPr>
        <w:t>, then the Holder of such Note may not Exchange such Note after the Close of Business on the second (2nd) Scheduled Trading Day immediately before the applicable Redemption Date, except to the extent the Company fails to pay the Redemption Price for such Note in accordance with this Indenture; and</w:t>
      </w:r>
    </w:p>
    <w:p>
      <w:pPr>
        <w:spacing w:after="0" w:line="62" w:lineRule="exact"/>
        <w:rPr>
          <w:rFonts w:ascii="Times New Roman" w:cs="Times New Roman" w:eastAsia="Times New Roman" w:hAnsi="Times New Roman"/>
          <w:sz w:val="18"/>
          <w:szCs w:val="18"/>
          <w:color w:val="auto"/>
        </w:rPr>
      </w:pPr>
    </w:p>
    <w:p>
      <w:pPr>
        <w:ind w:left="984" w:right="80" w:firstLine="408"/>
        <w:spacing w:after="0" w:line="262" w:lineRule="auto"/>
        <w:tabs>
          <w:tab w:leader="none" w:pos="164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Fundamental Change Repurchase Notice is validly delivered pursuant to </w:t>
      </w:r>
      <w:r>
        <w:rPr>
          <w:rFonts w:ascii="Times New Roman" w:cs="Times New Roman" w:eastAsia="Times New Roman" w:hAnsi="Times New Roman"/>
          <w:sz w:val="18"/>
          <w:szCs w:val="18"/>
          <w:b w:val="1"/>
          <w:bCs w:val="1"/>
          <w:color w:val="auto"/>
        </w:rPr>
        <w:t>Section 4.02(F)</w:t>
      </w:r>
      <w:r>
        <w:rPr>
          <w:rFonts w:ascii="Times New Roman" w:cs="Times New Roman" w:eastAsia="Times New Roman" w:hAnsi="Times New Roman"/>
          <w:sz w:val="18"/>
          <w:szCs w:val="18"/>
          <w:color w:val="auto"/>
        </w:rPr>
        <w:t xml:space="preserve"> with respect to any Note, then such Note may not be Exchanged, except to the extent (a) such Note is not subject to such notice; (b) such notice is withdrawn in accordance with </w:t>
      </w:r>
      <w:r>
        <w:rPr>
          <w:rFonts w:ascii="Times New Roman" w:cs="Times New Roman" w:eastAsia="Times New Roman" w:hAnsi="Times New Roman"/>
          <w:sz w:val="18"/>
          <w:szCs w:val="18"/>
          <w:b w:val="1"/>
          <w:bCs w:val="1"/>
          <w:color w:val="auto"/>
        </w:rPr>
        <w:t>Section 4.02(F)</w:t>
      </w:r>
      <w:r>
        <w:rPr>
          <w:rFonts w:ascii="Times New Roman" w:cs="Times New Roman" w:eastAsia="Times New Roman" w:hAnsi="Times New Roman"/>
          <w:sz w:val="18"/>
          <w:szCs w:val="18"/>
          <w:color w:val="auto"/>
        </w:rPr>
        <w:t>; or (c) the Company fails to pay the Fundamental Change Repurchase Price for such Note in accordance with this Indenture.</w:t>
      </w:r>
    </w:p>
    <w:p>
      <w:pPr>
        <w:spacing w:after="0" w:line="178" w:lineRule="exact"/>
        <w:rPr>
          <w:sz w:val="20"/>
          <w:szCs w:val="20"/>
          <w:color w:val="auto"/>
        </w:rPr>
      </w:pPr>
    </w:p>
    <w:p>
      <w:pPr>
        <w:ind w:left="4" w:hanging="4"/>
        <w:spacing w:after="0" w:line="261" w:lineRule="auto"/>
        <w:tabs>
          <w:tab w:leader="none" w:pos="299"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Ownership Limit</w:t>
      </w:r>
      <w:r>
        <w:rPr>
          <w:rFonts w:ascii="Times New Roman" w:cs="Times New Roman" w:eastAsia="Times New Roman" w:hAnsi="Times New Roman"/>
          <w:sz w:val="18"/>
          <w:szCs w:val="18"/>
          <w:color w:val="auto"/>
        </w:rPr>
        <w:t>. Notwithstanding anything to the contrary in this Indenture or the Notes, no Holder of Notes will be entitled to receive any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Common Stock following any Exchange of such Notes to the extent (but only to the extent) that receipt of such shares of Common Stock would cause such Holder (either directly or after application of certain constructive ownership rules under the Holdings Charter) to exceed the ownership limit or violate other</w:t>
      </w:r>
    </w:p>
    <w:p>
      <w:pPr>
        <w:spacing w:after="0" w:line="114"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42 -</w:t>
      </w:r>
    </w:p>
    <w:p>
      <w:pPr>
        <w:sectPr>
          <w:pgSz w:w="11900" w:h="16838" w:orient="portrait"/>
          <w:cols w:equalWidth="0" w:num="1">
            <w:col w:w="11004"/>
          </w:cols>
          <w:pgMar w:left="436" w:top="266" w:right="459" w:bottom="1440" w:gutter="0" w:footer="0" w:header="0"/>
        </w:sectPr>
      </w:pPr>
    </w:p>
    <w:bookmarkStart w:id="55" w:name="page56"/>
    <w:bookmarkEnd w:id="55"/>
    <w:p>
      <w:pPr>
        <w:ind w:left="4" w:right="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restrictions on ownership and transfer of the Common Stock contained in Article 13 (or any successor article or provision thereto) of the Holdings Charter;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Board of Directors of Holdings may exempt a Holder from such restrictions as provided in the Holdings Charter. Any attempted Exchange of Notes that would entitle Holders of Notes to delivery of the Common Stock in violation of the restriction set forth in the preceding sentence will be void to the extent (but only to the extent) of the number of shares of Common Stock that would cause such violation, and the related Notes (or portion thereof) will be returned to the Holder as promptly as practicable. Neither the Company nor Holdings will have any further obligation to the Holder of such Notes with respect to such voided Exchange, and such Notes will be treated as if they had not been submitted for Exchange. The Trustee will have no obligation for monitoring compliance with this </w:t>
      </w:r>
      <w:r>
        <w:rPr>
          <w:rFonts w:ascii="Times New Roman" w:cs="Times New Roman" w:eastAsia="Times New Roman" w:hAnsi="Times New Roman"/>
          <w:sz w:val="18"/>
          <w:szCs w:val="18"/>
          <w:b w:val="1"/>
          <w:bCs w:val="1"/>
          <w:color w:val="auto"/>
        </w:rPr>
        <w:t>Section 5.01(D</w:t>
      </w:r>
      <w:r>
        <w:rPr>
          <w:rFonts w:ascii="Times New Roman" w:cs="Times New Roman" w:eastAsia="Times New Roman" w:hAnsi="Times New Roman"/>
          <w:sz w:val="18"/>
          <w:szCs w:val="18"/>
          <w:color w:val="auto"/>
        </w:rPr>
        <w:t>) or monitoring any ownership limits upon the transfer or Exchange of Notes and remain outstanding, subject to Exchange, repurchase, Redemption or repayment at maturity.</w:t>
      </w:r>
    </w:p>
    <w:p>
      <w:pPr>
        <w:spacing w:after="0" w:line="29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5.02. E</w:t>
      </w:r>
      <w:r>
        <w:rPr>
          <w:rFonts w:ascii="Times New Roman" w:cs="Times New Roman" w:eastAsia="Times New Roman" w:hAnsi="Times New Roman"/>
          <w:sz w:val="14"/>
          <w:szCs w:val="14"/>
          <w:b w:val="1"/>
          <w:bCs w:val="1"/>
          <w:color w:val="auto"/>
        </w:rPr>
        <w:t>XCHANGE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ROCEDURES</w:t>
      </w:r>
      <w:r>
        <w:rPr>
          <w:rFonts w:ascii="Times New Roman" w:cs="Times New Roman" w:eastAsia="Times New Roman" w:hAnsi="Times New Roman"/>
          <w:sz w:val="18"/>
          <w:szCs w:val="18"/>
          <w:b w:val="1"/>
          <w:bCs w:val="1"/>
          <w:color w:val="auto"/>
        </w:rPr>
        <w:t>.</w:t>
      </w:r>
    </w:p>
    <w:p>
      <w:pPr>
        <w:spacing w:after="0" w:line="119" w:lineRule="exact"/>
        <w:rPr>
          <w:sz w:val="20"/>
          <w:szCs w:val="20"/>
          <w:color w:val="auto"/>
        </w:rPr>
      </w:pPr>
    </w:p>
    <w:p>
      <w:pPr>
        <w:ind w:left="304" w:hanging="304"/>
        <w:spacing w:after="0"/>
        <w:tabs>
          <w:tab w:leader="none" w:pos="30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4" w:right="380" w:hanging="4"/>
        <w:spacing w:after="0" w:line="268" w:lineRule="auto"/>
        <w:tabs>
          <w:tab w:leader="none" w:pos="219"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Global Notes</w:t>
      </w:r>
      <w:r>
        <w:rPr>
          <w:rFonts w:ascii="Times New Roman" w:cs="Times New Roman" w:eastAsia="Times New Roman" w:hAnsi="Times New Roman"/>
          <w:sz w:val="18"/>
          <w:szCs w:val="18"/>
          <w:color w:val="auto"/>
        </w:rPr>
        <w:t>. To Exchange a beneficial interest in a Global Note that is Exchangeable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5.01(C</w:t>
      </w:r>
      <w:r>
        <w:rPr>
          <w:rFonts w:ascii="Times New Roman" w:cs="Times New Roman" w:eastAsia="Times New Roman" w:hAnsi="Times New Roman"/>
          <w:sz w:val="18"/>
          <w:szCs w:val="18"/>
          <w:color w:val="auto"/>
        </w:rPr>
        <w:t>), the owner of such beneficial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interest must (1) comply with the Depositary Procedures for Exchanging such beneficial interest (at which time such Exchange will become irrevocable); and (2) pay any amounts due pursuant to </w:t>
      </w:r>
      <w:r>
        <w:rPr>
          <w:rFonts w:ascii="Times New Roman" w:cs="Times New Roman" w:eastAsia="Times New Roman" w:hAnsi="Times New Roman"/>
          <w:sz w:val="18"/>
          <w:szCs w:val="18"/>
          <w:b w:val="1"/>
          <w:bCs w:val="1"/>
          <w:color w:val="auto"/>
        </w:rPr>
        <w:t>Section 5.02(D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Section 5.02(E</w:t>
      </w:r>
      <w:r>
        <w:rPr>
          <w:rFonts w:ascii="Times New Roman" w:cs="Times New Roman" w:eastAsia="Times New Roman" w:hAnsi="Times New Roman"/>
          <w:sz w:val="18"/>
          <w:szCs w:val="18"/>
          <w:color w:val="auto"/>
        </w:rPr>
        <w:t>).</w:t>
      </w:r>
    </w:p>
    <w:p>
      <w:pPr>
        <w:spacing w:after="0" w:line="170"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Physical Notes</w:t>
      </w:r>
      <w:r>
        <w:rPr>
          <w:rFonts w:ascii="Times New Roman" w:cs="Times New Roman" w:eastAsia="Times New Roman" w:hAnsi="Times New Roman"/>
          <w:sz w:val="18"/>
          <w:szCs w:val="18"/>
          <w:color w:val="auto"/>
        </w:rPr>
        <w:t>. To Exchange all or a portion of a Physical Note that is Exchangeable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5.01(C</w:t>
      </w:r>
      <w:r>
        <w:rPr>
          <w:rFonts w:ascii="Times New Roman" w:cs="Times New Roman" w:eastAsia="Times New Roman" w:hAnsi="Times New Roman"/>
          <w:sz w:val="18"/>
          <w:szCs w:val="18"/>
          <w:color w:val="auto"/>
        </w:rPr>
        <w:t>), the Holder of such Note must</w:t>
      </w:r>
    </w:p>
    <w:p>
      <w:pPr>
        <w:spacing w:after="0" w:line="31" w:lineRule="exact"/>
        <w:rPr>
          <w:rFonts w:ascii="Times New Roman" w:cs="Times New Roman" w:eastAsia="Times New Roman" w:hAnsi="Times New Roman"/>
          <w:sz w:val="18"/>
          <w:szCs w:val="18"/>
          <w:color w:val="auto"/>
        </w:rPr>
      </w:pPr>
    </w:p>
    <w:p>
      <w:pPr>
        <w:ind w:left="4" w:right="2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 xml:space="preserve">(1) complete, manually sign and deliver to the Exchange Agent the exchange notice attached to such Physical Note or a facsimile of such exchange notice; (2) deliver such Physical Note to the Exchange Agent (at which time such Exchange will become irrevocable); (3) furnish any endorsements and transfer documents that the Company or the Exchange Agent may require; and (4) pay any amounts due pursuant to </w:t>
      </w:r>
      <w:r>
        <w:rPr>
          <w:rFonts w:ascii="Times New Roman" w:cs="Times New Roman" w:eastAsia="Times New Roman" w:hAnsi="Times New Roman"/>
          <w:sz w:val="17"/>
          <w:szCs w:val="17"/>
          <w:b w:val="1"/>
          <w:bCs w:val="1"/>
          <w:color w:val="auto"/>
        </w:rPr>
        <w:t>Section 5.02(D</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b w:val="1"/>
          <w:bCs w:val="1"/>
          <w:color w:val="auto"/>
        </w:rPr>
        <w:t>Section 5.02(E</w:t>
      </w:r>
      <w:r>
        <w:rPr>
          <w:rFonts w:ascii="Times New Roman" w:cs="Times New Roman" w:eastAsia="Times New Roman" w:hAnsi="Times New Roman"/>
          <w:sz w:val="17"/>
          <w:szCs w:val="17"/>
          <w:color w:val="auto"/>
        </w:rPr>
        <w:t>).</w:t>
      </w:r>
    </w:p>
    <w:p>
      <w:pPr>
        <w:spacing w:after="0" w:line="167" w:lineRule="exact"/>
        <w:rPr>
          <w:sz w:val="20"/>
          <w:szCs w:val="20"/>
          <w:color w:val="auto"/>
        </w:rPr>
      </w:pPr>
    </w:p>
    <w:p>
      <w:pPr>
        <w:ind w:left="4" w:hanging="4"/>
        <w:spacing w:after="0" w:line="261" w:lineRule="auto"/>
        <w:tabs>
          <w:tab w:leader="none" w:pos="289"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 of Exchanging a Note</w:t>
      </w:r>
      <w:r>
        <w:rPr>
          <w:rFonts w:ascii="Times New Roman" w:cs="Times New Roman" w:eastAsia="Times New Roman" w:hAnsi="Times New Roman"/>
          <w:sz w:val="18"/>
          <w:szCs w:val="18"/>
          <w:color w:val="auto"/>
        </w:rPr>
        <w:t>. At the Close of Business on the Exchange Date for a Note (or any portion thereof) to be Exchanged, such Note (or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portion) will (unless there occurs a Default in the delivery of the Exchange Consideration or interest due, pursuant to </w:t>
      </w:r>
      <w:r>
        <w:rPr>
          <w:rFonts w:ascii="Times New Roman" w:cs="Times New Roman" w:eastAsia="Times New Roman" w:hAnsi="Times New Roman"/>
          <w:sz w:val="18"/>
          <w:szCs w:val="18"/>
          <w:b w:val="1"/>
          <w:bCs w:val="1"/>
          <w:color w:val="auto"/>
        </w:rPr>
        <w:t>Section 5.03(B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5.02(D)</w:t>
      </w:r>
      <w:r>
        <w:rPr>
          <w:rFonts w:ascii="Times New Roman" w:cs="Times New Roman" w:eastAsia="Times New Roman" w:hAnsi="Times New Roman"/>
          <w:sz w:val="18"/>
          <w:szCs w:val="18"/>
          <w:color w:val="auto"/>
        </w:rPr>
        <w:t xml:space="preserve">, upon such Exchange) be deemed to cease to be outstanding (and, for the avoidance of doubt, no Person will be deemed to be a Holder of such Note (or such portion thereof) as of the Close of Business on such Exchange Date), except to the extent provided in </w:t>
      </w:r>
      <w:r>
        <w:rPr>
          <w:rFonts w:ascii="Times New Roman" w:cs="Times New Roman" w:eastAsia="Times New Roman" w:hAnsi="Times New Roman"/>
          <w:sz w:val="18"/>
          <w:szCs w:val="18"/>
          <w:b w:val="1"/>
          <w:bCs w:val="1"/>
          <w:color w:val="auto"/>
        </w:rPr>
        <w:t>Section 5.02(D)</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4" w:right="280" w:hanging="4"/>
        <w:spacing w:after="0" w:line="267" w:lineRule="auto"/>
        <w:tabs>
          <w:tab w:leader="none" w:pos="289"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Holder of Record of Exchange Shares</w:t>
      </w:r>
      <w:r>
        <w:rPr>
          <w:rFonts w:ascii="Times New Roman" w:cs="Times New Roman" w:eastAsia="Times New Roman" w:hAnsi="Times New Roman"/>
          <w:sz w:val="18"/>
          <w:szCs w:val="18"/>
          <w:color w:val="auto"/>
        </w:rPr>
        <w:t>. The Person in whose name any share of Common Stock is deliverable upon Exchange of any Note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deemed to become the holder of record of such share as of the Close of Business on the last VWAP Trading Day of the Observation Period for such Exchange.</w:t>
      </w:r>
    </w:p>
    <w:p>
      <w:pPr>
        <w:spacing w:after="0" w:line="173" w:lineRule="exact"/>
        <w:rPr>
          <w:rFonts w:ascii="Times New Roman" w:cs="Times New Roman" w:eastAsia="Times New Roman" w:hAnsi="Times New Roman"/>
          <w:sz w:val="18"/>
          <w:szCs w:val="18"/>
          <w:color w:val="auto"/>
        </w:rPr>
      </w:pPr>
    </w:p>
    <w:p>
      <w:pPr>
        <w:ind w:left="4" w:right="340" w:hanging="4"/>
        <w:spacing w:after="0" w:line="261" w:lineRule="auto"/>
        <w:tabs>
          <w:tab w:leader="none" w:pos="299"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Interest Payable Upon Exchange in Certain Circumstances</w:t>
      </w:r>
      <w:r>
        <w:rPr>
          <w:rFonts w:ascii="Times New Roman" w:cs="Times New Roman" w:eastAsia="Times New Roman" w:hAnsi="Times New Roman"/>
          <w:sz w:val="18"/>
          <w:szCs w:val="18"/>
          <w:color w:val="auto"/>
        </w:rPr>
        <w:t>. If the Exchange Date of a Note is after a Regular Record Date and before the next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Payment Date, then (i) the Holder of such Note at the Close of Business on such Regular Record Date will be entitled, notwithstanding such Exchange (and, for the avoidance of doubt, notwithstanding anything set forth in the proviso to this sentence), to receive, on or, at the Company’s election, before such Interest Payment Date,</w:t>
      </w:r>
    </w:p>
    <w:p>
      <w:pPr>
        <w:spacing w:after="0" w:line="114"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43 -</w:t>
      </w:r>
    </w:p>
    <w:p>
      <w:pPr>
        <w:sectPr>
          <w:pgSz w:w="11900" w:h="16838" w:orient="portrait"/>
          <w:cols w:equalWidth="0" w:num="1">
            <w:col w:w="11004"/>
          </w:cols>
          <w:pgMar w:left="436" w:top="270" w:right="459" w:bottom="1440" w:gutter="0" w:footer="0" w:header="0"/>
        </w:sectPr>
      </w:pPr>
    </w:p>
    <w:bookmarkStart w:id="56" w:name="page57"/>
    <w:bookmarkEnd w:id="56"/>
    <w:p>
      <w:pPr>
        <w:ind w:left="4"/>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unpaid interest that would have accrued on such Note to, but excluding, such Interest Payment Date (assuming, solely for these purposes, that such Note remained outstanding through such Interest Payment Date); and (ii) the Holder surrendering such Note for Exchange must deliver to the Exchange Agent, at the time of such surrender, an amount of cash equal to the amount of such interest referred to in </w:t>
      </w:r>
      <w:r>
        <w:rPr>
          <w:rFonts w:ascii="Times New Roman" w:cs="Times New Roman" w:eastAsia="Times New Roman" w:hAnsi="Times New Roman"/>
          <w:sz w:val="18"/>
          <w:szCs w:val="18"/>
          <w:b w:val="1"/>
          <w:bCs w:val="1"/>
          <w:color w:val="auto"/>
        </w:rPr>
        <w:t>clause (i)</w:t>
      </w:r>
      <w:r>
        <w:rPr>
          <w:rFonts w:ascii="Times New Roman" w:cs="Times New Roman" w:eastAsia="Times New Roman" w:hAnsi="Times New Roman"/>
          <w:sz w:val="18"/>
          <w:szCs w:val="18"/>
          <w:color w:val="auto"/>
        </w:rPr>
        <w:t xml:space="preserve"> above;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Holder surrendering such Note for Exchange need not deliver such cash (w) if the Company has specified a Redemption Date that is after such Regular Record Date and on or before the second (2nd) Scheduled Trading Day immediately after such Interest Payment Date; (x) if such Exchange Date occurs after the Regular Record Date immediately before the Maturity Date; (y) if the Company has specified a Fundamental Change Repurchase Date that is after such Regular Record Date and on or before the Business Day immediately after such Interest Payment Date; or (z) to the extent of any Additional Interest, Special Interest, overdue interest or interest that has accrued on any overdue interest. For the avoidance of doubt, as a result of, and without limiting the generality of, the foregoing, if a Note is Exchanged with an Exchange Date that is after the Regular Record Date immediately before the Maturity Date, then the Company will pay, as provided above, the interest that would have accrued on such Note to, but excluding, the Maturity Date. For the avoidance of doubt, if the Exchange Date of a Note to be Exchanged is on an Interest Payment Date, then the Holder of such Note at the Close of Business on the Regular Record Date immediately before such Interest Payment Date will be entitled to receive, on such Interest Payment Date, the unpaid interest that has accrued on such Note to, but excluding, such Interest Payment Date, and such Note, when surrendered for Exchange, need not be accompanied by any cash amount pursuant to the first sentence of this </w:t>
      </w:r>
      <w:r>
        <w:rPr>
          <w:rFonts w:ascii="Times New Roman" w:cs="Times New Roman" w:eastAsia="Times New Roman" w:hAnsi="Times New Roman"/>
          <w:sz w:val="18"/>
          <w:szCs w:val="18"/>
          <w:b w:val="1"/>
          <w:bCs w:val="1"/>
          <w:color w:val="auto"/>
        </w:rPr>
        <w:t>Section 5.02(D</w:t>
      </w:r>
      <w:r>
        <w:rPr>
          <w:rFonts w:ascii="Times New Roman" w:cs="Times New Roman" w:eastAsia="Times New Roman" w:hAnsi="Times New Roman"/>
          <w:sz w:val="18"/>
          <w:szCs w:val="18"/>
          <w:color w:val="auto"/>
        </w:rPr>
        <w:t>).</w:t>
      </w:r>
    </w:p>
    <w:p>
      <w:pPr>
        <w:spacing w:after="0" w:line="195" w:lineRule="exact"/>
        <w:rPr>
          <w:sz w:val="20"/>
          <w:szCs w:val="20"/>
          <w:color w:val="auto"/>
        </w:rPr>
      </w:pPr>
    </w:p>
    <w:p>
      <w:pPr>
        <w:ind w:left="4" w:right="120" w:hanging="4"/>
        <w:spacing w:after="0" w:line="281" w:lineRule="auto"/>
        <w:tabs>
          <w:tab w:leader="none" w:pos="279"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Taxes and Duties</w:t>
      </w:r>
      <w:r>
        <w:rPr>
          <w:rFonts w:ascii="Times New Roman" w:cs="Times New Roman" w:eastAsia="Times New Roman" w:hAnsi="Times New Roman"/>
          <w:sz w:val="17"/>
          <w:szCs w:val="17"/>
          <w:color w:val="auto"/>
        </w:rPr>
        <w:t>. If a Holder Exchanges a Note, the Company will pay any documentary, stamp or similar issue or transfer tax or duty due on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issue or delivery of any shares of Common Stock upon such Exchange;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if any tax or duty is due because such Holder requested such shares to be registered in a name other than such Holder’s name, then such Holder will pay such tax or duty and, until having received a sum sufficient to pay such tax or duty, the Exchange Agent may refuse to deliver any such shares to be delivered in a name other than that of such Holder.</w:t>
      </w:r>
    </w:p>
    <w:p>
      <w:pPr>
        <w:spacing w:after="0" w:line="164" w:lineRule="exact"/>
        <w:rPr>
          <w:rFonts w:ascii="Times New Roman" w:cs="Times New Roman" w:eastAsia="Times New Roman" w:hAnsi="Times New Roman"/>
          <w:sz w:val="17"/>
          <w:szCs w:val="17"/>
          <w:color w:val="auto"/>
        </w:rPr>
      </w:pPr>
    </w:p>
    <w:p>
      <w:pPr>
        <w:jc w:val="both"/>
        <w:ind w:left="4" w:right="160" w:hanging="4"/>
        <w:spacing w:after="0" w:line="261" w:lineRule="auto"/>
        <w:tabs>
          <w:tab w:leader="none" w:pos="269"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Exchange Agent to Notify Company of Exchanges</w:t>
      </w:r>
      <w:r>
        <w:rPr>
          <w:rFonts w:ascii="Times New Roman" w:cs="Times New Roman" w:eastAsia="Times New Roman" w:hAnsi="Times New Roman"/>
          <w:sz w:val="18"/>
          <w:szCs w:val="18"/>
          <w:color w:val="auto"/>
        </w:rPr>
        <w:t>. If any Note is submitted for Exchange to the Exchange Agent or the Exchange Agent receives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notice of Exchange with respect to a Note, then the Exchange Agent will promptly (and, in any event, no later than the date the Exchange Agent receives such Note or notice) notify the Company and the Trustee of such occurrence, together with any other information reasonably requested by the Company, and will cooperate with the Company to determine the Exchange Date for such Note.</w:t>
      </w:r>
    </w:p>
    <w:p>
      <w:pPr>
        <w:spacing w:after="0" w:line="28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5.03. S</w:t>
      </w:r>
      <w:r>
        <w:rPr>
          <w:rFonts w:ascii="Times New Roman" w:cs="Times New Roman" w:eastAsia="Times New Roman" w:hAnsi="Times New Roman"/>
          <w:sz w:val="14"/>
          <w:szCs w:val="14"/>
          <w:b w:val="1"/>
          <w:bCs w:val="1"/>
          <w:color w:val="auto"/>
        </w:rPr>
        <w:t>ETTLEMENT</w:t>
      </w:r>
      <w:r>
        <w:rPr>
          <w:rFonts w:ascii="Times New Roman" w:cs="Times New Roman" w:eastAsia="Times New Roman" w:hAnsi="Times New Roman"/>
          <w:sz w:val="18"/>
          <w:szCs w:val="18"/>
          <w:b w:val="1"/>
          <w:bCs w:val="1"/>
          <w:color w:val="auto"/>
        </w:rPr>
        <w:t xml:space="preserve"> U</w:t>
      </w:r>
      <w:r>
        <w:rPr>
          <w:rFonts w:ascii="Times New Roman" w:cs="Times New Roman" w:eastAsia="Times New Roman" w:hAnsi="Times New Roman"/>
          <w:sz w:val="14"/>
          <w:szCs w:val="14"/>
          <w:b w:val="1"/>
          <w:bCs w:val="1"/>
          <w:color w:val="auto"/>
        </w:rPr>
        <w:t>PON</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XCHANGE</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ind w:left="4" w:right="80" w:hanging="4"/>
        <w:spacing w:after="0" w:line="262" w:lineRule="auto"/>
        <w:tabs>
          <w:tab w:leader="none" w:pos="299"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Settlement Method</w:t>
      </w:r>
      <w:r>
        <w:rPr>
          <w:rFonts w:ascii="Times New Roman" w:cs="Times New Roman" w:eastAsia="Times New Roman" w:hAnsi="Times New Roman"/>
          <w:sz w:val="18"/>
          <w:szCs w:val="18"/>
          <w:color w:val="auto"/>
        </w:rPr>
        <w:t>.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5.01(D</w:t>
      </w:r>
      <w:r>
        <w:rPr>
          <w:rFonts w:ascii="Times New Roman" w:cs="Times New Roman" w:eastAsia="Times New Roman" w:hAnsi="Times New Roman"/>
          <w:sz w:val="18"/>
          <w:szCs w:val="18"/>
          <w:color w:val="auto"/>
        </w:rPr>
        <w:t>), upon the Exchange of any Note, the Company will settle such Exchange by paying or delivering,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applicable and as provided in this </w:t>
      </w:r>
      <w:r>
        <w:rPr>
          <w:rFonts w:ascii="Times New Roman" w:cs="Times New Roman" w:eastAsia="Times New Roman" w:hAnsi="Times New Roman"/>
          <w:sz w:val="18"/>
          <w:szCs w:val="18"/>
          <w:b w:val="1"/>
          <w:bCs w:val="1"/>
          <w:color w:val="auto"/>
        </w:rPr>
        <w:t>Article 5</w:t>
      </w:r>
      <w:r>
        <w:rPr>
          <w:rFonts w:ascii="Times New Roman" w:cs="Times New Roman" w:eastAsia="Times New Roman" w:hAnsi="Times New Roman"/>
          <w:sz w:val="18"/>
          <w:szCs w:val="18"/>
          <w:color w:val="auto"/>
        </w:rPr>
        <w:t xml:space="preserve">, either (x) solely cash as provided in </w:t>
      </w:r>
      <w:r>
        <w:rPr>
          <w:rFonts w:ascii="Times New Roman" w:cs="Times New Roman" w:eastAsia="Times New Roman" w:hAnsi="Times New Roman"/>
          <w:sz w:val="18"/>
          <w:szCs w:val="18"/>
          <w:b w:val="1"/>
          <w:bCs w:val="1"/>
          <w:color w:val="auto"/>
        </w:rPr>
        <w:t>Section 5.03(B)(i)(1</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b w:val="1"/>
          <w:bCs w:val="1"/>
          <w:color w:val="auto"/>
        </w:rPr>
        <w:t>Cash Settlement</w:t>
      </w:r>
      <w:r>
        <w:rPr>
          <w:rFonts w:ascii="Times New Roman" w:cs="Times New Roman" w:eastAsia="Times New Roman" w:hAnsi="Times New Roman"/>
          <w:sz w:val="18"/>
          <w:szCs w:val="18"/>
          <w:color w:val="auto"/>
        </w:rPr>
        <w:t xml:space="preserve">”); or (y) a combination of cash and shares of Common Stock, together, if applicable, with cash in lieu of fractional shares as provided in </w:t>
      </w:r>
      <w:r>
        <w:rPr>
          <w:rFonts w:ascii="Times New Roman" w:cs="Times New Roman" w:eastAsia="Times New Roman" w:hAnsi="Times New Roman"/>
          <w:sz w:val="18"/>
          <w:szCs w:val="18"/>
          <w:b w:val="1"/>
          <w:bCs w:val="1"/>
          <w:color w:val="auto"/>
        </w:rPr>
        <w:t>Section 5.03(B)(i)(2</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b w:val="1"/>
          <w:bCs w:val="1"/>
          <w:color w:val="auto"/>
        </w:rPr>
        <w:t>Combination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Settlement</w:t>
      </w:r>
      <w:r>
        <w:rPr>
          <w:rFonts w:ascii="Times New Roman" w:cs="Times New Roman" w:eastAsia="Times New Roman" w:hAnsi="Times New Roman"/>
          <w:sz w:val="18"/>
          <w:szCs w:val="18"/>
          <w:color w:val="auto"/>
        </w:rPr>
        <w:t>”).</w:t>
      </w:r>
    </w:p>
    <w:p>
      <w:pPr>
        <w:spacing w:after="0" w:line="112"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44 -</w:t>
      </w:r>
    </w:p>
    <w:p>
      <w:pPr>
        <w:sectPr>
          <w:pgSz w:w="11900" w:h="16838" w:orient="portrait"/>
          <w:cols w:equalWidth="0" w:num="1">
            <w:col w:w="11004"/>
          </w:cols>
          <w:pgMar w:left="436" w:top="270" w:right="459" w:bottom="1440" w:gutter="0" w:footer="0" w:header="0"/>
        </w:sectPr>
      </w:pPr>
    </w:p>
    <w:bookmarkStart w:id="57" w:name="page58"/>
    <w:bookmarkEnd w:id="57"/>
    <w:p>
      <w:pPr>
        <w:ind w:left="4" w:right="160" w:hanging="4"/>
        <w:spacing w:after="0" w:line="284" w:lineRule="auto"/>
        <w:tabs>
          <w:tab w:leader="none" w:pos="219"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Company’s Right to Elect Settlement Method</w:t>
      </w:r>
      <w:r>
        <w:rPr>
          <w:rFonts w:ascii="Times New Roman" w:cs="Times New Roman" w:eastAsia="Times New Roman" w:hAnsi="Times New Roman"/>
          <w:sz w:val="18"/>
          <w:szCs w:val="18"/>
          <w:color w:val="auto"/>
        </w:rPr>
        <w:t>. The Company will have the right to elect the Settlement Method applicable to any Exchange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Note;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w:t>
      </w:r>
    </w:p>
    <w:p>
      <w:pPr>
        <w:spacing w:after="0" w:line="52" w:lineRule="exact"/>
        <w:rPr>
          <w:rFonts w:ascii="Times New Roman" w:cs="Times New Roman" w:eastAsia="Times New Roman" w:hAnsi="Times New Roman"/>
          <w:sz w:val="18"/>
          <w:szCs w:val="18"/>
          <w:color w:val="auto"/>
        </w:rPr>
      </w:pPr>
    </w:p>
    <w:p>
      <w:pPr>
        <w:jc w:val="both"/>
        <w:ind w:left="984" w:right="200" w:firstLine="408"/>
        <w:spacing w:after="0" w:line="282" w:lineRule="auto"/>
        <w:tabs>
          <w:tab w:leader="none" w:pos="164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Exchanges of Notes with an Exchange Date that occurs on or after March 1, 2029 will be settled using the same Settlement Method, and the Company will send notice of such Settlement Method to Holders no later than the Open of Business on March 1, 2029;</w:t>
      </w:r>
    </w:p>
    <w:p>
      <w:pPr>
        <w:spacing w:after="0" w:line="53" w:lineRule="exact"/>
        <w:rPr>
          <w:rFonts w:ascii="Times New Roman" w:cs="Times New Roman" w:eastAsia="Times New Roman" w:hAnsi="Times New Roman"/>
          <w:sz w:val="18"/>
          <w:szCs w:val="18"/>
          <w:color w:val="auto"/>
        </w:rPr>
      </w:pPr>
    </w:p>
    <w:p>
      <w:pPr>
        <w:jc w:val="both"/>
        <w:ind w:left="984" w:right="540" w:firstLine="408"/>
        <w:spacing w:after="0" w:line="266" w:lineRule="auto"/>
        <w:tabs>
          <w:tab w:leader="none" w:pos="164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elects a Settlement Method with respect to the Exchange of any Note whose Exchange Date occurs before March 1, 2029, then the Company will send notice of such Settlement Method to the Holder of such Note no later than the Close of Business on the Business Day immediately after such Exchange Date;</w:t>
      </w:r>
    </w:p>
    <w:p>
      <w:pPr>
        <w:spacing w:after="0" w:line="67" w:lineRule="exact"/>
        <w:rPr>
          <w:rFonts w:ascii="Times New Roman" w:cs="Times New Roman" w:eastAsia="Times New Roman" w:hAnsi="Times New Roman"/>
          <w:sz w:val="18"/>
          <w:szCs w:val="18"/>
          <w:color w:val="auto"/>
        </w:rPr>
      </w:pPr>
    </w:p>
    <w:p>
      <w:pPr>
        <w:ind w:left="984" w:firstLine="408"/>
        <w:spacing w:after="0" w:line="255" w:lineRule="auto"/>
        <w:tabs>
          <w:tab w:leader="none" w:pos="164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Notes are called for Redemption, then (a) the Company will specify, in the related Redemption Notice (and, in the case of a Redemption of less than all outstanding Notes, in a notice simultaneously sent to all Holders of Notes not called for Redemption) sent pursuant to </w:t>
      </w:r>
      <w:r>
        <w:rPr>
          <w:rFonts w:ascii="Times New Roman" w:cs="Times New Roman" w:eastAsia="Times New Roman" w:hAnsi="Times New Roman"/>
          <w:sz w:val="18"/>
          <w:szCs w:val="18"/>
          <w:b w:val="1"/>
          <w:bCs w:val="1"/>
          <w:color w:val="auto"/>
        </w:rPr>
        <w:t>Section 4.03(F</w:t>
      </w:r>
      <w:r>
        <w:rPr>
          <w:rFonts w:ascii="Times New Roman" w:cs="Times New Roman" w:eastAsia="Times New Roman" w:hAnsi="Times New Roman"/>
          <w:sz w:val="18"/>
          <w:szCs w:val="18"/>
          <w:color w:val="auto"/>
        </w:rPr>
        <w:t xml:space="preserve">), the Settlement Method that will apply to all Exchanges of Notes with an Exchange Date that occurs on or after the related Redemption Notice Date and on or before the second (2nd) Scheduled Trading Day immediately before the related Redemption Date; and (b) if such Redemption Date occurs on or after March 1, 2029, then such Settlement Method must be the same Settlement Method that, pursuant to </w:t>
      </w:r>
      <w:r>
        <w:rPr>
          <w:rFonts w:ascii="Times New Roman" w:cs="Times New Roman" w:eastAsia="Times New Roman" w:hAnsi="Times New Roman"/>
          <w:sz w:val="18"/>
          <w:szCs w:val="18"/>
          <w:b w:val="1"/>
          <w:bCs w:val="1"/>
          <w:color w:val="auto"/>
        </w:rPr>
        <w:t>clause (1</w:t>
      </w:r>
      <w:r>
        <w:rPr>
          <w:rFonts w:ascii="Times New Roman" w:cs="Times New Roman" w:eastAsia="Times New Roman" w:hAnsi="Times New Roman"/>
          <w:sz w:val="18"/>
          <w:szCs w:val="18"/>
          <w:color w:val="auto"/>
        </w:rPr>
        <w:t>) above, applies to all Exchanges of Notes with an Exchange Date that occurs on or after March 1, 2029;</w:t>
      </w:r>
    </w:p>
    <w:p>
      <w:pPr>
        <w:spacing w:after="0" w:line="80" w:lineRule="exact"/>
        <w:rPr>
          <w:rFonts w:ascii="Times New Roman" w:cs="Times New Roman" w:eastAsia="Times New Roman" w:hAnsi="Times New Roman"/>
          <w:sz w:val="18"/>
          <w:szCs w:val="18"/>
          <w:color w:val="auto"/>
        </w:rPr>
      </w:pPr>
    </w:p>
    <w:p>
      <w:pPr>
        <w:ind w:left="984" w:right="500" w:firstLine="408"/>
        <w:spacing w:after="0" w:line="266" w:lineRule="auto"/>
        <w:tabs>
          <w:tab w:leader="none" w:pos="164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will use the same Settlement Method for all Exchanges of Notes with the same Exchange Date (and, for the avoidance of doubt, the Company will not be obligated to use the same Settlement Method with respect to Exchanges of Notes with different Exchange Dates, except as provided in </w:t>
      </w:r>
      <w:r>
        <w:rPr>
          <w:rFonts w:ascii="Times New Roman" w:cs="Times New Roman" w:eastAsia="Times New Roman" w:hAnsi="Times New Roman"/>
          <w:sz w:val="18"/>
          <w:szCs w:val="18"/>
          <w:b w:val="1"/>
          <w:bCs w:val="1"/>
          <w:color w:val="auto"/>
        </w:rPr>
        <w:t>clause (1)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(3</w:t>
      </w:r>
      <w:r>
        <w:rPr>
          <w:rFonts w:ascii="Times New Roman" w:cs="Times New Roman" w:eastAsia="Times New Roman" w:hAnsi="Times New Roman"/>
          <w:sz w:val="18"/>
          <w:szCs w:val="18"/>
          <w:color w:val="auto"/>
        </w:rPr>
        <w:t>) above);</w:t>
      </w:r>
    </w:p>
    <w:p>
      <w:pPr>
        <w:spacing w:after="0" w:line="67" w:lineRule="exact"/>
        <w:rPr>
          <w:rFonts w:ascii="Times New Roman" w:cs="Times New Roman" w:eastAsia="Times New Roman" w:hAnsi="Times New Roman"/>
          <w:sz w:val="18"/>
          <w:szCs w:val="18"/>
          <w:color w:val="auto"/>
        </w:rPr>
      </w:pPr>
    </w:p>
    <w:p>
      <w:pPr>
        <w:ind w:left="984" w:right="140" w:firstLine="408"/>
        <w:spacing w:after="0" w:line="266" w:lineRule="auto"/>
        <w:tabs>
          <w:tab w:leader="none" w:pos="164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does not timely elect a Settlement Method with respect to the Exchange of a Note, then the Company will be deemed to have elected the Default Settlement Method (and, for the avoidance of doubt, the failure to timely make such election will not constitute a Default or Event of Default); and</w:t>
      </w:r>
    </w:p>
    <w:p>
      <w:pPr>
        <w:spacing w:after="0" w:line="67" w:lineRule="exact"/>
        <w:rPr>
          <w:rFonts w:ascii="Times New Roman" w:cs="Times New Roman" w:eastAsia="Times New Roman" w:hAnsi="Times New Roman"/>
          <w:sz w:val="18"/>
          <w:szCs w:val="18"/>
          <w:color w:val="auto"/>
        </w:rPr>
      </w:pPr>
    </w:p>
    <w:p>
      <w:pPr>
        <w:ind w:left="984" w:right="180" w:firstLine="408"/>
        <w:spacing w:after="0" w:line="261" w:lineRule="auto"/>
        <w:tabs>
          <w:tab w:leader="none" w:pos="164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timely elects Combination Settlement with respect to the Exchange of a Note but does not timely notify the Holder of such Note of the applicable Specified Dollar Amount, then the Specified Dollar Amount for such Exchange will be deemed to be $1,000 per $1,000 principal amount of Notes (and, for the avoidance of doubt, the failure to timely send such notification will not constitute a Default or Event of Default).</w:t>
      </w:r>
    </w:p>
    <w:p>
      <w:pPr>
        <w:spacing w:after="0" w:line="72" w:lineRule="exact"/>
        <w:rPr>
          <w:sz w:val="20"/>
          <w:szCs w:val="20"/>
          <w:color w:val="auto"/>
        </w:rPr>
      </w:pPr>
    </w:p>
    <w:p>
      <w:pPr>
        <w:ind w:left="444" w:right="340"/>
        <w:spacing w:after="0" w:line="282" w:lineRule="auto"/>
        <w:rPr>
          <w:sz w:val="20"/>
          <w:szCs w:val="20"/>
          <w:color w:val="auto"/>
        </w:rPr>
      </w:pPr>
      <w:r>
        <w:rPr>
          <w:rFonts w:ascii="Times New Roman" w:cs="Times New Roman" w:eastAsia="Times New Roman" w:hAnsi="Times New Roman"/>
          <w:sz w:val="18"/>
          <w:szCs w:val="18"/>
          <w:color w:val="auto"/>
        </w:rPr>
        <w:t>At or before the time the Company sends any notice referred to in the preceding sentence, the Company will send a copy of such notice to the Trustee and the Exchange Agent, but the failure to timely send such copy will not affect the validity of any Settlement Method election.</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- 45 -</w:t>
      </w:r>
    </w:p>
    <w:p>
      <w:pPr>
        <w:sectPr>
          <w:pgSz w:w="11900" w:h="16838" w:orient="portrait"/>
          <w:cols w:equalWidth="0" w:num="1">
            <w:col w:w="10984"/>
          </w:cols>
          <w:pgMar w:left="436" w:top="268" w:right="479" w:bottom="1440" w:gutter="0" w:footer="0" w:header="0"/>
        </w:sectPr>
      </w:pPr>
    </w:p>
    <w:bookmarkStart w:id="58" w:name="page59"/>
    <w:bookmarkEnd w:id="58"/>
    <w:p>
      <w:pPr>
        <w:ind w:left="4" w:right="40" w:hanging="4"/>
        <w:spacing w:after="0" w:line="253" w:lineRule="auto"/>
        <w:tabs>
          <w:tab w:leader="none" w:pos="269"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Company’s Right to Irrevocably Fix or Eliminate Settlement Methods</w:t>
      </w:r>
      <w:r>
        <w:rPr>
          <w:rFonts w:ascii="Times New Roman" w:cs="Times New Roman" w:eastAsia="Times New Roman" w:hAnsi="Times New Roman"/>
          <w:sz w:val="18"/>
          <w:szCs w:val="18"/>
          <w:color w:val="auto"/>
        </w:rPr>
        <w:t>. The Company will have the right, exercisable at its election by sending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notice of such exercise to the Holders (with a copy to the Trustee and the Exchange Agent), to (1) irrevocably fix the Settlement Method that will apply to all Exchanges of Notes with an Exchange Date that occurs on or after the date such notice is sent to Holders; or (2) irrevocably eliminate any one or more (but not all) Settlement Methods (including eliminating Combination Settlement with a particular Specified Dollar Amount or range of Specified Dollar Amounts) with respect to all Exchanges of Notes with an Exchange Date that occurs on or after the date such notice is sent to 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in each case, that (v) in no event will the Company elect (whether directly or by eliminating all other Settlement Methods) Combination Settlement with a Specified Dollar Amount that is less than $1,000 per $1,000 principal amount of Notes; (w) the Settlement Method so elected pursuant to </w:t>
      </w:r>
      <w:r>
        <w:rPr>
          <w:rFonts w:ascii="Times New Roman" w:cs="Times New Roman" w:eastAsia="Times New Roman" w:hAnsi="Times New Roman"/>
          <w:sz w:val="18"/>
          <w:szCs w:val="18"/>
          <w:b w:val="1"/>
          <w:bCs w:val="1"/>
          <w:color w:val="auto"/>
        </w:rPr>
        <w:t>clause</w:t>
      </w:r>
    </w:p>
    <w:p>
      <w:pPr>
        <w:spacing w:after="0" w:line="4" w:lineRule="exact"/>
        <w:rPr>
          <w:rFonts w:ascii="Times New Roman" w:cs="Times New Roman" w:eastAsia="Times New Roman" w:hAnsi="Times New Roman"/>
          <w:sz w:val="18"/>
          <w:szCs w:val="18"/>
          <w:color w:val="auto"/>
        </w:rPr>
      </w:pPr>
    </w:p>
    <w:p>
      <w:pPr>
        <w:ind w:left="4"/>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(1) </w:t>
      </w:r>
      <w:r>
        <w:rPr>
          <w:rFonts w:ascii="Times New Roman" w:cs="Times New Roman" w:eastAsia="Times New Roman" w:hAnsi="Times New Roman"/>
          <w:sz w:val="18"/>
          <w:szCs w:val="18"/>
          <w:color w:val="auto"/>
        </w:rPr>
        <w:t>above, or the Settlement Method(s) remaining after any elimination pursuant to</w:t>
      </w:r>
      <w:r>
        <w:rPr>
          <w:rFonts w:ascii="Times New Roman" w:cs="Times New Roman" w:eastAsia="Times New Roman" w:hAnsi="Times New Roman"/>
          <w:sz w:val="18"/>
          <w:szCs w:val="18"/>
          <w:b w:val="1"/>
          <w:bCs w:val="1"/>
          <w:color w:val="auto"/>
        </w:rPr>
        <w:t xml:space="preserve"> clause (2) </w:t>
      </w:r>
      <w:r>
        <w:rPr>
          <w:rFonts w:ascii="Times New Roman" w:cs="Times New Roman" w:eastAsia="Times New Roman" w:hAnsi="Times New Roman"/>
          <w:sz w:val="18"/>
          <w:szCs w:val="18"/>
          <w:color w:val="auto"/>
        </w:rPr>
        <w:t>above, as applicable, must be a Settlement Method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Settlement Method(s), as applicable, that the Company is then permitted to elect (for the avoidance of doubt, including pursuant to, and subject to, the other provisions of this </w:t>
      </w:r>
      <w:r>
        <w:rPr>
          <w:rFonts w:ascii="Times New Roman" w:cs="Times New Roman" w:eastAsia="Times New Roman" w:hAnsi="Times New Roman"/>
          <w:sz w:val="18"/>
          <w:szCs w:val="18"/>
          <w:b w:val="1"/>
          <w:bCs w:val="1"/>
          <w:color w:val="auto"/>
        </w:rPr>
        <w:t>Section 5.03(A</w:t>
      </w:r>
      <w:r>
        <w:rPr>
          <w:rFonts w:ascii="Times New Roman" w:cs="Times New Roman" w:eastAsia="Times New Roman" w:hAnsi="Times New Roman"/>
          <w:sz w:val="18"/>
          <w:szCs w:val="18"/>
          <w:color w:val="auto"/>
        </w:rPr>
        <w:t xml:space="preserve">)); (x) no such irrevocable election will affect any Settlement Method theretofore elected (or deemed to be elected) with respect to any Note pursuant to this Indenture (including pursuant to </w:t>
      </w:r>
      <w:r>
        <w:rPr>
          <w:rFonts w:ascii="Times New Roman" w:cs="Times New Roman" w:eastAsia="Times New Roman" w:hAnsi="Times New Roman"/>
          <w:sz w:val="18"/>
          <w:szCs w:val="18"/>
          <w:b w:val="1"/>
          <w:bCs w:val="1"/>
          <w:color w:val="auto"/>
        </w:rPr>
        <w:t>Section 8.01(G</w:t>
      </w:r>
      <w:r>
        <w:rPr>
          <w:rFonts w:ascii="Times New Roman" w:cs="Times New Roman" w:eastAsia="Times New Roman" w:hAnsi="Times New Roman"/>
          <w:sz w:val="18"/>
          <w:szCs w:val="18"/>
          <w:color w:val="auto"/>
        </w:rPr>
        <w:t xml:space="preserve">) or this </w:t>
      </w:r>
      <w:r>
        <w:rPr>
          <w:rFonts w:ascii="Times New Roman" w:cs="Times New Roman" w:eastAsia="Times New Roman" w:hAnsi="Times New Roman"/>
          <w:sz w:val="18"/>
          <w:szCs w:val="18"/>
          <w:b w:val="1"/>
          <w:bCs w:val="1"/>
          <w:color w:val="auto"/>
        </w:rPr>
        <w:t>Section 5.03(A</w:t>
      </w:r>
      <w:r>
        <w:rPr>
          <w:rFonts w:ascii="Times New Roman" w:cs="Times New Roman" w:eastAsia="Times New Roman" w:hAnsi="Times New Roman"/>
          <w:sz w:val="18"/>
          <w:szCs w:val="18"/>
          <w:color w:val="auto"/>
        </w:rPr>
        <w:t xml:space="preserve">)); (y) upon any such irrevocable election pursuant to </w:t>
      </w:r>
      <w:r>
        <w:rPr>
          <w:rFonts w:ascii="Times New Roman" w:cs="Times New Roman" w:eastAsia="Times New Roman" w:hAnsi="Times New Roman"/>
          <w:sz w:val="18"/>
          <w:szCs w:val="18"/>
          <w:b w:val="1"/>
          <w:bCs w:val="1"/>
          <w:color w:val="auto"/>
        </w:rPr>
        <w:t>clause (1)</w:t>
      </w:r>
      <w:r>
        <w:rPr>
          <w:rFonts w:ascii="Times New Roman" w:cs="Times New Roman" w:eastAsia="Times New Roman" w:hAnsi="Times New Roman"/>
          <w:sz w:val="18"/>
          <w:szCs w:val="18"/>
          <w:color w:val="auto"/>
        </w:rPr>
        <w:t xml:space="preserve"> above, the Default Settlement Method will automatically be deemed to be set to the Settlement Method so fixed; and (z) upon any such irrevocable election pursuant to </w:t>
      </w:r>
      <w:r>
        <w:rPr>
          <w:rFonts w:ascii="Times New Roman" w:cs="Times New Roman" w:eastAsia="Times New Roman" w:hAnsi="Times New Roman"/>
          <w:sz w:val="18"/>
          <w:szCs w:val="18"/>
          <w:b w:val="1"/>
          <w:bCs w:val="1"/>
          <w:color w:val="auto"/>
        </w:rPr>
        <w:t>clause (2)</w:t>
      </w:r>
      <w:r>
        <w:rPr>
          <w:rFonts w:ascii="Times New Roman" w:cs="Times New Roman" w:eastAsia="Times New Roman" w:hAnsi="Times New Roman"/>
          <w:sz w:val="18"/>
          <w:szCs w:val="18"/>
          <w:color w:val="auto"/>
        </w:rPr>
        <w:t xml:space="preserve"> above, the Company will, if needed, simultaneously change the Default Settlement Method to a Settlement Method that is consistent with such irrevocable election. Such notice, if sent, must set forth the applicable Settlement Method(s) so elected or eliminated, as applicable, and the Default Settlement Method applicable immediately after such election, and expressly state that the election is irrevocable and applicable to all Exchanges of Notes with an Exchange Date that occurs on or after the date such notice is sent to Holders (but that no such irrevocable election will affect any Settlement Method theretofore elected (or deemed to be elected) with respect to any Note pursuant to this Indenture). For the avoidance of doubt, such an irrevocable election, if made, will be effective without the need to amend this Indenture or the Notes, including pursuant to </w:t>
      </w:r>
      <w:r>
        <w:rPr>
          <w:rFonts w:ascii="Times New Roman" w:cs="Times New Roman" w:eastAsia="Times New Roman" w:hAnsi="Times New Roman"/>
          <w:sz w:val="18"/>
          <w:szCs w:val="18"/>
          <w:b w:val="1"/>
          <w:bCs w:val="1"/>
          <w:color w:val="auto"/>
        </w:rPr>
        <w:t>Section 8.01(G</w:t>
      </w:r>
      <w:r>
        <w:rPr>
          <w:rFonts w:ascii="Times New Roman" w:cs="Times New Roman" w:eastAsia="Times New Roman" w:hAnsi="Times New Roman"/>
          <w:sz w:val="18"/>
          <w:szCs w:val="18"/>
          <w:color w:val="auto"/>
        </w:rPr>
        <w:t>) (it being understood, however, that the Company may nonetheless choose to execute such an amendment at its option).</w:t>
      </w:r>
    </w:p>
    <w:p>
      <w:pPr>
        <w:spacing w:after="0" w:line="189" w:lineRule="exact"/>
        <w:rPr>
          <w:rFonts w:ascii="Times New Roman" w:cs="Times New Roman" w:eastAsia="Times New Roman" w:hAnsi="Times New Roman"/>
          <w:sz w:val="18"/>
          <w:szCs w:val="18"/>
          <w:color w:val="auto"/>
        </w:rPr>
      </w:pPr>
    </w:p>
    <w:p>
      <w:pPr>
        <w:ind w:left="4" w:right="80" w:hanging="4"/>
        <w:spacing w:after="0" w:line="261" w:lineRule="auto"/>
        <w:tabs>
          <w:tab w:leader="none" w:pos="319"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Requirement to Publicly Disclose the Fixed or Default Settlement Method. </w:t>
      </w:r>
      <w:r>
        <w:rPr>
          <w:rFonts w:ascii="Times New Roman" w:cs="Times New Roman" w:eastAsia="Times New Roman" w:hAnsi="Times New Roman"/>
          <w:sz w:val="18"/>
          <w:szCs w:val="18"/>
          <w:color w:val="auto"/>
        </w:rPr>
        <w:t>If the Company changes the Default Settlement Method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 xml:space="preserve">clause (x) </w:t>
      </w:r>
      <w:r>
        <w:rPr>
          <w:rFonts w:ascii="Times New Roman" w:cs="Times New Roman" w:eastAsia="Times New Roman" w:hAnsi="Times New Roman"/>
          <w:sz w:val="18"/>
          <w:szCs w:val="18"/>
          <w:color w:val="auto"/>
        </w:rPr>
        <w:t>of the proviso to the definition of such term or irrevocably fixes the Settlement Method(s) pursuant to</w:t>
      </w:r>
      <w:r>
        <w:rPr>
          <w:rFonts w:ascii="Times New Roman" w:cs="Times New Roman" w:eastAsia="Times New Roman" w:hAnsi="Times New Roman"/>
          <w:sz w:val="18"/>
          <w:szCs w:val="18"/>
          <w:b w:val="1"/>
          <w:bCs w:val="1"/>
          <w:color w:val="auto"/>
        </w:rPr>
        <w:t xml:space="preserve"> Section 5.03(A)(ii</w:t>
      </w:r>
      <w:r>
        <w:rPr>
          <w:rFonts w:ascii="Times New Roman" w:cs="Times New Roman" w:eastAsia="Times New Roman" w:hAnsi="Times New Roman"/>
          <w:sz w:val="18"/>
          <w:szCs w:val="18"/>
          <w:color w:val="auto"/>
        </w:rPr>
        <w:t>), then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substantially concurrently, either post the Default Settlement Method or fixed Settlement Method(s), as applicable, on its website or disclose the same in a Current Report on Form 8-K (or any successor form) that is filed with, or furnished to, the SEC.</w:t>
      </w:r>
    </w:p>
    <w:p>
      <w:pPr>
        <w:spacing w:after="0" w:line="180" w:lineRule="exact"/>
        <w:rPr>
          <w:sz w:val="20"/>
          <w:szCs w:val="20"/>
          <w:color w:val="auto"/>
        </w:rPr>
      </w:pPr>
    </w:p>
    <w:p>
      <w:pPr>
        <w:ind w:left="284" w:hanging="284"/>
        <w:spacing w:after="0"/>
        <w:tabs>
          <w:tab w:leader="none" w:pos="284"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Exchange Consideration</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4" w:right="1100" w:hanging="4"/>
        <w:spacing w:after="0" w:line="286" w:lineRule="auto"/>
        <w:tabs>
          <w:tab w:leader="none" w:pos="219"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Sections 5.01(D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5.03(B)(ii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5.03(B)(iii</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5.09(A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color w:val="auto"/>
        </w:rPr>
        <w:t>, the type and amount of consideration (the “</w:t>
      </w:r>
      <w:r>
        <w:rPr>
          <w:rFonts w:ascii="Times New Roman" w:cs="Times New Roman" w:eastAsia="Times New Roman" w:hAnsi="Times New Roman"/>
          <w:sz w:val="18"/>
          <w:szCs w:val="18"/>
          <w:b w:val="1"/>
          <w:bCs w:val="1"/>
          <w:color w:val="auto"/>
        </w:rPr>
        <w:t>Exchange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Consideration</w:t>
      </w:r>
      <w:r>
        <w:rPr>
          <w:rFonts w:ascii="Times New Roman" w:cs="Times New Roman" w:eastAsia="Times New Roman" w:hAnsi="Times New Roman"/>
          <w:sz w:val="18"/>
          <w:szCs w:val="18"/>
          <w:color w:val="auto"/>
        </w:rPr>
        <w:t>”) due in respect of each $1,000 principal amount of a Note to be Exchanged will be as follows:</w:t>
      </w:r>
    </w:p>
    <w:p>
      <w:pPr>
        <w:spacing w:after="0" w:line="50" w:lineRule="exact"/>
        <w:rPr>
          <w:rFonts w:ascii="Times New Roman" w:cs="Times New Roman" w:eastAsia="Times New Roman" w:hAnsi="Times New Roman"/>
          <w:sz w:val="18"/>
          <w:szCs w:val="18"/>
          <w:color w:val="auto"/>
        </w:rPr>
      </w:pPr>
    </w:p>
    <w:p>
      <w:pPr>
        <w:ind w:left="984" w:right="160" w:firstLine="408"/>
        <w:spacing w:after="0" w:line="282" w:lineRule="auto"/>
        <w:tabs>
          <w:tab w:leader="none" w:pos="164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Cash Settlement applies to such Exchange, cash in an amount equal to the sum of the Daily Exchange Values for each VWAP Trading Day in the Observation Period for such Exchange; or</w:t>
      </w:r>
    </w:p>
    <w:p>
      <w:pPr>
        <w:spacing w:after="0" w:line="94"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2"/>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46 -</w:t>
      </w:r>
    </w:p>
    <w:p>
      <w:pPr>
        <w:sectPr>
          <w:pgSz w:w="11900" w:h="16838" w:orient="portrait"/>
          <w:cols w:equalWidth="0" w:num="1">
            <w:col w:w="11004"/>
          </w:cols>
          <w:pgMar w:left="436" w:top="268" w:right="459" w:bottom="1440" w:gutter="0" w:footer="0" w:header="0"/>
        </w:sectPr>
      </w:pPr>
    </w:p>
    <w:bookmarkStart w:id="59" w:name="page60"/>
    <w:bookmarkEnd w:id="59"/>
    <w:p>
      <w:pPr>
        <w:ind w:left="984" w:right="40" w:firstLine="408"/>
        <w:spacing w:after="0" w:line="266" w:lineRule="auto"/>
        <w:tabs>
          <w:tab w:leader="none" w:pos="164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Combination Settlement applies to such Exchange, consideration consisting of (a) a number of shares of Common Stock equal to the sum of the Daily Share Amounts for each VWAP Trading Day in the Observation Period for such Exchange; and (b) an amount of cash equal to the sum of the Daily Cash Amounts for each VWAP Trading Day in such Observation Period.</w:t>
      </w:r>
    </w:p>
    <w:p>
      <w:pPr>
        <w:spacing w:after="0" w:line="173" w:lineRule="exact"/>
        <w:rPr>
          <w:rFonts w:ascii="Times New Roman" w:cs="Times New Roman" w:eastAsia="Times New Roman" w:hAnsi="Times New Roman"/>
          <w:sz w:val="18"/>
          <w:szCs w:val="18"/>
          <w:color w:val="auto"/>
        </w:rPr>
      </w:pPr>
    </w:p>
    <w:p>
      <w:pPr>
        <w:ind w:left="4" w:right="60" w:hanging="4"/>
        <w:spacing w:after="0" w:line="281" w:lineRule="auto"/>
        <w:tabs>
          <w:tab w:leader="none" w:pos="269"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Cash in Lieu of Fractional Shares</w:t>
      </w:r>
      <w:r>
        <w:rPr>
          <w:rFonts w:ascii="Times New Roman" w:cs="Times New Roman" w:eastAsia="Times New Roman" w:hAnsi="Times New Roman"/>
          <w:sz w:val="17"/>
          <w:szCs w:val="17"/>
          <w:color w:val="auto"/>
        </w:rPr>
        <w:t>. If Combination Settlement applies to the Exchange of any Note and the number of shares of Common Stock</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deliverable pursuant to </w:t>
      </w:r>
      <w:r>
        <w:rPr>
          <w:rFonts w:ascii="Times New Roman" w:cs="Times New Roman" w:eastAsia="Times New Roman" w:hAnsi="Times New Roman"/>
          <w:sz w:val="17"/>
          <w:szCs w:val="17"/>
          <w:b w:val="1"/>
          <w:bCs w:val="1"/>
          <w:color w:val="auto"/>
        </w:rPr>
        <w:t>Section 5.03(B)(i</w:t>
      </w:r>
      <w:r>
        <w:rPr>
          <w:rFonts w:ascii="Times New Roman" w:cs="Times New Roman" w:eastAsia="Times New Roman" w:hAnsi="Times New Roman"/>
          <w:sz w:val="17"/>
          <w:szCs w:val="17"/>
          <w:color w:val="auto"/>
        </w:rPr>
        <w:t>) upon such Exchange is not a whole number, then such number will be rounded down to the nearest whole number and the Company will deliver, in addition to the other consideration due upon such Exchange, cash in lieu of the related fractional share in an amount equal to the product of (1) such fraction and (2) the Daily VWAP on the last VWAP Trading Day of the Observation Period for such Exchange.</w:t>
      </w:r>
    </w:p>
    <w:p>
      <w:pPr>
        <w:spacing w:after="0" w:line="164" w:lineRule="exact"/>
        <w:rPr>
          <w:rFonts w:ascii="Times New Roman" w:cs="Times New Roman" w:eastAsia="Times New Roman" w:hAnsi="Times New Roman"/>
          <w:sz w:val="17"/>
          <w:szCs w:val="17"/>
          <w:color w:val="auto"/>
        </w:rPr>
      </w:pPr>
    </w:p>
    <w:p>
      <w:pPr>
        <w:ind w:left="4" w:right="240" w:hanging="4"/>
        <w:spacing w:after="0" w:line="267" w:lineRule="auto"/>
        <w:tabs>
          <w:tab w:leader="none" w:pos="319"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Exchange of Multiple Notes by a Single Holder</w:t>
      </w:r>
      <w:r>
        <w:rPr>
          <w:rFonts w:ascii="Times New Roman" w:cs="Times New Roman" w:eastAsia="Times New Roman" w:hAnsi="Times New Roman"/>
          <w:sz w:val="18"/>
          <w:szCs w:val="18"/>
          <w:color w:val="auto"/>
        </w:rPr>
        <w:t>. If a Holder Exchanges more than one (1) Note on a single Exchange Date, then the Exchange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Consideration due in respect of such Exchange will (in the case of any Global Note, to the extent permitted by, and practicable under, the Depositary Procedures) be computed based on the total principal amount of Notes Exchanged on such Exchange Date by such Holder.</w:t>
      </w:r>
    </w:p>
    <w:p>
      <w:pPr>
        <w:spacing w:after="0" w:line="173" w:lineRule="exact"/>
        <w:rPr>
          <w:rFonts w:ascii="Times New Roman" w:cs="Times New Roman" w:eastAsia="Times New Roman" w:hAnsi="Times New Roman"/>
          <w:sz w:val="18"/>
          <w:szCs w:val="18"/>
          <w:color w:val="auto"/>
        </w:rPr>
      </w:pPr>
    </w:p>
    <w:p>
      <w:pPr>
        <w:ind w:left="4" w:right="60" w:hanging="4"/>
        <w:spacing w:after="0" w:line="261" w:lineRule="auto"/>
        <w:tabs>
          <w:tab w:leader="none" w:pos="309"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 of Calculation of Exchange Consideration</w:t>
      </w:r>
      <w:r>
        <w:rPr>
          <w:rFonts w:ascii="Times New Roman" w:cs="Times New Roman" w:eastAsia="Times New Roman" w:hAnsi="Times New Roman"/>
          <w:sz w:val="18"/>
          <w:szCs w:val="18"/>
          <w:color w:val="auto"/>
        </w:rPr>
        <w:t>. If any Note is to be Exchanged, then the Company will determine the Exchange Consideration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due thereupon promptly following the last VWAP Trading Day of the applicable Observation Period and will promptly thereafter send notice to the Trustee and the Exchange Agent of the same and the calculation thereof in reasonable detail. Neither the Trustee nor the Exchange Agent will have any duty to make any such determination.</w:t>
      </w:r>
    </w:p>
    <w:p>
      <w:pPr>
        <w:spacing w:after="0" w:line="178" w:lineRule="exact"/>
        <w:rPr>
          <w:sz w:val="20"/>
          <w:szCs w:val="20"/>
          <w:color w:val="auto"/>
        </w:rPr>
      </w:pPr>
    </w:p>
    <w:p>
      <w:pPr>
        <w:ind w:left="4" w:right="60" w:hanging="4"/>
        <w:spacing w:after="0" w:line="268" w:lineRule="auto"/>
        <w:tabs>
          <w:tab w:leader="none" w:pos="289"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Delivery of the Exchange Consideration</w:t>
      </w:r>
      <w:r>
        <w:rPr>
          <w:rFonts w:ascii="Times New Roman" w:cs="Times New Roman" w:eastAsia="Times New Roman" w:hAnsi="Times New Roman"/>
          <w:sz w:val="18"/>
          <w:szCs w:val="18"/>
          <w:color w:val="auto"/>
        </w:rPr>
        <w:t>. Except as set forth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Sections 5.01(D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5.05(D</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5.09</w:t>
      </w:r>
      <w:r>
        <w:rPr>
          <w:rFonts w:ascii="Times New Roman" w:cs="Times New Roman" w:eastAsia="Times New Roman" w:hAnsi="Times New Roman"/>
          <w:sz w:val="18"/>
          <w:szCs w:val="18"/>
          <w:color w:val="auto"/>
        </w:rPr>
        <w:t>, the Company will pay or deliver, as applicable,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Exchange Consideration due upon the Exchange of any Note to the Holder on or before the second (2nd) Business Day immediately after the last VWAP Trading Day of the Observation Period for such Exchange.</w:t>
      </w:r>
    </w:p>
    <w:p>
      <w:pPr>
        <w:spacing w:after="0" w:line="172" w:lineRule="exact"/>
        <w:rPr>
          <w:rFonts w:ascii="Times New Roman" w:cs="Times New Roman" w:eastAsia="Times New Roman" w:hAnsi="Times New Roman"/>
          <w:sz w:val="18"/>
          <w:szCs w:val="18"/>
          <w:color w:val="auto"/>
        </w:rPr>
      </w:pPr>
    </w:p>
    <w:p>
      <w:pPr>
        <w:ind w:left="4" w:hanging="4"/>
        <w:spacing w:after="0" w:line="256" w:lineRule="auto"/>
        <w:tabs>
          <w:tab w:leader="none" w:pos="299"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Deemed Payment of Principal and Interest; Settlement of Accrued Interest Notwithstanding Exchange</w:t>
      </w:r>
      <w:r>
        <w:rPr>
          <w:rFonts w:ascii="Times New Roman" w:cs="Times New Roman" w:eastAsia="Times New Roman" w:hAnsi="Times New Roman"/>
          <w:sz w:val="18"/>
          <w:szCs w:val="18"/>
          <w:color w:val="auto"/>
        </w:rPr>
        <w:t>. If a Holder Exchanges a Note, then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Company will not adjust the Exchange Rate to account for any accrued and unpaid interest on such Note, and, except as provided in </w:t>
      </w:r>
      <w:r>
        <w:rPr>
          <w:rFonts w:ascii="Times New Roman" w:cs="Times New Roman" w:eastAsia="Times New Roman" w:hAnsi="Times New Roman"/>
          <w:sz w:val="18"/>
          <w:szCs w:val="18"/>
          <w:b w:val="1"/>
          <w:bCs w:val="1"/>
          <w:color w:val="auto"/>
        </w:rPr>
        <w:t>Section 5.02(D</w:t>
      </w:r>
      <w:r>
        <w:rPr>
          <w:rFonts w:ascii="Times New Roman" w:cs="Times New Roman" w:eastAsia="Times New Roman" w:hAnsi="Times New Roman"/>
          <w:sz w:val="18"/>
          <w:szCs w:val="18"/>
          <w:color w:val="auto"/>
        </w:rPr>
        <w:t xml:space="preserve">), the Company’s delivery of the Exchange Consideration due in respect of such Exchange will be deemed to fully satisfy and discharge the Company’s obligation to pay the principal of, and accrued and unpaid interest, if any, on, such Note to, but excluding the Exchange Date. As a result, except as provided in </w:t>
      </w:r>
      <w:r>
        <w:rPr>
          <w:rFonts w:ascii="Times New Roman" w:cs="Times New Roman" w:eastAsia="Times New Roman" w:hAnsi="Times New Roman"/>
          <w:sz w:val="18"/>
          <w:szCs w:val="18"/>
          <w:b w:val="1"/>
          <w:bCs w:val="1"/>
          <w:color w:val="auto"/>
        </w:rPr>
        <w:t>Section 5.02(D</w:t>
      </w:r>
      <w:r>
        <w:rPr>
          <w:rFonts w:ascii="Times New Roman" w:cs="Times New Roman" w:eastAsia="Times New Roman" w:hAnsi="Times New Roman"/>
          <w:sz w:val="18"/>
          <w:szCs w:val="18"/>
          <w:color w:val="auto"/>
        </w:rPr>
        <w:t xml:space="preserve">), any accrued and unpaid interest on an Exchanged Note will be deemed to be paid in full rather than cancelled, extinguished or forfeited. In addition, subject to </w:t>
      </w:r>
      <w:r>
        <w:rPr>
          <w:rFonts w:ascii="Times New Roman" w:cs="Times New Roman" w:eastAsia="Times New Roman" w:hAnsi="Times New Roman"/>
          <w:sz w:val="18"/>
          <w:szCs w:val="18"/>
          <w:b w:val="1"/>
          <w:bCs w:val="1"/>
          <w:color w:val="auto"/>
        </w:rPr>
        <w:t>Section 5.02(D</w:t>
      </w:r>
      <w:r>
        <w:rPr>
          <w:rFonts w:ascii="Times New Roman" w:cs="Times New Roman" w:eastAsia="Times New Roman" w:hAnsi="Times New Roman"/>
          <w:sz w:val="18"/>
          <w:szCs w:val="18"/>
          <w:color w:val="auto"/>
        </w:rPr>
        <w:t>), if the Exchange Consideration for a Note consists of both cash and shares of Common Stock, then accrued and unpaid interest that is deemed to be paid therewith will be deemed to be paid first out of such cash.</w:t>
      </w:r>
    </w:p>
    <w:p>
      <w:pPr>
        <w:spacing w:after="0" w:line="117"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47 -</w:t>
      </w:r>
    </w:p>
    <w:p>
      <w:pPr>
        <w:sectPr>
          <w:pgSz w:w="11900" w:h="16838" w:orient="portrait"/>
          <w:cols w:equalWidth="0" w:num="1">
            <w:col w:w="10944"/>
          </w:cols>
          <w:pgMar w:left="436" w:top="270" w:right="519" w:bottom="1440" w:gutter="0" w:footer="0" w:header="0"/>
        </w:sectPr>
      </w:pPr>
    </w:p>
    <w:bookmarkStart w:id="60" w:name="page61"/>
    <w:bookmarkEnd w:id="60"/>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5.04. R</w:t>
      </w:r>
      <w:r>
        <w:rPr>
          <w:rFonts w:ascii="Times New Roman" w:cs="Times New Roman" w:eastAsia="Times New Roman" w:hAnsi="Times New Roman"/>
          <w:sz w:val="14"/>
          <w:szCs w:val="14"/>
          <w:b w:val="1"/>
          <w:bCs w:val="1"/>
          <w:color w:val="auto"/>
        </w:rPr>
        <w:t>ESERVE AND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TATUS OF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OMMON</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ELIVERED</w:t>
      </w:r>
      <w:r>
        <w:rPr>
          <w:rFonts w:ascii="Times New Roman" w:cs="Times New Roman" w:eastAsia="Times New Roman" w:hAnsi="Times New Roman"/>
          <w:sz w:val="18"/>
          <w:szCs w:val="18"/>
          <w:b w:val="1"/>
          <w:bCs w:val="1"/>
          <w:color w:val="auto"/>
        </w:rPr>
        <w:t xml:space="preserve"> U</w:t>
      </w:r>
      <w:r>
        <w:rPr>
          <w:rFonts w:ascii="Times New Roman" w:cs="Times New Roman" w:eastAsia="Times New Roman" w:hAnsi="Times New Roman"/>
          <w:sz w:val="14"/>
          <w:szCs w:val="14"/>
          <w:b w:val="1"/>
          <w:bCs w:val="1"/>
          <w:color w:val="auto"/>
        </w:rPr>
        <w:t>PON</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XCHANGE</w:t>
      </w:r>
      <w:r>
        <w:rPr>
          <w:rFonts w:ascii="Times New Roman" w:cs="Times New Roman" w:eastAsia="Times New Roman" w:hAnsi="Times New Roman"/>
          <w:sz w:val="18"/>
          <w:szCs w:val="18"/>
          <w:b w:val="1"/>
          <w:bCs w:val="1"/>
          <w:color w:val="auto"/>
        </w:rPr>
        <w:t>.</w:t>
      </w:r>
    </w:p>
    <w:p>
      <w:pPr>
        <w:spacing w:after="0" w:line="119" w:lineRule="exact"/>
        <w:rPr>
          <w:sz w:val="20"/>
          <w:szCs w:val="20"/>
          <w:color w:val="auto"/>
        </w:rPr>
      </w:pPr>
    </w:p>
    <w:p>
      <w:pPr>
        <w:ind w:left="4" w:right="80" w:hanging="4"/>
        <w:spacing w:after="0" w:line="257" w:lineRule="auto"/>
        <w:tabs>
          <w:tab w:leader="none" w:pos="299"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 Reserve</w:t>
      </w:r>
      <w:r>
        <w:rPr>
          <w:rFonts w:ascii="Times New Roman" w:cs="Times New Roman" w:eastAsia="Times New Roman" w:hAnsi="Times New Roman"/>
          <w:sz w:val="18"/>
          <w:szCs w:val="18"/>
          <w:color w:val="auto"/>
        </w:rPr>
        <w:t>. At all times when any Notes are outstanding, Holdings will reserve (out of its authorized and not outstanding shares of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Stock that are not reserved for other purposes) a number of shares of Common Stock equal to the product of (i) the aggregate principal amount (expressed in thousands) of all then-outstanding Notes; and (ii) the Exchange Rate then in effect (assuming, for these purposes, that the Exchange Rate is increased by the maximum amount pursuant to which the Exchange Rate may be increased pursuant to Section </w:t>
      </w:r>
      <w:r>
        <w:rPr>
          <w:rFonts w:ascii="Times New Roman" w:cs="Times New Roman" w:eastAsia="Times New Roman" w:hAnsi="Times New Roman"/>
          <w:sz w:val="18"/>
          <w:szCs w:val="18"/>
          <w:b w:val="1"/>
          <w:bCs w:val="1"/>
          <w:color w:val="auto"/>
        </w:rPr>
        <w:t>5.07</w:t>
      </w:r>
      <w:r>
        <w:rPr>
          <w:rFonts w:ascii="Times New Roman" w:cs="Times New Roman" w:eastAsia="Times New Roman" w:hAnsi="Times New Roman"/>
          <w:sz w:val="18"/>
          <w:szCs w:val="18"/>
          <w:color w:val="auto"/>
        </w:rPr>
        <w:t xml:space="preserve">). To the extent Holdings delivers shares of Common Stock held in its treasury in settlement of the Exchange of any Notes, each reference in this Indenture or the Notes to the delivery of shares of Common Stock in connection therewith will be deemed to include such delivery,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82" w:lineRule="exact"/>
        <w:rPr>
          <w:rFonts w:ascii="Times New Roman" w:cs="Times New Roman" w:eastAsia="Times New Roman" w:hAnsi="Times New Roman"/>
          <w:sz w:val="18"/>
          <w:szCs w:val="18"/>
          <w:color w:val="auto"/>
        </w:rPr>
      </w:pPr>
    </w:p>
    <w:p>
      <w:pPr>
        <w:ind w:left="4" w:right="40" w:hanging="4"/>
        <w:spacing w:after="0" w:line="256" w:lineRule="auto"/>
        <w:tabs>
          <w:tab w:leader="none" w:pos="289"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Status of Exchange Shares; Listing</w:t>
      </w:r>
      <w:r>
        <w:rPr>
          <w:rFonts w:ascii="Times New Roman" w:cs="Times New Roman" w:eastAsia="Times New Roman" w:hAnsi="Times New Roman"/>
          <w:sz w:val="18"/>
          <w:szCs w:val="18"/>
          <w:color w:val="auto"/>
        </w:rPr>
        <w:t>. Each Exchange Share, if any, delivered upon Exchange of any Note will be a newly issued or treasury share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(except that any Exchange Share delivered by a designated financial institution pursuant to </w:t>
      </w:r>
      <w:r>
        <w:rPr>
          <w:rFonts w:ascii="Times New Roman" w:cs="Times New Roman" w:eastAsia="Times New Roman" w:hAnsi="Times New Roman"/>
          <w:sz w:val="18"/>
          <w:szCs w:val="18"/>
          <w:b w:val="1"/>
          <w:bCs w:val="1"/>
          <w:color w:val="auto"/>
        </w:rPr>
        <w:t>Section 5.08</w:t>
      </w:r>
      <w:r>
        <w:rPr>
          <w:rFonts w:ascii="Times New Roman" w:cs="Times New Roman" w:eastAsia="Times New Roman" w:hAnsi="Times New Roman"/>
          <w:sz w:val="18"/>
          <w:szCs w:val="18"/>
          <w:color w:val="auto"/>
        </w:rPr>
        <w:t xml:space="preserve"> need not be a newly issued or treasury share) and will be duly authorized, validly issued, fully paid, non-assessable, free from preemptive rights and free of any lien or adverse claim (except to the extent of any lien or adverse claim created by the action or inaction of the Holder of such Note or the Person to whom such Exchange Share will be delivered). If the Common Stock is then listed on any securities exchange, or quoted on any inter-dealer quotation system, then the Company will use commercially reasonable efforts to cause each Exchange Share, when delivered upon Exchange of any Note, to be admitted for listing on such exchange or quotation on such system.</w:t>
      </w:r>
    </w:p>
    <w:p>
      <w:pPr>
        <w:spacing w:after="0" w:line="2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5.05. A</w:t>
      </w:r>
      <w:r>
        <w:rPr>
          <w:rFonts w:ascii="Times New Roman" w:cs="Times New Roman" w:eastAsia="Times New Roman" w:hAnsi="Times New Roman"/>
          <w:sz w:val="14"/>
          <w:szCs w:val="14"/>
          <w:b w:val="1"/>
          <w:bCs w:val="1"/>
          <w:color w:val="auto"/>
        </w:rPr>
        <w:t>DJUSTMENTS TO THE</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XCHANGE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ATE</w:t>
      </w:r>
      <w:r>
        <w:rPr>
          <w:rFonts w:ascii="Times New Roman" w:cs="Times New Roman" w:eastAsia="Times New Roman" w:hAnsi="Times New Roman"/>
          <w:sz w:val="18"/>
          <w:szCs w:val="18"/>
          <w:b w:val="1"/>
          <w:bCs w:val="1"/>
          <w:color w:val="auto"/>
        </w:rPr>
        <w:t>.</w:t>
      </w:r>
    </w:p>
    <w:p>
      <w:pPr>
        <w:spacing w:after="0" w:line="11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i w:val="1"/>
          <w:iCs w:val="1"/>
          <w:color w:val="auto"/>
        </w:rPr>
        <w:t>Events Requiring an Adjustment to the Exchange Rate</w:t>
      </w:r>
      <w:r>
        <w:rPr>
          <w:rFonts w:ascii="Times New Roman" w:cs="Times New Roman" w:eastAsia="Times New Roman" w:hAnsi="Times New Roman"/>
          <w:sz w:val="18"/>
          <w:szCs w:val="18"/>
          <w:color w:val="auto"/>
        </w:rPr>
        <w:t>. The Exchange Rate will be adjusted from time to time as follows:</w:t>
      </w:r>
    </w:p>
    <w:p>
      <w:pPr>
        <w:spacing w:after="0" w:line="225" w:lineRule="exact"/>
        <w:rPr>
          <w:sz w:val="20"/>
          <w:szCs w:val="20"/>
          <w:color w:val="auto"/>
        </w:rPr>
      </w:pPr>
    </w:p>
    <w:p>
      <w:pPr>
        <w:ind w:left="4" w:hanging="4"/>
        <w:spacing w:after="0" w:line="261" w:lineRule="auto"/>
        <w:tabs>
          <w:tab w:leader="none" w:pos="219"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 Dividends, Splits and Combinations</w:t>
      </w:r>
      <w:r>
        <w:rPr>
          <w:rFonts w:ascii="Times New Roman" w:cs="Times New Roman" w:eastAsia="Times New Roman" w:hAnsi="Times New Roman"/>
          <w:sz w:val="18"/>
          <w:szCs w:val="18"/>
          <w:color w:val="auto"/>
        </w:rPr>
        <w:t>. If Holdings issues solely shares of Common Stock as a dividend or distribution on all or substantially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shares of the Common Stock, or if Holdings effects a stock split or a stock combination of the Common Stock (in each case excluding an issuance solely pursuant to a Common Stock Change Event, as to which </w:t>
      </w:r>
      <w:r>
        <w:rPr>
          <w:rFonts w:ascii="Times New Roman" w:cs="Times New Roman" w:eastAsia="Times New Roman" w:hAnsi="Times New Roman"/>
          <w:sz w:val="18"/>
          <w:szCs w:val="18"/>
          <w:b w:val="1"/>
          <w:bCs w:val="1"/>
          <w:color w:val="auto"/>
        </w:rPr>
        <w:t>Section 5.09</w:t>
      </w:r>
      <w:r>
        <w:rPr>
          <w:rFonts w:ascii="Times New Roman" w:cs="Times New Roman" w:eastAsia="Times New Roman" w:hAnsi="Times New Roman"/>
          <w:sz w:val="18"/>
          <w:szCs w:val="18"/>
          <w:color w:val="auto"/>
        </w:rPr>
        <w:t xml:space="preserve"> will apply), then the Exchange Rate will be adjusted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2931795</wp:posOffset>
            </wp:positionH>
            <wp:positionV relativeFrom="paragraph">
              <wp:posOffset>144145</wp:posOffset>
            </wp:positionV>
            <wp:extent cx="1131570" cy="419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131570"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444"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where:</w:t>
            </w:r>
          </w:p>
        </w:tc>
        <w:tc>
          <w:tcPr>
            <w:tcW w:w="400" w:type="dxa"/>
            <w:vAlign w:val="bottom"/>
          </w:tcPr>
          <w:p>
            <w:pPr>
              <w:spacing w:after="0"/>
              <w:rPr>
                <w:sz w:val="20"/>
                <w:szCs w:val="20"/>
                <w:color w:val="auto"/>
              </w:rPr>
            </w:pPr>
          </w:p>
        </w:tc>
        <w:tc>
          <w:tcPr>
            <w:tcW w:w="9440" w:type="dxa"/>
            <w:vAlign w:val="bottom"/>
          </w:tcPr>
          <w:p>
            <w:pPr>
              <w:spacing w:after="0"/>
              <w:rPr>
                <w:sz w:val="20"/>
                <w:szCs w:val="20"/>
                <w:color w:val="auto"/>
              </w:rPr>
            </w:pPr>
          </w:p>
        </w:tc>
      </w:tr>
      <w:tr>
        <w:trPr>
          <w:trHeight w:val="306"/>
        </w:trPr>
        <w:tc>
          <w:tcPr>
            <w:tcW w:w="6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ER</w:t>
            </w:r>
            <w:r>
              <w:rPr>
                <w:rFonts w:ascii="Times New Roman" w:cs="Times New Roman" w:eastAsia="Times New Roman" w:hAnsi="Times New Roman"/>
                <w:sz w:val="26"/>
                <w:szCs w:val="26"/>
                <w:i w:val="1"/>
                <w:iCs w:val="1"/>
                <w:color w:val="auto"/>
                <w:vertAlign w:val="subscript"/>
              </w:rPr>
              <w:t>0</w:t>
            </w:r>
          </w:p>
        </w:tc>
        <w:tc>
          <w:tcPr>
            <w:tcW w:w="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the Exchange Rate in effect immediately before the Open of Business on the Ex-Dividend Date for such dividend or distribution,</w:t>
            </w:r>
          </w:p>
        </w:tc>
      </w:tr>
      <w:tr>
        <w:trPr>
          <w:trHeight w:val="234"/>
        </w:trPr>
        <w:tc>
          <w:tcPr>
            <w:tcW w:w="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or immediately before the Open of Business on the effective date of such stock split or stock combination, as applicable;</w:t>
            </w:r>
          </w:p>
        </w:tc>
      </w:tr>
      <w:tr>
        <w:trPr>
          <w:trHeight w:val="357"/>
        </w:trPr>
        <w:tc>
          <w:tcPr>
            <w:tcW w:w="6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ER</w:t>
            </w:r>
            <w:r>
              <w:rPr>
                <w:rFonts w:ascii="Times New Roman" w:cs="Times New Roman" w:eastAsia="Times New Roman" w:hAnsi="Times New Roman"/>
                <w:sz w:val="26"/>
                <w:szCs w:val="26"/>
                <w:i w:val="1"/>
                <w:iCs w:val="1"/>
                <w:color w:val="auto"/>
                <w:vertAlign w:val="subscript"/>
              </w:rPr>
              <w:t>1</w:t>
            </w:r>
          </w:p>
        </w:tc>
        <w:tc>
          <w:tcPr>
            <w:tcW w:w="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Exchange Rate in effect immediately after the Open of Business on such Ex-Dividend Date or effective date, as applicable;</w:t>
            </w:r>
          </w:p>
        </w:tc>
      </w:tr>
      <w:tr>
        <w:trPr>
          <w:trHeight w:val="273"/>
        </w:trPr>
        <w:tc>
          <w:tcPr>
            <w:tcW w:w="620" w:type="dxa"/>
            <w:vAlign w:val="bottom"/>
          </w:tcPr>
          <w:p>
            <w:pPr>
              <w:spacing w:after="0" w:line="273" w:lineRule="exact"/>
              <w:rPr>
                <w:sz w:val="20"/>
                <w:szCs w:val="20"/>
                <w:color w:val="auto"/>
              </w:rPr>
            </w:pPr>
            <w:r>
              <w:rPr>
                <w:rFonts w:ascii="Times New Roman" w:cs="Times New Roman" w:eastAsia="Times New Roman" w:hAnsi="Times New Roman"/>
                <w:sz w:val="18"/>
                <w:szCs w:val="18"/>
                <w:i w:val="1"/>
                <w:iCs w:val="1"/>
                <w:color w:val="auto"/>
              </w:rPr>
              <w:t>OS</w:t>
            </w:r>
            <w:r>
              <w:rPr>
                <w:rFonts w:ascii="Times New Roman" w:cs="Times New Roman" w:eastAsia="Times New Roman" w:hAnsi="Times New Roman"/>
                <w:sz w:val="26"/>
                <w:szCs w:val="26"/>
                <w:i w:val="1"/>
                <w:iCs w:val="1"/>
                <w:color w:val="auto"/>
                <w:vertAlign w:val="subscript"/>
              </w:rPr>
              <w:t>0</w:t>
            </w:r>
          </w:p>
        </w:tc>
        <w:tc>
          <w:tcPr>
            <w:tcW w:w="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number of shares of Common Stock outstanding immediately before the Open of Business on such Ex-Dividend Date or</w:t>
            </w:r>
          </w:p>
        </w:tc>
      </w:tr>
      <w:tr>
        <w:trPr>
          <w:trHeight w:val="234"/>
        </w:trPr>
        <w:tc>
          <w:tcPr>
            <w:tcW w:w="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effective date, as applicable, without giving effect to such dividend, distribution, stock split or stock combination; and</w:t>
            </w:r>
          </w:p>
        </w:tc>
      </w:tr>
      <w:tr>
        <w:trPr>
          <w:trHeight w:val="306"/>
        </w:trPr>
        <w:tc>
          <w:tcPr>
            <w:tcW w:w="6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OS</w:t>
            </w:r>
            <w:r>
              <w:rPr>
                <w:rFonts w:ascii="Times New Roman" w:cs="Times New Roman" w:eastAsia="Times New Roman" w:hAnsi="Times New Roman"/>
                <w:sz w:val="26"/>
                <w:szCs w:val="26"/>
                <w:i w:val="1"/>
                <w:iCs w:val="1"/>
                <w:color w:val="auto"/>
                <w:vertAlign w:val="subscript"/>
              </w:rPr>
              <w:t>1</w:t>
            </w:r>
          </w:p>
        </w:tc>
        <w:tc>
          <w:tcPr>
            <w:tcW w:w="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number of shares of Common Stock outstanding immediately after giving effect to such dividend, distribution, stock split or</w:t>
            </w:r>
          </w:p>
        </w:tc>
      </w:tr>
      <w:tr>
        <w:trPr>
          <w:trHeight w:val="234"/>
        </w:trPr>
        <w:tc>
          <w:tcPr>
            <w:tcW w:w="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 combination.</w:t>
            </w:r>
          </w:p>
        </w:tc>
      </w:tr>
      <w:tr>
        <w:trPr>
          <w:trHeight w:val="364"/>
        </w:trPr>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40" w:type="dxa"/>
            <w:vAlign w:val="bottom"/>
          </w:tcPr>
          <w:p>
            <w:pPr>
              <w:ind w:left="3840"/>
              <w:spacing w:after="0"/>
              <w:rPr>
                <w:sz w:val="20"/>
                <w:szCs w:val="20"/>
                <w:color w:val="auto"/>
              </w:rPr>
            </w:pPr>
            <w:r>
              <w:rPr>
                <w:rFonts w:ascii="Times New Roman" w:cs="Times New Roman" w:eastAsia="Times New Roman" w:hAnsi="Times New Roman"/>
                <w:sz w:val="18"/>
                <w:szCs w:val="18"/>
                <w:color w:val="auto"/>
              </w:rPr>
              <w:t>- 48 -</w:t>
            </w:r>
          </w:p>
        </w:tc>
      </w:tr>
    </w:tbl>
    <w:p>
      <w:pPr>
        <w:sectPr>
          <w:pgSz w:w="11900" w:h="16838" w:orient="portrait"/>
          <w:cols w:equalWidth="0" w:num="1">
            <w:col w:w="11004"/>
          </w:cols>
          <w:pgMar w:left="436" w:top="266" w:right="459" w:bottom="1440" w:gutter="0" w:footer="0" w:header="0"/>
        </w:sectPr>
      </w:pPr>
    </w:p>
    <w:bookmarkStart w:id="61" w:name="page62"/>
    <w:bookmarkEnd w:id="61"/>
    <w:p>
      <w:pPr>
        <w:ind w:left="444"/>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any dividend, distribution, stock split or stock combination of the type described in this </w:t>
      </w:r>
      <w:r>
        <w:rPr>
          <w:rFonts w:ascii="Times New Roman" w:cs="Times New Roman" w:eastAsia="Times New Roman" w:hAnsi="Times New Roman"/>
          <w:sz w:val="18"/>
          <w:szCs w:val="18"/>
          <w:b w:val="1"/>
          <w:bCs w:val="1"/>
          <w:color w:val="auto"/>
        </w:rPr>
        <w:t>Section 5.05(A)(i</w:t>
      </w:r>
      <w:r>
        <w:rPr>
          <w:rFonts w:ascii="Times New Roman" w:cs="Times New Roman" w:eastAsia="Times New Roman" w:hAnsi="Times New Roman"/>
          <w:sz w:val="18"/>
          <w:szCs w:val="18"/>
          <w:color w:val="auto"/>
        </w:rPr>
        <w:t>) is declared or announced, but not so paid or made, then the Exchange Rate will be readjusted, effective as of the date the Board of Directors determines not to pay such dividend or distribution or to effect such stock split or stock combination, to the Exchange Rate that would then be in effect had such dividend, distribution, stock split or stock combination not been declared or announced.</w:t>
      </w:r>
    </w:p>
    <w:p>
      <w:pPr>
        <w:spacing w:after="0" w:line="178" w:lineRule="exact"/>
        <w:rPr>
          <w:sz w:val="20"/>
          <w:szCs w:val="20"/>
          <w:color w:val="auto"/>
        </w:rPr>
      </w:pPr>
    </w:p>
    <w:p>
      <w:pPr>
        <w:ind w:left="4" w:right="20" w:hanging="4"/>
        <w:spacing w:after="0" w:line="257" w:lineRule="auto"/>
        <w:tabs>
          <w:tab w:leader="none" w:pos="269"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Rights, Options and Warrants</w:t>
      </w:r>
      <w:r>
        <w:rPr>
          <w:rFonts w:ascii="Times New Roman" w:cs="Times New Roman" w:eastAsia="Times New Roman" w:hAnsi="Times New Roman"/>
          <w:sz w:val="18"/>
          <w:szCs w:val="18"/>
          <w:color w:val="auto"/>
        </w:rPr>
        <w:t>. If Holdings distributes, to all or substantially all holders of Common Stock, rights, options or warrants (other than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rights issued or otherwise distributed pursuant to a stockholder rights plan, as to which </w:t>
      </w:r>
      <w:r>
        <w:rPr>
          <w:rFonts w:ascii="Times New Roman" w:cs="Times New Roman" w:eastAsia="Times New Roman" w:hAnsi="Times New Roman"/>
          <w:sz w:val="18"/>
          <w:szCs w:val="18"/>
          <w:b w:val="1"/>
          <w:bCs w:val="1"/>
          <w:color w:val="auto"/>
        </w:rPr>
        <w:t>Sections 5.05(A)(iii)(1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5.05(F</w:t>
      </w:r>
      <w:r>
        <w:rPr>
          <w:rFonts w:ascii="Times New Roman" w:cs="Times New Roman" w:eastAsia="Times New Roman" w:hAnsi="Times New Roman"/>
          <w:sz w:val="18"/>
          <w:szCs w:val="18"/>
          <w:color w:val="auto"/>
        </w:rPr>
        <w:t>) will apply) entitling such holders, for a period of not more than sixty (60) calendar days after the record date of such distribution, to subscribe for or purchase shares of Common Stock at a price per share that is less than the average of the Last Reported Sale Prices per share of Common Stock for the ten (10) consecutive Trading Days ending on, and including, the Trading Day immediately before the date such distribution is announced, then the Exchange Rate will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2828925</wp:posOffset>
            </wp:positionH>
            <wp:positionV relativeFrom="paragraph">
              <wp:posOffset>145415</wp:posOffset>
            </wp:positionV>
            <wp:extent cx="1345565" cy="4114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34556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444"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where:</w:t>
            </w:r>
          </w:p>
        </w:tc>
        <w:tc>
          <w:tcPr>
            <w:tcW w:w="400" w:type="dxa"/>
            <w:vAlign w:val="bottom"/>
          </w:tcPr>
          <w:p>
            <w:pPr>
              <w:spacing w:after="0"/>
              <w:rPr>
                <w:sz w:val="20"/>
                <w:szCs w:val="20"/>
                <w:color w:val="auto"/>
              </w:rPr>
            </w:pPr>
          </w:p>
        </w:tc>
        <w:tc>
          <w:tcPr>
            <w:tcW w:w="8940" w:type="dxa"/>
            <w:vAlign w:val="bottom"/>
          </w:tcPr>
          <w:p>
            <w:pPr>
              <w:spacing w:after="0"/>
              <w:rPr>
                <w:sz w:val="20"/>
                <w:szCs w:val="20"/>
                <w:color w:val="auto"/>
              </w:rPr>
            </w:pPr>
          </w:p>
        </w:tc>
      </w:tr>
      <w:tr>
        <w:trPr>
          <w:trHeight w:val="357"/>
        </w:trPr>
        <w:tc>
          <w:tcPr>
            <w:tcW w:w="6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ER</w:t>
            </w:r>
            <w:r>
              <w:rPr>
                <w:rFonts w:ascii="Times New Roman" w:cs="Times New Roman" w:eastAsia="Times New Roman" w:hAnsi="Times New Roman"/>
                <w:sz w:val="26"/>
                <w:szCs w:val="26"/>
                <w:i w:val="1"/>
                <w:iCs w:val="1"/>
                <w:color w:val="auto"/>
                <w:vertAlign w:val="subscript"/>
              </w:rPr>
              <w:t>0</w:t>
            </w:r>
          </w:p>
        </w:tc>
        <w:tc>
          <w:tcPr>
            <w:tcW w:w="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Exchange Rate in effect immediately before the Open of Business on the Ex-Dividend Date for such distribution;</w:t>
            </w:r>
          </w:p>
        </w:tc>
      </w:tr>
      <w:tr>
        <w:trPr>
          <w:trHeight w:val="357"/>
        </w:trPr>
        <w:tc>
          <w:tcPr>
            <w:tcW w:w="6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ER</w:t>
            </w:r>
            <w:r>
              <w:rPr>
                <w:rFonts w:ascii="Times New Roman" w:cs="Times New Roman" w:eastAsia="Times New Roman" w:hAnsi="Times New Roman"/>
                <w:sz w:val="26"/>
                <w:szCs w:val="26"/>
                <w:i w:val="1"/>
                <w:iCs w:val="1"/>
                <w:color w:val="auto"/>
                <w:vertAlign w:val="subscript"/>
              </w:rPr>
              <w:t>1</w:t>
            </w:r>
          </w:p>
        </w:tc>
        <w:tc>
          <w:tcPr>
            <w:tcW w:w="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Exchange Rate in effect immediately after the Open of Business on such Ex-Dividend Date;</w:t>
            </w:r>
          </w:p>
        </w:tc>
      </w:tr>
      <w:tr>
        <w:trPr>
          <w:trHeight w:val="259"/>
        </w:trPr>
        <w:tc>
          <w:tcPr>
            <w:tcW w:w="6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OS</w:t>
            </w:r>
          </w:p>
        </w:tc>
        <w:tc>
          <w:tcPr>
            <w:tcW w:w="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9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the number of shares of Common Stock outstanding immediately before the Open of Business on such Ex-Dividend Date;</w:t>
            </w:r>
          </w:p>
        </w:tc>
      </w:tr>
    </w:tbl>
    <w:p>
      <w:pPr>
        <w:spacing w:after="0" w:line="90" w:lineRule="exact"/>
        <w:rPr>
          <w:sz w:val="20"/>
          <w:szCs w:val="20"/>
          <w:color w:val="auto"/>
        </w:rPr>
      </w:pPr>
    </w:p>
    <w:p>
      <w:pPr>
        <w:ind w:left="1184" w:hanging="739"/>
        <w:spacing w:after="0"/>
        <w:tabs>
          <w:tab w:leader="none" w:pos="1184" w:val="left"/>
        </w:tabs>
        <w:numPr>
          <w:ilvl w:val="0"/>
          <w:numId w:val="10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the total number of shares of Common Stock deliverable pursuant to such rights, options or warrants; and</w:t>
      </w:r>
    </w:p>
    <w:p>
      <w:pPr>
        <w:spacing w:after="0" w:line="117" w:lineRule="exact"/>
        <w:rPr>
          <w:sz w:val="20"/>
          <w:szCs w:val="20"/>
          <w:color w:val="auto"/>
        </w:rPr>
      </w:pPr>
    </w:p>
    <w:p>
      <w:pPr>
        <w:ind w:left="1624" w:right="260" w:hanging="1179"/>
        <w:spacing w:after="0" w:line="266" w:lineRule="auto"/>
        <w:tabs>
          <w:tab w:leader="none" w:pos="1192" w:val="left"/>
        </w:tabs>
        <w:numPr>
          <w:ilvl w:val="0"/>
          <w:numId w:val="10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 number of shares of Common Stock obtained by dividing (x) the aggregate price payable to exercise such rights, options or warrants by (y) the average of the Last Reported Sale Prices per share of Common Stock for the ten (10) consecutive Trading Days ending on, and including, the Trading Day immediately before the date such distribution is announced.</w:t>
      </w:r>
    </w:p>
    <w:p>
      <w:pPr>
        <w:spacing w:after="0" w:line="108" w:lineRule="exact"/>
        <w:rPr>
          <w:rFonts w:ascii="Times New Roman" w:cs="Times New Roman" w:eastAsia="Times New Roman" w:hAnsi="Times New Roman"/>
          <w:sz w:val="18"/>
          <w:szCs w:val="18"/>
          <w:i w:val="1"/>
          <w:iCs w:val="1"/>
          <w:color w:val="auto"/>
        </w:rPr>
      </w:pPr>
    </w:p>
    <w:p>
      <w:pPr>
        <w:ind w:left="5424" w:hanging="111"/>
        <w:spacing w:after="0"/>
        <w:tabs>
          <w:tab w:leader="none" w:pos="5424"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49 -</w:t>
      </w:r>
    </w:p>
    <w:p>
      <w:pPr>
        <w:sectPr>
          <w:pgSz w:w="11900" w:h="16838" w:orient="portrait"/>
          <w:cols w:equalWidth="0" w:num="1">
            <w:col w:w="10904"/>
          </w:cols>
          <w:pgMar w:left="436" w:top="266" w:right="559" w:bottom="1440" w:gutter="0" w:footer="0" w:header="0"/>
        </w:sectPr>
      </w:pPr>
    </w:p>
    <w:bookmarkStart w:id="62" w:name="page63"/>
    <w:bookmarkEnd w:id="62"/>
    <w:p>
      <w:pPr>
        <w:ind w:left="444"/>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extent such rights, options or warrants are not so distributed, the Exchange Rate will be readjusted to the Exchange Rate that would then be in effect had the increase to the Exchange Rate for such distribution been made on the basis of only the rights, options or warrants, if any, actually distributed. In addition, to the extent that shares of Common Stock are not delivered after the expiration of such rights, options or warrants (including as a result of such rights, options or warrants not being exercised), the Exchange Rate will be readjusted to the Exchange Rate that would then be in effect had the increase to the Exchange Rate for such distribution been made on the basis of delivery of only the number of shares of Common Stock actually delivered upon exercise of such rights, options or warrants.</w:t>
      </w:r>
    </w:p>
    <w:p>
      <w:pPr>
        <w:spacing w:after="0" w:line="75" w:lineRule="exact"/>
        <w:rPr>
          <w:sz w:val="20"/>
          <w:szCs w:val="20"/>
          <w:color w:val="auto"/>
        </w:rPr>
      </w:pPr>
    </w:p>
    <w:p>
      <w:pPr>
        <w:ind w:left="444" w:right="80"/>
        <w:spacing w:after="0" w:line="256" w:lineRule="auto"/>
        <w:rPr>
          <w:sz w:val="20"/>
          <w:szCs w:val="20"/>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b w:val="1"/>
          <w:bCs w:val="1"/>
          <w:color w:val="auto"/>
        </w:rPr>
        <w:t>Section 5.05(A)(ii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Section 5.01(C)(i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8"/>
          <w:szCs w:val="18"/>
          <w:color w:val="auto"/>
        </w:rPr>
        <w:t>), in determining whether any rights, options or warrants entitle holders of Common Stock to subscribe for or purchase shares of Common Stock at a price per share that is less than the average of the Last Reported Sale Prices per share of Common Stock for the ten (10) consecutive Trading Days ending on, and including, the Trading Day immediately before the date the distribution of such rights, options or warrants is announced, and in determining the aggregate price payable to exercise such rights, options or warrants, there will be taken into account any consideration Holdings receives for such rights, options or warrants and any amount payable on exercise thereof, with the value of such consideration, if not cash, to be determined by Holdings in good faith and in a commercially reasonable manner.</w:t>
      </w:r>
    </w:p>
    <w:p>
      <w:pPr>
        <w:spacing w:after="0" w:line="185" w:lineRule="exact"/>
        <w:rPr>
          <w:sz w:val="20"/>
          <w:szCs w:val="20"/>
          <w:color w:val="auto"/>
        </w:rPr>
      </w:pPr>
    </w:p>
    <w:p>
      <w:pPr>
        <w:ind w:left="324" w:hanging="324"/>
        <w:spacing w:after="0"/>
        <w:tabs>
          <w:tab w:leader="none" w:pos="324"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Spin-Offs and Other Distributed Property</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984" w:right="20" w:firstLine="408"/>
        <w:spacing w:after="0" w:line="267" w:lineRule="auto"/>
        <w:tabs>
          <w:tab w:leader="none" w:pos="1639"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Distributions Other than Spin-Offs</w:t>
      </w:r>
      <w:r>
        <w:rPr>
          <w:rFonts w:ascii="Times New Roman" w:cs="Times New Roman" w:eastAsia="Times New Roman" w:hAnsi="Times New Roman"/>
          <w:sz w:val="18"/>
          <w:szCs w:val="18"/>
          <w:color w:val="auto"/>
        </w:rPr>
        <w:t>. If Holdings distributes shares of its Capital Stock, evidences of its indebtedness or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or property of Holdings, or rights, options or warrants to acquire Capital Stock of Holdings or other securities, to all or substantially all holders of the Common Stock, excluding:</w:t>
      </w:r>
    </w:p>
    <w:p>
      <w:pPr>
        <w:spacing w:after="0" w:line="67" w:lineRule="exact"/>
        <w:rPr>
          <w:rFonts w:ascii="Times New Roman" w:cs="Times New Roman" w:eastAsia="Times New Roman" w:hAnsi="Times New Roman"/>
          <w:sz w:val="18"/>
          <w:szCs w:val="18"/>
          <w:color w:val="auto"/>
        </w:rPr>
      </w:pPr>
    </w:p>
    <w:p>
      <w:pPr>
        <w:ind w:left="1424" w:right="80" w:firstLine="391"/>
        <w:spacing w:after="0" w:line="282" w:lineRule="auto"/>
        <w:tabs>
          <w:tab w:leader="none" w:pos="2062" w:val="left"/>
        </w:tabs>
        <w:numPr>
          <w:ilvl w:val="2"/>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dividends, distributions, rights, options or warrants for which an adjustment to the Exchange Rate is required (or would be required without regard to </w:t>
      </w:r>
      <w:r>
        <w:rPr>
          <w:rFonts w:ascii="Times New Roman" w:cs="Times New Roman" w:eastAsia="Times New Roman" w:hAnsi="Times New Roman"/>
          <w:sz w:val="18"/>
          <w:szCs w:val="18"/>
          <w:b w:val="1"/>
          <w:bCs w:val="1"/>
          <w:color w:val="auto"/>
        </w:rPr>
        <w:t>Section 5.05(C</w:t>
      </w:r>
      <w:r>
        <w:rPr>
          <w:rFonts w:ascii="Times New Roman" w:cs="Times New Roman" w:eastAsia="Times New Roman" w:hAnsi="Times New Roman"/>
          <w:sz w:val="18"/>
          <w:szCs w:val="18"/>
          <w:color w:val="auto"/>
        </w:rPr>
        <w:t xml:space="preserve">)) pursuant to </w:t>
      </w:r>
      <w:r>
        <w:rPr>
          <w:rFonts w:ascii="Times New Roman" w:cs="Times New Roman" w:eastAsia="Times New Roman" w:hAnsi="Times New Roman"/>
          <w:sz w:val="18"/>
          <w:szCs w:val="18"/>
          <w:b w:val="1"/>
          <w:bCs w:val="1"/>
          <w:color w:val="auto"/>
        </w:rPr>
        <w:t>Section 5.05(A)(i)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5.05(A)(ii</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1424" w:right="140" w:firstLine="391"/>
        <w:spacing w:after="0" w:line="282" w:lineRule="auto"/>
        <w:tabs>
          <w:tab w:leader="none" w:pos="2062" w:val="left"/>
        </w:tabs>
        <w:numPr>
          <w:ilvl w:val="2"/>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dividends or distributions paid exclusively in cash for which an adjustment to the Exchange Rate is required (or would be required assuming the Dividend Threshold were zero and without regard to </w:t>
      </w:r>
      <w:r>
        <w:rPr>
          <w:rFonts w:ascii="Times New Roman" w:cs="Times New Roman" w:eastAsia="Times New Roman" w:hAnsi="Times New Roman"/>
          <w:sz w:val="18"/>
          <w:szCs w:val="18"/>
          <w:b w:val="1"/>
          <w:bCs w:val="1"/>
          <w:color w:val="auto"/>
        </w:rPr>
        <w:t>Section 5.05(C</w:t>
      </w:r>
      <w:r>
        <w:rPr>
          <w:rFonts w:ascii="Times New Roman" w:cs="Times New Roman" w:eastAsia="Times New Roman" w:hAnsi="Times New Roman"/>
          <w:sz w:val="18"/>
          <w:szCs w:val="18"/>
          <w:color w:val="auto"/>
        </w:rPr>
        <w:t xml:space="preserve">)) pursuant to </w:t>
      </w:r>
      <w:r>
        <w:rPr>
          <w:rFonts w:ascii="Times New Roman" w:cs="Times New Roman" w:eastAsia="Times New Roman" w:hAnsi="Times New Roman"/>
          <w:sz w:val="18"/>
          <w:szCs w:val="18"/>
          <w:b w:val="1"/>
          <w:bCs w:val="1"/>
          <w:color w:val="auto"/>
        </w:rPr>
        <w:t>Section 5.05(A)(iv</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2104" w:hanging="289"/>
        <w:spacing w:after="0"/>
        <w:tabs>
          <w:tab w:leader="none" w:pos="2104" w:val="left"/>
        </w:tabs>
        <w:numPr>
          <w:ilvl w:val="2"/>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issued or otherwise distributed pursuant to a stockholder rights plan, except to the extent provided in</w:t>
      </w:r>
    </w:p>
    <w:p>
      <w:pPr>
        <w:spacing w:after="0" w:line="27"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b w:val="1"/>
          <w:bCs w:val="1"/>
          <w:color w:val="auto"/>
        </w:rPr>
        <w:t>Section 5.05(F</w:t>
      </w:r>
      <w:r>
        <w:rPr>
          <w:rFonts w:ascii="Times New Roman" w:cs="Times New Roman" w:eastAsia="Times New Roman" w:hAnsi="Times New Roman"/>
          <w:sz w:val="18"/>
          <w:szCs w:val="18"/>
          <w:color w:val="auto"/>
        </w:rPr>
        <w:t>);</w:t>
      </w:r>
    </w:p>
    <w:p>
      <w:pPr>
        <w:spacing w:after="0" w:line="99" w:lineRule="exact"/>
        <w:rPr>
          <w:sz w:val="20"/>
          <w:szCs w:val="20"/>
          <w:color w:val="auto"/>
        </w:rPr>
      </w:pPr>
    </w:p>
    <w:p>
      <w:pPr>
        <w:ind w:left="1424" w:right="1120" w:firstLine="391"/>
        <w:spacing w:after="0" w:line="282" w:lineRule="auto"/>
        <w:tabs>
          <w:tab w:leader="none" w:pos="2062"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Spin-Offs for which an adjustment to the Exchange Rate is required (or would be required without regard to </w:t>
      </w:r>
      <w:r>
        <w:rPr>
          <w:rFonts w:ascii="Times New Roman" w:cs="Times New Roman" w:eastAsia="Times New Roman" w:hAnsi="Times New Roman"/>
          <w:sz w:val="18"/>
          <w:szCs w:val="18"/>
          <w:b w:val="1"/>
          <w:bCs w:val="1"/>
          <w:color w:val="auto"/>
        </w:rPr>
        <w:t>Section 5.05(C</w:t>
      </w:r>
      <w:r>
        <w:rPr>
          <w:rFonts w:ascii="Times New Roman" w:cs="Times New Roman" w:eastAsia="Times New Roman" w:hAnsi="Times New Roman"/>
          <w:sz w:val="18"/>
          <w:szCs w:val="18"/>
          <w:color w:val="auto"/>
        </w:rPr>
        <w:t>)) pursuant to</w:t>
      </w:r>
      <w:r>
        <w:rPr>
          <w:rFonts w:ascii="Times New Roman" w:cs="Times New Roman" w:eastAsia="Times New Roman" w:hAnsi="Times New Roman"/>
          <w:sz w:val="18"/>
          <w:szCs w:val="18"/>
          <w:b w:val="1"/>
          <w:bCs w:val="1"/>
          <w:color w:val="auto"/>
        </w:rPr>
        <w:t xml:space="preserve"> Section 5.05(A)(iii)(2</w:t>
      </w:r>
      <w:r>
        <w:rPr>
          <w:rFonts w:ascii="Times New Roman" w:cs="Times New Roman" w:eastAsia="Times New Roman" w:hAnsi="Times New Roman"/>
          <w:sz w:val="18"/>
          <w:szCs w:val="18"/>
          <w:color w:val="auto"/>
        </w:rPr>
        <w:t>);</w:t>
      </w:r>
    </w:p>
    <w:p>
      <w:pPr>
        <w:spacing w:after="0" w:line="49" w:lineRule="exact"/>
        <w:rPr>
          <w:rFonts w:ascii="Times New Roman" w:cs="Times New Roman" w:eastAsia="Times New Roman" w:hAnsi="Times New Roman"/>
          <w:sz w:val="18"/>
          <w:szCs w:val="18"/>
          <w:color w:val="auto"/>
        </w:rPr>
      </w:pPr>
    </w:p>
    <w:p>
      <w:pPr>
        <w:ind w:left="1424" w:right="60" w:firstLine="391"/>
        <w:spacing w:after="0" w:line="286" w:lineRule="auto"/>
        <w:tabs>
          <w:tab w:leader="none" w:pos="2062"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distribution solely pursuant to a tender offer or exchange offer for shares of Common Stock, as to which </w:t>
      </w:r>
      <w:r>
        <w:rPr>
          <w:rFonts w:ascii="Times New Roman" w:cs="Times New Roman" w:eastAsia="Times New Roman" w:hAnsi="Times New Roman"/>
          <w:sz w:val="18"/>
          <w:szCs w:val="18"/>
          <w:b w:val="1"/>
          <w:bCs w:val="1"/>
          <w:color w:val="auto"/>
        </w:rPr>
        <w:t>Section 5.05(A)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(v</w:t>
      </w:r>
      <w:r>
        <w:rPr>
          <w:rFonts w:ascii="Times New Roman" w:cs="Times New Roman" w:eastAsia="Times New Roman" w:hAnsi="Times New Roman"/>
          <w:sz w:val="18"/>
          <w:szCs w:val="18"/>
          <w:color w:val="auto"/>
        </w:rPr>
        <w:t>) will apply; and</w:t>
      </w:r>
    </w:p>
    <w:p>
      <w:pPr>
        <w:spacing w:after="0" w:line="91"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w:t>
      </w:r>
    </w:p>
    <w:p>
      <w:pPr>
        <w:sectPr>
          <w:pgSz w:w="11900" w:h="16838" w:orient="portrait"/>
          <w:cols w:equalWidth="0" w:num="1">
            <w:col w:w="10964"/>
          </w:cols>
          <w:pgMar w:left="436" w:top="270" w:right="499" w:bottom="1440" w:gutter="0" w:footer="0" w:header="0"/>
        </w:sectPr>
      </w:pPr>
    </w:p>
    <w:bookmarkStart w:id="63" w:name="page64"/>
    <w:bookmarkEnd w:id="63"/>
    <w:p>
      <w:pPr>
        <w:ind w:right="1640" w:firstLine="1371"/>
        <w:spacing w:after="0" w:line="412" w:lineRule="auto"/>
        <w:tabs>
          <w:tab w:leader="none" w:pos="16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 distribution solely pursuant to a Common Stock Change Event, as to which </w:t>
      </w:r>
      <w:r>
        <w:rPr>
          <w:rFonts w:ascii="Times New Roman" w:cs="Times New Roman" w:eastAsia="Times New Roman" w:hAnsi="Times New Roman"/>
          <w:sz w:val="18"/>
          <w:szCs w:val="18"/>
          <w:b w:val="1"/>
          <w:bCs w:val="1"/>
          <w:color w:val="auto"/>
        </w:rPr>
        <w:t>Section 5.09</w:t>
      </w:r>
      <w:r>
        <w:rPr>
          <w:rFonts w:ascii="Times New Roman" w:cs="Times New Roman" w:eastAsia="Times New Roman" w:hAnsi="Times New Roman"/>
          <w:sz w:val="18"/>
          <w:szCs w:val="18"/>
          <w:color w:val="auto"/>
        </w:rPr>
        <w:t xml:space="preserve"> will apply, then the Exchange Rate will be increased based on the following formula: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where:</w:t>
            </w:r>
          </w:p>
        </w:tc>
        <w:tc>
          <w:tcPr>
            <w:tcW w:w="400" w:type="dxa"/>
            <w:vAlign w:val="bottom"/>
          </w:tcPr>
          <w:p>
            <w:pPr>
              <w:spacing w:after="0"/>
              <w:rPr>
                <w:sz w:val="20"/>
                <w:szCs w:val="20"/>
                <w:color w:val="auto"/>
              </w:rPr>
            </w:pPr>
          </w:p>
        </w:tc>
        <w:tc>
          <w:tcPr>
            <w:tcW w:w="9540" w:type="dxa"/>
            <w:vAlign w:val="bottom"/>
          </w:tcPr>
          <w:p>
            <w:pPr>
              <w:spacing w:after="0"/>
              <w:rPr>
                <w:sz w:val="20"/>
                <w:szCs w:val="20"/>
                <w:color w:val="auto"/>
              </w:rPr>
            </w:pPr>
          </w:p>
        </w:tc>
      </w:tr>
      <w:tr>
        <w:trPr>
          <w:trHeight w:val="357"/>
        </w:trPr>
        <w:tc>
          <w:tcPr>
            <w:tcW w:w="6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ER</w:t>
            </w:r>
            <w:r>
              <w:rPr>
                <w:rFonts w:ascii="Times New Roman" w:cs="Times New Roman" w:eastAsia="Times New Roman" w:hAnsi="Times New Roman"/>
                <w:sz w:val="26"/>
                <w:szCs w:val="26"/>
                <w:i w:val="1"/>
                <w:iCs w:val="1"/>
                <w:color w:val="auto"/>
                <w:vertAlign w:val="subscript"/>
              </w:rPr>
              <w:t>0</w:t>
            </w:r>
          </w:p>
        </w:tc>
        <w:tc>
          <w:tcPr>
            <w:tcW w:w="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Exchange Rate in effect immediately before the Open of Business on the Ex-Dividend Date for such distribution;</w:t>
            </w:r>
          </w:p>
        </w:tc>
      </w:tr>
      <w:tr>
        <w:trPr>
          <w:trHeight w:val="357"/>
        </w:trPr>
        <w:tc>
          <w:tcPr>
            <w:tcW w:w="6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ER</w:t>
            </w:r>
            <w:r>
              <w:rPr>
                <w:rFonts w:ascii="Times New Roman" w:cs="Times New Roman" w:eastAsia="Times New Roman" w:hAnsi="Times New Roman"/>
                <w:sz w:val="26"/>
                <w:szCs w:val="26"/>
                <w:i w:val="1"/>
                <w:iCs w:val="1"/>
                <w:color w:val="auto"/>
                <w:vertAlign w:val="subscript"/>
              </w:rPr>
              <w:t>1</w:t>
            </w:r>
          </w:p>
        </w:tc>
        <w:tc>
          <w:tcPr>
            <w:tcW w:w="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Exchange Rate in effect immediately after the Open of Business on such Ex-Dividend Date;</w:t>
            </w:r>
          </w:p>
        </w:tc>
      </w:tr>
      <w:tr>
        <w:trPr>
          <w:trHeight w:val="240"/>
        </w:trPr>
        <w:tc>
          <w:tcPr>
            <w:tcW w:w="6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SP</w:t>
            </w:r>
          </w:p>
        </w:tc>
        <w:tc>
          <w:tcPr>
            <w:tcW w:w="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average of the Last Reported Sale Prices per share of Common Stock for the ten (10) consecutive Trading Days ending on,</w:t>
            </w:r>
          </w:p>
        </w:tc>
      </w:tr>
      <w:tr>
        <w:trPr>
          <w:trHeight w:val="234"/>
        </w:trPr>
        <w:tc>
          <w:tcPr>
            <w:tcW w:w="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and including, the Trading Day immediately before such Ex-Dividend Date; and</w:t>
            </w:r>
          </w:p>
        </w:tc>
      </w:tr>
      <w:tr>
        <w:trPr>
          <w:trHeight w:val="306"/>
        </w:trPr>
        <w:tc>
          <w:tcPr>
            <w:tcW w:w="6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FMV</w:t>
            </w:r>
          </w:p>
        </w:tc>
        <w:tc>
          <w:tcPr>
            <w:tcW w:w="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5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the fair market value (as determined by Holdings in good faith and in a commercially reasonable manner), as of such Ex-Dividend</w:t>
            </w:r>
          </w:p>
        </w:tc>
      </w:tr>
      <w:tr>
        <w:trPr>
          <w:trHeight w:val="216"/>
        </w:trPr>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Date, of the shares of Capital Stock, evidences of indebtedness, assets, property, rights, options or warrants distributed per share</w:t>
            </w:r>
          </w:p>
        </w:tc>
      </w:tr>
      <w:tr>
        <w:trPr>
          <w:trHeight w:val="234"/>
        </w:trPr>
        <w:tc>
          <w:tcPr>
            <w:tcW w:w="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of Common Stock pursuant to such distribution;</w:t>
            </w:r>
          </w:p>
        </w:tc>
      </w:tr>
    </w:tbl>
    <w:p>
      <w:pPr>
        <w:spacing w:after="0" w:line="8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if</w:t>
      </w:r>
      <w:r>
        <w:rPr>
          <w:rFonts w:ascii="Times New Roman" w:cs="Times New Roman" w:eastAsia="Times New Roman" w:hAnsi="Times New Roman"/>
          <w:sz w:val="18"/>
          <w:szCs w:val="18"/>
          <w:i w:val="1"/>
          <w:iCs w:val="1"/>
          <w:color w:val="auto"/>
        </w:rPr>
        <w:t xml:space="preserve"> FMV </w:t>
      </w:r>
      <w:r>
        <w:rPr>
          <w:rFonts w:ascii="Times New Roman" w:cs="Times New Roman" w:eastAsia="Times New Roman" w:hAnsi="Times New Roman"/>
          <w:sz w:val="18"/>
          <w:szCs w:val="18"/>
          <w:color w:val="auto"/>
        </w:rPr>
        <w:t>is equal to or greater than</w:t>
      </w:r>
      <w:r>
        <w:rPr>
          <w:rFonts w:ascii="Times New Roman" w:cs="Times New Roman" w:eastAsia="Times New Roman" w:hAnsi="Times New Roman"/>
          <w:sz w:val="18"/>
          <w:szCs w:val="18"/>
          <w:i w:val="1"/>
          <w:iCs w:val="1"/>
          <w:color w:val="auto"/>
        </w:rPr>
        <w:t xml:space="preserve"> SP</w:t>
      </w:r>
      <w:r>
        <w:rPr>
          <w:rFonts w:ascii="Times New Roman" w:cs="Times New Roman" w:eastAsia="Times New Roman" w:hAnsi="Times New Roman"/>
          <w:sz w:val="18"/>
          <w:szCs w:val="18"/>
          <w:color w:val="auto"/>
        </w:rPr>
        <w:t>, then, in lieu of the foregoing adjustment to the Exchange Rate, each Holder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 for each $1,000 principal amount of Notes held by such Holder on the record date for such distribution, at the same time and on the same terms as holders of Common Stock and without having to Exchange such Notes, the amount and kind of shares of Capital Stock, evidences of indebtedness, assets, property, rights, options or warrants that such Holder would have received in such distribution if such Holder had owned, on such record date, a number of shares of Common Stock equal to the Exchange Rate in effect on such record date.</w:t>
      </w:r>
    </w:p>
    <w:p>
      <w:pPr>
        <w:spacing w:after="0" w:line="7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To the extent such distribution is not so paid or made, the Exchange Rate will be readjusted to the Exchange Rate that would then be in effect had the adjustment been made on the basis of only the distribution, if any, actually made or paid.</w:t>
      </w:r>
    </w:p>
    <w:p>
      <w:pPr>
        <w:spacing w:after="0" w:line="9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- 51 -</w:t>
      </w:r>
    </w:p>
    <w:p>
      <w:pPr>
        <w:sectPr>
          <w:pgSz w:w="11900" w:h="16838" w:orient="portrait"/>
          <w:cols w:equalWidth="0" w:num="1">
            <w:col w:w="10560"/>
          </w:cols>
          <w:pgMar w:left="880" w:top="266" w:right="459" w:bottom="1440" w:gutter="0" w:footer="0" w:header="0"/>
        </w:sectPr>
      </w:pPr>
    </w:p>
    <w:bookmarkStart w:id="64" w:name="page65"/>
    <w:bookmarkEnd w:id="64"/>
    <w:p>
      <w:pPr>
        <w:jc w:val="both"/>
        <w:ind w:left="4" w:right="120" w:firstLine="419"/>
        <w:spacing w:after="0" w:line="277" w:lineRule="auto"/>
        <w:tabs>
          <w:tab w:leader="none" w:pos="681" w:val="left"/>
        </w:tabs>
        <w:numPr>
          <w:ilvl w:val="1"/>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Spin-Offs</w:t>
      </w:r>
      <w:r>
        <w:rPr>
          <w:rFonts w:ascii="Times New Roman" w:cs="Times New Roman" w:eastAsia="Times New Roman" w:hAnsi="Times New Roman"/>
          <w:sz w:val="17"/>
          <w:szCs w:val="17"/>
          <w:color w:val="auto"/>
        </w:rPr>
        <w:t>. If Holdings distributes or dividends shares of Capital Stock of any class or series, or similar equity interests, of or relating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 Affiliate, a Subsidiary or other business unit of Holdings to all or substantially all holders of the Common Stock (other than solely pursuant to</w:t>
      </w:r>
    </w:p>
    <w:p>
      <w:pPr>
        <w:spacing w:after="0" w:line="1" w:lineRule="exact"/>
        <w:rPr>
          <w:rFonts w:ascii="Times New Roman" w:cs="Times New Roman" w:eastAsia="Times New Roman" w:hAnsi="Times New Roman"/>
          <w:sz w:val="17"/>
          <w:szCs w:val="17"/>
          <w:color w:val="auto"/>
        </w:rPr>
      </w:pPr>
    </w:p>
    <w:p>
      <w:pPr>
        <w:ind w:left="4" w:hanging="4"/>
        <w:spacing w:after="0" w:line="253" w:lineRule="auto"/>
        <w:tabs>
          <w:tab w:leader="none" w:pos="258"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Common Stock Change Event, as to which </w:t>
      </w:r>
      <w:r>
        <w:rPr>
          <w:rFonts w:ascii="Times New Roman" w:cs="Times New Roman" w:eastAsia="Times New Roman" w:hAnsi="Times New Roman"/>
          <w:sz w:val="18"/>
          <w:szCs w:val="18"/>
          <w:b w:val="1"/>
          <w:bCs w:val="1"/>
          <w:color w:val="auto"/>
        </w:rPr>
        <w:t>Section 5.09</w:t>
      </w:r>
      <w:r>
        <w:rPr>
          <w:rFonts w:ascii="Times New Roman" w:cs="Times New Roman" w:eastAsia="Times New Roman" w:hAnsi="Times New Roman"/>
          <w:sz w:val="18"/>
          <w:szCs w:val="18"/>
          <w:color w:val="auto"/>
        </w:rPr>
        <w:t xml:space="preserve"> will apply; or (y) a tender offer or exchange offer for shares of Common Stock, as to which </w:t>
      </w:r>
      <w:r>
        <w:rPr>
          <w:rFonts w:ascii="Times New Roman" w:cs="Times New Roman" w:eastAsia="Times New Roman" w:hAnsi="Times New Roman"/>
          <w:sz w:val="18"/>
          <w:szCs w:val="18"/>
          <w:b w:val="1"/>
          <w:bCs w:val="1"/>
          <w:color w:val="auto"/>
        </w:rPr>
        <w:t>Section 5.05(A)(v</w:t>
      </w:r>
      <w:r>
        <w:rPr>
          <w:rFonts w:ascii="Times New Roman" w:cs="Times New Roman" w:eastAsia="Times New Roman" w:hAnsi="Times New Roman"/>
          <w:sz w:val="18"/>
          <w:szCs w:val="18"/>
          <w:color w:val="auto"/>
        </w:rPr>
        <w:t>) will apply), and such Capital Stock or equity interests are listed or quoted (or will be listed or quoted upon the consummation of the transaction) on a U.S. national securities exchange (a “</w:t>
      </w:r>
      <w:r>
        <w:rPr>
          <w:rFonts w:ascii="Times New Roman" w:cs="Times New Roman" w:eastAsia="Times New Roman" w:hAnsi="Times New Roman"/>
          <w:sz w:val="18"/>
          <w:szCs w:val="18"/>
          <w:b w:val="1"/>
          <w:bCs w:val="1"/>
          <w:color w:val="auto"/>
        </w:rPr>
        <w:t>Spin-Off</w:t>
      </w:r>
      <w:r>
        <w:rPr>
          <w:rFonts w:ascii="Times New Roman" w:cs="Times New Roman" w:eastAsia="Times New Roman" w:hAnsi="Times New Roman"/>
          <w:sz w:val="18"/>
          <w:szCs w:val="18"/>
          <w:color w:val="auto"/>
        </w:rPr>
        <w:t>”), then the Exchange Rate will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2429510</wp:posOffset>
            </wp:positionH>
            <wp:positionV relativeFrom="paragraph">
              <wp:posOffset>148590</wp:posOffset>
            </wp:positionV>
            <wp:extent cx="1577340" cy="3943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57734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where:</w:t>
            </w:r>
          </w:p>
        </w:tc>
        <w:tc>
          <w:tcPr>
            <w:tcW w:w="400" w:type="dxa"/>
            <w:vAlign w:val="bottom"/>
          </w:tcPr>
          <w:p>
            <w:pPr>
              <w:spacing w:after="0"/>
              <w:rPr>
                <w:sz w:val="20"/>
                <w:szCs w:val="20"/>
                <w:color w:val="auto"/>
              </w:rPr>
            </w:pPr>
          </w:p>
        </w:tc>
        <w:tc>
          <w:tcPr>
            <w:tcW w:w="9500" w:type="dxa"/>
            <w:vAlign w:val="bottom"/>
          </w:tcPr>
          <w:p>
            <w:pPr>
              <w:spacing w:after="0"/>
              <w:rPr>
                <w:sz w:val="20"/>
                <w:szCs w:val="20"/>
                <w:color w:val="auto"/>
              </w:rPr>
            </w:pPr>
          </w:p>
        </w:tc>
      </w:tr>
      <w:tr>
        <w:trPr>
          <w:trHeight w:val="306"/>
        </w:trPr>
        <w:tc>
          <w:tcPr>
            <w:tcW w:w="6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ER</w:t>
            </w:r>
            <w:r>
              <w:rPr>
                <w:rFonts w:ascii="Times New Roman" w:cs="Times New Roman" w:eastAsia="Times New Roman" w:hAnsi="Times New Roman"/>
                <w:sz w:val="26"/>
                <w:szCs w:val="26"/>
                <w:i w:val="1"/>
                <w:iCs w:val="1"/>
                <w:color w:val="auto"/>
                <w:vertAlign w:val="subscript"/>
              </w:rPr>
              <w:t>0</w:t>
            </w:r>
          </w:p>
        </w:tc>
        <w:tc>
          <w:tcPr>
            <w:tcW w:w="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Exchange Rate in effect immediately before the Close of Business on the last Trading Day of the Spin-Off Valuation Period</w:t>
            </w:r>
          </w:p>
        </w:tc>
      </w:tr>
      <w:tr>
        <w:trPr>
          <w:trHeight w:val="234"/>
        </w:trPr>
        <w:tc>
          <w:tcPr>
            <w:tcW w:w="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 such Spin-Off;</w:t>
            </w:r>
          </w:p>
        </w:tc>
      </w:tr>
      <w:tr>
        <w:trPr>
          <w:trHeight w:val="357"/>
        </w:trPr>
        <w:tc>
          <w:tcPr>
            <w:tcW w:w="6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ER</w:t>
            </w:r>
            <w:r>
              <w:rPr>
                <w:rFonts w:ascii="Times New Roman" w:cs="Times New Roman" w:eastAsia="Times New Roman" w:hAnsi="Times New Roman"/>
                <w:sz w:val="26"/>
                <w:szCs w:val="26"/>
                <w:i w:val="1"/>
                <w:iCs w:val="1"/>
                <w:color w:val="auto"/>
                <w:vertAlign w:val="subscript"/>
              </w:rPr>
              <w:t>1</w:t>
            </w:r>
          </w:p>
        </w:tc>
        <w:tc>
          <w:tcPr>
            <w:tcW w:w="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Exchange Rate in effect immediately after the Close of Business on the last Trading Day of the Spin-Off Valuation Period;</w:t>
            </w:r>
          </w:p>
        </w:tc>
      </w:tr>
      <w:tr>
        <w:trPr>
          <w:trHeight w:val="269"/>
        </w:trPr>
        <w:tc>
          <w:tcPr>
            <w:tcW w:w="6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FMV</w:t>
            </w:r>
          </w:p>
        </w:tc>
        <w:tc>
          <w:tcPr>
            <w:tcW w:w="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50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the product of (x) the average of the Last Reported Sale Prices per share or unit of the Capital Stock or equity interests distributed</w:t>
            </w:r>
          </w:p>
        </w:tc>
      </w:tr>
      <w:tr>
        <w:trPr>
          <w:trHeight w:val="220"/>
        </w:trPr>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 such Spin-Off over the ten (10) consecutive Trading Day period (the “</w:t>
            </w:r>
            <w:r>
              <w:rPr>
                <w:rFonts w:ascii="Times New Roman" w:cs="Times New Roman" w:eastAsia="Times New Roman" w:hAnsi="Times New Roman"/>
                <w:sz w:val="18"/>
                <w:szCs w:val="18"/>
                <w:b w:val="1"/>
                <w:bCs w:val="1"/>
                <w:color w:val="auto"/>
              </w:rPr>
              <w:t>Spin-Off Valuation Period</w:t>
            </w:r>
            <w:r>
              <w:rPr>
                <w:rFonts w:ascii="Times New Roman" w:cs="Times New Roman" w:eastAsia="Times New Roman" w:hAnsi="Times New Roman"/>
                <w:sz w:val="18"/>
                <w:szCs w:val="18"/>
                <w:color w:val="auto"/>
              </w:rPr>
              <w:t>”) beginning on, and</w:t>
            </w:r>
          </w:p>
        </w:tc>
      </w:tr>
      <w:tr>
        <w:trPr>
          <w:trHeight w:val="216"/>
        </w:trPr>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including, the Ex-Dividend Date for such Spin-Off (such average to be determined as if references to Common Stock in the</w:t>
            </w:r>
          </w:p>
        </w:tc>
      </w:tr>
      <w:tr>
        <w:trPr>
          <w:trHeight w:val="216"/>
        </w:trPr>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definitions of Last Reported Sale Price, Trading Day and Market Disruption Event were instead references to such Capital Stock</w:t>
            </w:r>
          </w:p>
        </w:tc>
      </w:tr>
      <w:tr>
        <w:trPr>
          <w:trHeight w:val="216"/>
        </w:trPr>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or equity interests); and (y) the number of shares or units of such Capital Stock or equity interests distributed per share of</w:t>
            </w:r>
          </w:p>
        </w:tc>
      </w:tr>
      <w:tr>
        <w:trPr>
          <w:trHeight w:val="234"/>
        </w:trPr>
        <w:tc>
          <w:tcPr>
            <w:tcW w:w="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Common Stock in such Spin-Off; and</w:t>
            </w:r>
          </w:p>
        </w:tc>
      </w:tr>
      <w:tr>
        <w:trPr>
          <w:trHeight w:val="324"/>
        </w:trPr>
        <w:tc>
          <w:tcPr>
            <w:tcW w:w="6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SP</w:t>
            </w:r>
          </w:p>
        </w:tc>
        <w:tc>
          <w:tcPr>
            <w:tcW w:w="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average of the Last Reported Sale Prices per share of Common Stock for each Trading Day in the Spin-Off Valuation Period.</w:t>
            </w:r>
          </w:p>
        </w:tc>
      </w:tr>
    </w:tbl>
    <w:p>
      <w:pPr>
        <w:spacing w:after="0" w:line="86" w:lineRule="exact"/>
        <w:rPr>
          <w:sz w:val="20"/>
          <w:szCs w:val="20"/>
          <w:color w:val="auto"/>
        </w:rPr>
      </w:pPr>
    </w:p>
    <w:p>
      <w:pPr>
        <w:jc w:val="both"/>
        <w:ind w:left="4" w:right="240"/>
        <w:spacing w:after="0" w:line="262" w:lineRule="auto"/>
        <w:rPr>
          <w:sz w:val="20"/>
          <w:szCs w:val="20"/>
          <w:color w:val="auto"/>
        </w:rPr>
      </w:pPr>
      <w:r>
        <w:rPr>
          <w:rFonts w:ascii="Times New Roman" w:cs="Times New Roman" w:eastAsia="Times New Roman" w:hAnsi="Times New Roman"/>
          <w:sz w:val="18"/>
          <w:szCs w:val="18"/>
          <w:color w:val="auto"/>
        </w:rPr>
        <w:t xml:space="preserve">Notwithstanding anything to the contrary in this </w:t>
      </w:r>
      <w:r>
        <w:rPr>
          <w:rFonts w:ascii="Times New Roman" w:cs="Times New Roman" w:eastAsia="Times New Roman" w:hAnsi="Times New Roman"/>
          <w:sz w:val="18"/>
          <w:szCs w:val="18"/>
          <w:b w:val="1"/>
          <w:bCs w:val="1"/>
          <w:color w:val="auto"/>
        </w:rPr>
        <w:t>Section 5.05(A)(iii)(2</w:t>
      </w:r>
      <w:r>
        <w:rPr>
          <w:rFonts w:ascii="Times New Roman" w:cs="Times New Roman" w:eastAsia="Times New Roman" w:hAnsi="Times New Roman"/>
          <w:sz w:val="18"/>
          <w:szCs w:val="18"/>
          <w:color w:val="auto"/>
        </w:rPr>
        <w:t>), if any VWAP Trading Day of the Observation Period for a Note to be Exchanged occurs during the Spin-Off Valuation Period for such Spin-Off, then, solely for purposes of determining the Exchange Rate for such VWAP Trading Day for such Exchange, such Spin-Off Valuation Period will be deemed to consist of the Trading Days occurring in the period from, and including, the Ex-Dividend Date for such Spin-Off to, and including, such VWAP Trading Day.</w:t>
      </w:r>
    </w:p>
    <w:p>
      <w:pPr>
        <w:spacing w:after="0" w:line="68" w:lineRule="exact"/>
        <w:rPr>
          <w:sz w:val="20"/>
          <w:szCs w:val="20"/>
          <w:color w:val="auto"/>
        </w:rPr>
      </w:pPr>
    </w:p>
    <w:p>
      <w:pPr>
        <w:ind w:left="4" w:right="140"/>
        <w:spacing w:after="0" w:line="268" w:lineRule="auto"/>
        <w:rPr>
          <w:sz w:val="20"/>
          <w:szCs w:val="20"/>
          <w:color w:val="auto"/>
        </w:rPr>
      </w:pPr>
      <w:r>
        <w:rPr>
          <w:rFonts w:ascii="Times New Roman" w:cs="Times New Roman" w:eastAsia="Times New Roman" w:hAnsi="Times New Roman"/>
          <w:sz w:val="18"/>
          <w:szCs w:val="18"/>
          <w:color w:val="auto"/>
        </w:rPr>
        <w:t xml:space="preserve">To the extent any dividend or distribution of the type set forth in this </w:t>
      </w:r>
      <w:r>
        <w:rPr>
          <w:rFonts w:ascii="Times New Roman" w:cs="Times New Roman" w:eastAsia="Times New Roman" w:hAnsi="Times New Roman"/>
          <w:sz w:val="18"/>
          <w:szCs w:val="18"/>
          <w:b w:val="1"/>
          <w:bCs w:val="1"/>
          <w:color w:val="auto"/>
        </w:rPr>
        <w:t>Section 5.05(A)(iii)(2</w:t>
      </w:r>
      <w:r>
        <w:rPr>
          <w:rFonts w:ascii="Times New Roman" w:cs="Times New Roman" w:eastAsia="Times New Roman" w:hAnsi="Times New Roman"/>
          <w:sz w:val="18"/>
          <w:szCs w:val="18"/>
          <w:color w:val="auto"/>
        </w:rPr>
        <w:t>) is declared but not made or paid, the Exchange Rate will be readjusted to the Exchange Rate that would then be in effect had the adjustment been made on the basis of only the dividend or distribution, if any, actually made or paid.</w:t>
      </w:r>
    </w:p>
    <w:p>
      <w:pPr>
        <w:spacing w:after="0" w:line="107"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- 52 -</w:t>
      </w:r>
    </w:p>
    <w:p>
      <w:pPr>
        <w:sectPr>
          <w:pgSz w:w="11900" w:h="16838" w:orient="portrait"/>
          <w:cols w:equalWidth="0" w:num="1">
            <w:col w:w="10564"/>
          </w:cols>
          <w:pgMar w:left="876" w:top="268" w:right="459" w:bottom="1440" w:gutter="0" w:footer="0" w:header="0"/>
        </w:sectPr>
      </w:pPr>
    </w:p>
    <w:bookmarkStart w:id="65" w:name="page66"/>
    <w:bookmarkEnd w:id="65"/>
    <w:p>
      <w:pPr>
        <w:ind w:left="4" w:right="320" w:hanging="4"/>
        <w:spacing w:after="0" w:line="267" w:lineRule="auto"/>
        <w:tabs>
          <w:tab w:leader="none" w:pos="309"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Cash Dividends or Distributions</w:t>
      </w:r>
      <w:r>
        <w:rPr>
          <w:rFonts w:ascii="Times New Roman" w:cs="Times New Roman" w:eastAsia="Times New Roman" w:hAnsi="Times New Roman"/>
          <w:sz w:val="18"/>
          <w:szCs w:val="18"/>
          <w:color w:val="auto"/>
        </w:rPr>
        <w:t>. If any cash dividend or distribution is made to all or substantially all holders of Common Stock (other than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regular quarterly cash dividend that does not exceed the Dividend Threshold per share of Common Stock), then the Exchange Rate will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2837180</wp:posOffset>
            </wp:positionH>
            <wp:positionV relativeFrom="paragraph">
              <wp:posOffset>140335</wp:posOffset>
            </wp:positionV>
            <wp:extent cx="1328420" cy="4368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328420"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444"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where:</w:t>
            </w:r>
          </w:p>
        </w:tc>
        <w:tc>
          <w:tcPr>
            <w:tcW w:w="400" w:type="dxa"/>
            <w:vAlign w:val="bottom"/>
          </w:tcPr>
          <w:p>
            <w:pPr>
              <w:spacing w:after="0"/>
              <w:rPr>
                <w:sz w:val="20"/>
                <w:szCs w:val="20"/>
                <w:color w:val="auto"/>
              </w:rPr>
            </w:pPr>
          </w:p>
        </w:tc>
        <w:tc>
          <w:tcPr>
            <w:tcW w:w="9440" w:type="dxa"/>
            <w:vAlign w:val="bottom"/>
          </w:tcPr>
          <w:p>
            <w:pPr>
              <w:spacing w:after="0"/>
              <w:rPr>
                <w:sz w:val="20"/>
                <w:szCs w:val="20"/>
                <w:color w:val="auto"/>
              </w:rPr>
            </w:pPr>
          </w:p>
        </w:tc>
      </w:tr>
      <w:tr>
        <w:trPr>
          <w:trHeight w:val="357"/>
        </w:trPr>
        <w:tc>
          <w:tcPr>
            <w:tcW w:w="6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ER</w:t>
            </w:r>
            <w:r>
              <w:rPr>
                <w:rFonts w:ascii="Times New Roman" w:cs="Times New Roman" w:eastAsia="Times New Roman" w:hAnsi="Times New Roman"/>
                <w:sz w:val="26"/>
                <w:szCs w:val="26"/>
                <w:i w:val="1"/>
                <w:iCs w:val="1"/>
                <w:color w:val="auto"/>
                <w:vertAlign w:val="subscript"/>
              </w:rPr>
              <w:t>0</w:t>
            </w:r>
          </w:p>
        </w:tc>
        <w:tc>
          <w:tcPr>
            <w:tcW w:w="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the Exchange Rate in effect immediately before the Open of Business on the Ex-Dividend Date for such dividend or distribution;</w:t>
            </w:r>
          </w:p>
        </w:tc>
      </w:tr>
      <w:tr>
        <w:trPr>
          <w:trHeight w:val="357"/>
        </w:trPr>
        <w:tc>
          <w:tcPr>
            <w:tcW w:w="6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ER</w:t>
            </w:r>
            <w:r>
              <w:rPr>
                <w:rFonts w:ascii="Times New Roman" w:cs="Times New Roman" w:eastAsia="Times New Roman" w:hAnsi="Times New Roman"/>
                <w:sz w:val="26"/>
                <w:szCs w:val="26"/>
                <w:i w:val="1"/>
                <w:iCs w:val="1"/>
                <w:color w:val="auto"/>
                <w:vertAlign w:val="subscript"/>
              </w:rPr>
              <w:t>1</w:t>
            </w:r>
          </w:p>
        </w:tc>
        <w:tc>
          <w:tcPr>
            <w:tcW w:w="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Exchange Rate in effect immediately after the Open of Business on such Ex-Dividend Date;</w:t>
            </w:r>
          </w:p>
        </w:tc>
      </w:tr>
      <w:tr>
        <w:trPr>
          <w:trHeight w:val="259"/>
        </w:trPr>
        <w:tc>
          <w:tcPr>
            <w:tcW w:w="6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SP</w:t>
            </w:r>
          </w:p>
        </w:tc>
        <w:tc>
          <w:tcPr>
            <w:tcW w:w="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Last Reported Sale Price per share of Common Stock on the Trading Day immediately before such Ex-Dividend Date;</w:t>
            </w:r>
          </w:p>
        </w:tc>
      </w:tr>
    </w:tbl>
    <w:p>
      <w:pPr>
        <w:spacing w:after="0" w:line="86" w:lineRule="exact"/>
        <w:rPr>
          <w:sz w:val="20"/>
          <w:szCs w:val="20"/>
          <w:color w:val="auto"/>
        </w:rPr>
      </w:pPr>
    </w:p>
    <w:p>
      <w:pPr>
        <w:ind w:left="1624" w:hanging="1179"/>
        <w:spacing w:after="0" w:line="259" w:lineRule="auto"/>
        <w:tabs>
          <w:tab w:leader="none" w:pos="1192" w:val="left"/>
        </w:tabs>
        <w:numPr>
          <w:ilvl w:val="0"/>
          <w:numId w:val="1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=an amount (subject to the proviso below, the “</w:t>
      </w:r>
      <w:r>
        <w:rPr>
          <w:rFonts w:ascii="Times New Roman" w:cs="Times New Roman" w:eastAsia="Times New Roman" w:hAnsi="Times New Roman"/>
          <w:sz w:val="18"/>
          <w:szCs w:val="18"/>
          <w:b w:val="1"/>
          <w:bCs w:val="1"/>
          <w:color w:val="auto"/>
        </w:rPr>
        <w:t>Dividend Threshold</w:t>
      </w:r>
      <w:r>
        <w:rPr>
          <w:rFonts w:ascii="Times New Roman" w:cs="Times New Roman" w:eastAsia="Times New Roman" w:hAnsi="Times New Roman"/>
          <w:sz w:val="18"/>
          <w:szCs w:val="18"/>
          <w:color w:val="auto"/>
        </w:rPr>
        <w:t xml:space="preserve">”) initially equal to $0.42 per share of Common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(x) if such dividend or distribution is not a regular quarterly cash dividend on the Common Stock, then 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will be deemed to be zero dollars ($0.00) per share of Common Stock with respect to such dividend or distribution; and (y) the Dividend Threshold will be adjusted in the same manner as, and at the same time and for the same events for which, the Exchange Price is adjusted as a result of the operation of </w:t>
      </w:r>
      <w:r>
        <w:rPr>
          <w:rFonts w:ascii="Times New Roman" w:cs="Times New Roman" w:eastAsia="Times New Roman" w:hAnsi="Times New Roman"/>
          <w:sz w:val="18"/>
          <w:szCs w:val="18"/>
          <w:b w:val="1"/>
          <w:bCs w:val="1"/>
          <w:color w:val="auto"/>
        </w:rPr>
        <w:t>Section 5.05(A</w:t>
      </w:r>
      <w:r>
        <w:rPr>
          <w:rFonts w:ascii="Times New Roman" w:cs="Times New Roman" w:eastAsia="Times New Roman" w:hAnsi="Times New Roman"/>
          <w:sz w:val="18"/>
          <w:szCs w:val="18"/>
          <w:color w:val="auto"/>
        </w:rPr>
        <w:t xml:space="preserve">) (other than this </w:t>
      </w:r>
      <w:r>
        <w:rPr>
          <w:rFonts w:ascii="Times New Roman" w:cs="Times New Roman" w:eastAsia="Times New Roman" w:hAnsi="Times New Roman"/>
          <w:sz w:val="18"/>
          <w:szCs w:val="18"/>
          <w:b w:val="1"/>
          <w:bCs w:val="1"/>
          <w:color w:val="auto"/>
        </w:rPr>
        <w:t>Section 5.05(A)(iv</w:t>
      </w:r>
      <w:r>
        <w:rPr>
          <w:rFonts w:ascii="Times New Roman" w:cs="Times New Roman" w:eastAsia="Times New Roman" w:hAnsi="Times New Roman"/>
          <w:sz w:val="18"/>
          <w:szCs w:val="18"/>
          <w:color w:val="auto"/>
        </w:rPr>
        <w:t>)); and</w:t>
      </w:r>
    </w:p>
    <w:p>
      <w:pPr>
        <w:spacing w:after="0" w:line="75" w:lineRule="exact"/>
        <w:rPr>
          <w:sz w:val="20"/>
          <w:szCs w:val="20"/>
          <w:color w:val="auto"/>
        </w:rPr>
      </w:pPr>
    </w:p>
    <w:p>
      <w:pPr>
        <w:ind w:left="1184" w:hanging="739"/>
        <w:spacing w:after="0"/>
        <w:tabs>
          <w:tab w:leader="none" w:pos="1184" w:val="left"/>
        </w:tabs>
        <w:numPr>
          <w:ilvl w:val="0"/>
          <w:numId w:val="1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the cash amount distributed per share of Common Stock in such dividend or distribution;</w:t>
      </w:r>
    </w:p>
    <w:p>
      <w:pPr>
        <w:spacing w:after="0" w:line="115" w:lineRule="exact"/>
        <w:rPr>
          <w:sz w:val="20"/>
          <w:szCs w:val="20"/>
          <w:color w:val="auto"/>
        </w:rPr>
      </w:pPr>
    </w:p>
    <w:p>
      <w:pPr>
        <w:ind w:left="444" w:right="120"/>
        <w:spacing w:after="0" w:line="258"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if</w:t>
      </w:r>
      <w:r>
        <w:rPr>
          <w:rFonts w:ascii="Times New Roman" w:cs="Times New Roman" w:eastAsia="Times New Roman" w:hAnsi="Times New Roman"/>
          <w:sz w:val="18"/>
          <w:szCs w:val="18"/>
          <w:i w:val="1"/>
          <w:iCs w:val="1"/>
          <w:color w:val="auto"/>
        </w:rPr>
        <w:t xml:space="preserve"> D </w:t>
      </w:r>
      <w:r>
        <w:rPr>
          <w:rFonts w:ascii="Times New Roman" w:cs="Times New Roman" w:eastAsia="Times New Roman" w:hAnsi="Times New Roman"/>
          <w:sz w:val="18"/>
          <w:szCs w:val="18"/>
          <w:color w:val="auto"/>
        </w:rPr>
        <w:t>is equal to or greater than</w:t>
      </w:r>
      <w:r>
        <w:rPr>
          <w:rFonts w:ascii="Times New Roman" w:cs="Times New Roman" w:eastAsia="Times New Roman" w:hAnsi="Times New Roman"/>
          <w:sz w:val="18"/>
          <w:szCs w:val="18"/>
          <w:i w:val="1"/>
          <w:iCs w:val="1"/>
          <w:color w:val="auto"/>
        </w:rPr>
        <w:t xml:space="preserve"> SP</w:t>
      </w:r>
      <w:r>
        <w:rPr>
          <w:rFonts w:ascii="Times New Roman" w:cs="Times New Roman" w:eastAsia="Times New Roman" w:hAnsi="Times New Roman"/>
          <w:sz w:val="18"/>
          <w:szCs w:val="18"/>
          <w:color w:val="auto"/>
        </w:rPr>
        <w:t>, then, in lieu of the foregoing adjustment to the Exchange Rate, each Holder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 for each $1,000 principal amount of Notes held by such Holder on the record date for such dividend or distribution, at the same time and on the same terms as holders of Common Stock, and without having to Exchange such Notes, the amount of cash that such Holder would have received in such dividend or distribution if such Holder had owned, on such record date, a number of shares of Common Stock equal to the Exchange Rate in effect on such record date.</w:t>
      </w:r>
    </w:p>
    <w:p>
      <w:pPr>
        <w:spacing w:after="0" w:line="77" w:lineRule="exact"/>
        <w:rPr>
          <w:sz w:val="20"/>
          <w:szCs w:val="20"/>
          <w:color w:val="auto"/>
        </w:rPr>
      </w:pPr>
    </w:p>
    <w:p>
      <w:pPr>
        <w:ind w:left="444"/>
        <w:spacing w:after="0" w:line="282" w:lineRule="auto"/>
        <w:rPr>
          <w:sz w:val="20"/>
          <w:szCs w:val="20"/>
          <w:color w:val="auto"/>
        </w:rPr>
      </w:pPr>
      <w:r>
        <w:rPr>
          <w:rFonts w:ascii="Times New Roman" w:cs="Times New Roman" w:eastAsia="Times New Roman" w:hAnsi="Times New Roman"/>
          <w:sz w:val="18"/>
          <w:szCs w:val="18"/>
          <w:color w:val="auto"/>
        </w:rPr>
        <w:t>To the extent such dividend or distribution is declared but not made or paid, the Exchange Rate will be readjusted to the Exchange Rate that would then be in effect had the adjustment been made on the basis of only the dividend or distribution, if any, actually made or paid.</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- 53 -</w:t>
      </w:r>
    </w:p>
    <w:p>
      <w:pPr>
        <w:sectPr>
          <w:pgSz w:w="11900" w:h="16838" w:orient="portrait"/>
          <w:cols w:equalWidth="0" w:num="1">
            <w:col w:w="11004"/>
          </w:cols>
          <w:pgMar w:left="436" w:top="268" w:right="459" w:bottom="1440" w:gutter="0" w:footer="0" w:header="0"/>
        </w:sectPr>
      </w:pPr>
    </w:p>
    <w:bookmarkStart w:id="66" w:name="page67"/>
    <w:bookmarkEnd w:id="66"/>
    <w:p>
      <w:pPr>
        <w:ind w:left="4" w:hanging="4"/>
        <w:spacing w:after="0" w:line="256" w:lineRule="auto"/>
        <w:tabs>
          <w:tab w:leader="none" w:pos="259"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Tender Offers or Exchange Offers</w:t>
      </w:r>
      <w:r>
        <w:rPr>
          <w:rFonts w:ascii="Times New Roman" w:cs="Times New Roman" w:eastAsia="Times New Roman" w:hAnsi="Times New Roman"/>
          <w:sz w:val="18"/>
          <w:szCs w:val="18"/>
          <w:color w:val="auto"/>
        </w:rPr>
        <w:t>. If the Company, Holdings or any of their respective Subsidiaries makes a payment in respect of a tender offer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offer for shares of Common Stock that is subject to the then-applicable tender offer rules under the Exchange Act (other than solely pursuant to an odd-lot tender offer pursuant to Rule 13e-4(h)(5) under the Exchange Act), and the value (determined as of the Expiration Time by Holdings in good faith and in a commercially reasonable manner) of the cash and other consideration paid per share of Common Stock in such tender or exchange offer exceeds the Last Reported Sale Price per share of Common Stock on the Trading Day immediately after the last date (the “</w:t>
      </w:r>
      <w:r>
        <w:rPr>
          <w:rFonts w:ascii="Times New Roman" w:cs="Times New Roman" w:eastAsia="Times New Roman" w:hAnsi="Times New Roman"/>
          <w:sz w:val="18"/>
          <w:szCs w:val="18"/>
          <w:b w:val="1"/>
          <w:bCs w:val="1"/>
          <w:color w:val="auto"/>
        </w:rPr>
        <w:t>Expiration Date</w:t>
      </w:r>
      <w:r>
        <w:rPr>
          <w:rFonts w:ascii="Times New Roman" w:cs="Times New Roman" w:eastAsia="Times New Roman" w:hAnsi="Times New Roman"/>
          <w:sz w:val="18"/>
          <w:szCs w:val="18"/>
          <w:color w:val="auto"/>
        </w:rPr>
        <w:t>”) on which tenders or exchanges may be made pursuant to such tender or exchange offer (as it may be amended), then the Exchange Rate will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2545715</wp:posOffset>
            </wp:positionH>
            <wp:positionV relativeFrom="paragraph">
              <wp:posOffset>146050</wp:posOffset>
            </wp:positionV>
            <wp:extent cx="1911350" cy="5054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911350" cy="50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444"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where:</w:t>
            </w:r>
          </w:p>
        </w:tc>
        <w:tc>
          <w:tcPr>
            <w:tcW w:w="400" w:type="dxa"/>
            <w:vAlign w:val="bottom"/>
          </w:tcPr>
          <w:p>
            <w:pPr>
              <w:spacing w:after="0"/>
              <w:rPr>
                <w:sz w:val="20"/>
                <w:szCs w:val="20"/>
                <w:color w:val="auto"/>
              </w:rPr>
            </w:pPr>
          </w:p>
        </w:tc>
        <w:tc>
          <w:tcPr>
            <w:tcW w:w="9320" w:type="dxa"/>
            <w:vAlign w:val="bottom"/>
          </w:tcPr>
          <w:p>
            <w:pPr>
              <w:spacing w:after="0"/>
              <w:rPr>
                <w:sz w:val="20"/>
                <w:szCs w:val="20"/>
                <w:color w:val="auto"/>
              </w:rPr>
            </w:pPr>
          </w:p>
        </w:tc>
      </w:tr>
      <w:tr>
        <w:trPr>
          <w:trHeight w:val="306"/>
        </w:trPr>
        <w:tc>
          <w:tcPr>
            <w:tcW w:w="6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ER</w:t>
            </w:r>
            <w:r>
              <w:rPr>
                <w:rFonts w:ascii="Times New Roman" w:cs="Times New Roman" w:eastAsia="Times New Roman" w:hAnsi="Times New Roman"/>
                <w:sz w:val="26"/>
                <w:szCs w:val="26"/>
                <w:i w:val="1"/>
                <w:iCs w:val="1"/>
                <w:color w:val="auto"/>
                <w:vertAlign w:val="subscript"/>
              </w:rPr>
              <w:t>0</w:t>
            </w:r>
          </w:p>
        </w:tc>
        <w:tc>
          <w:tcPr>
            <w:tcW w:w="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Exchange Rate in effect immediately before the Close of Business on the last Trading Day of the Tender/Exchange Offer</w:t>
            </w:r>
          </w:p>
        </w:tc>
      </w:tr>
      <w:tr>
        <w:trPr>
          <w:trHeight w:val="234"/>
        </w:trPr>
        <w:tc>
          <w:tcPr>
            <w:tcW w:w="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Valuation Period for such tender or exchange offer;</w:t>
            </w:r>
          </w:p>
        </w:tc>
      </w:tr>
      <w:tr>
        <w:trPr>
          <w:trHeight w:val="306"/>
        </w:trPr>
        <w:tc>
          <w:tcPr>
            <w:tcW w:w="6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ER</w:t>
            </w:r>
            <w:r>
              <w:rPr>
                <w:rFonts w:ascii="Times New Roman" w:cs="Times New Roman" w:eastAsia="Times New Roman" w:hAnsi="Times New Roman"/>
                <w:sz w:val="26"/>
                <w:szCs w:val="26"/>
                <w:i w:val="1"/>
                <w:iCs w:val="1"/>
                <w:color w:val="auto"/>
                <w:vertAlign w:val="subscript"/>
              </w:rPr>
              <w:t>1</w:t>
            </w:r>
          </w:p>
        </w:tc>
        <w:tc>
          <w:tcPr>
            <w:tcW w:w="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Exchange Rate in effect immediately after the Close of Business on the last Trading Day of the Tender/Exchange Offer</w:t>
            </w:r>
          </w:p>
        </w:tc>
      </w:tr>
      <w:tr>
        <w:trPr>
          <w:trHeight w:val="234"/>
        </w:trPr>
        <w:tc>
          <w:tcPr>
            <w:tcW w:w="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Valuation Period;</w:t>
            </w:r>
          </w:p>
        </w:tc>
      </w:tr>
      <w:tr>
        <w:trPr>
          <w:trHeight w:val="306"/>
        </w:trPr>
        <w:tc>
          <w:tcPr>
            <w:tcW w:w="6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AC</w:t>
            </w:r>
          </w:p>
        </w:tc>
        <w:tc>
          <w:tcPr>
            <w:tcW w:w="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aggregate value (determined as of the time (the “</w:t>
            </w:r>
            <w:r>
              <w:rPr>
                <w:rFonts w:ascii="Times New Roman" w:cs="Times New Roman" w:eastAsia="Times New Roman" w:hAnsi="Times New Roman"/>
                <w:sz w:val="18"/>
                <w:szCs w:val="18"/>
                <w:b w:val="1"/>
                <w:bCs w:val="1"/>
                <w:color w:val="auto"/>
              </w:rPr>
              <w:t>Expiration Time</w:t>
            </w:r>
            <w:r>
              <w:rPr>
                <w:rFonts w:ascii="Times New Roman" w:cs="Times New Roman" w:eastAsia="Times New Roman" w:hAnsi="Times New Roman"/>
                <w:sz w:val="18"/>
                <w:szCs w:val="18"/>
                <w:color w:val="auto"/>
              </w:rPr>
              <w:t>”) such tender or exchange offer expires by Holdings in</w:t>
            </w:r>
          </w:p>
        </w:tc>
      </w:tr>
      <w:tr>
        <w:trPr>
          <w:trHeight w:val="216"/>
        </w:trPr>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32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good faith and in a commercially reasonable manner) of all cash and other consideration paid or payable for shares of Common</w:t>
            </w:r>
          </w:p>
        </w:tc>
      </w:tr>
      <w:tr>
        <w:trPr>
          <w:trHeight w:val="234"/>
        </w:trPr>
        <w:tc>
          <w:tcPr>
            <w:tcW w:w="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 purchased or exchanged in such tender or exchange offer;</w:t>
            </w:r>
          </w:p>
        </w:tc>
      </w:tr>
      <w:tr>
        <w:trPr>
          <w:trHeight w:val="306"/>
        </w:trPr>
        <w:tc>
          <w:tcPr>
            <w:tcW w:w="6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OS</w:t>
            </w:r>
            <w:r>
              <w:rPr>
                <w:rFonts w:ascii="Times New Roman" w:cs="Times New Roman" w:eastAsia="Times New Roman" w:hAnsi="Times New Roman"/>
                <w:sz w:val="26"/>
                <w:szCs w:val="26"/>
                <w:i w:val="1"/>
                <w:iCs w:val="1"/>
                <w:color w:val="auto"/>
                <w:vertAlign w:val="subscript"/>
              </w:rPr>
              <w:t>0</w:t>
            </w:r>
          </w:p>
        </w:tc>
        <w:tc>
          <w:tcPr>
            <w:tcW w:w="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number of shares of Common Stock outstanding immediately before the Expiration Time (including all shares of Common</w:t>
            </w:r>
          </w:p>
        </w:tc>
      </w:tr>
      <w:tr>
        <w:trPr>
          <w:trHeight w:val="234"/>
        </w:trPr>
        <w:tc>
          <w:tcPr>
            <w:tcW w:w="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 accepted for purchase or exchange in such tender or exchange offer);</w:t>
            </w:r>
          </w:p>
        </w:tc>
      </w:tr>
      <w:tr>
        <w:trPr>
          <w:trHeight w:val="306"/>
        </w:trPr>
        <w:tc>
          <w:tcPr>
            <w:tcW w:w="6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OS</w:t>
            </w:r>
            <w:r>
              <w:rPr>
                <w:rFonts w:ascii="Times New Roman" w:cs="Times New Roman" w:eastAsia="Times New Roman" w:hAnsi="Times New Roman"/>
                <w:sz w:val="26"/>
                <w:szCs w:val="26"/>
                <w:i w:val="1"/>
                <w:iCs w:val="1"/>
                <w:color w:val="auto"/>
                <w:vertAlign w:val="subscript"/>
              </w:rPr>
              <w:t>1</w:t>
            </w:r>
          </w:p>
        </w:tc>
        <w:tc>
          <w:tcPr>
            <w:tcW w:w="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number of shares of Common Stock outstanding immediately after the Expiration Time (excluding all shares of Common</w:t>
            </w:r>
          </w:p>
        </w:tc>
      </w:tr>
      <w:tr>
        <w:trPr>
          <w:trHeight w:val="234"/>
        </w:trPr>
        <w:tc>
          <w:tcPr>
            <w:tcW w:w="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 accepted for purchase or exchange in such tender or exchange offer); and</w:t>
            </w:r>
          </w:p>
        </w:tc>
      </w:tr>
      <w:tr>
        <w:trPr>
          <w:trHeight w:val="302"/>
        </w:trPr>
        <w:tc>
          <w:tcPr>
            <w:tcW w:w="6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SP</w:t>
            </w:r>
          </w:p>
        </w:tc>
        <w:tc>
          <w:tcPr>
            <w:tcW w:w="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32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the average of the Last Reported Sale Prices per share of Common Stock over the ten (10) consecutive Trading Day period (the</w:t>
            </w:r>
          </w:p>
        </w:tc>
      </w:tr>
      <w:tr>
        <w:trPr>
          <w:trHeight w:val="220"/>
        </w:trPr>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Tender/Exchange Offer Valuation Period</w:t>
            </w:r>
            <w:r>
              <w:rPr>
                <w:rFonts w:ascii="Times New Roman" w:cs="Times New Roman" w:eastAsia="Times New Roman" w:hAnsi="Times New Roman"/>
                <w:sz w:val="18"/>
                <w:szCs w:val="18"/>
                <w:color w:val="auto"/>
              </w:rPr>
              <w:t>”) beginning on, and including, the Trading Day immediately after the Expiration</w:t>
            </w:r>
          </w:p>
        </w:tc>
      </w:tr>
      <w:tr>
        <w:trPr>
          <w:trHeight w:val="234"/>
        </w:trPr>
        <w:tc>
          <w:tcPr>
            <w:tcW w:w="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Date;</w:t>
            </w:r>
          </w:p>
        </w:tc>
      </w:tr>
      <w:tr>
        <w:trPr>
          <w:trHeight w:val="364"/>
        </w:trPr>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320" w:type="dxa"/>
            <w:vAlign w:val="bottom"/>
          </w:tcPr>
          <w:p>
            <w:pPr>
              <w:ind w:left="3840"/>
              <w:spacing w:after="0"/>
              <w:rPr>
                <w:sz w:val="20"/>
                <w:szCs w:val="20"/>
                <w:color w:val="auto"/>
              </w:rPr>
            </w:pPr>
            <w:r>
              <w:rPr>
                <w:rFonts w:ascii="Times New Roman" w:cs="Times New Roman" w:eastAsia="Times New Roman" w:hAnsi="Times New Roman"/>
                <w:sz w:val="18"/>
                <w:szCs w:val="18"/>
                <w:color w:val="auto"/>
              </w:rPr>
              <w:t>- 54 -</w:t>
            </w:r>
          </w:p>
        </w:tc>
      </w:tr>
    </w:tbl>
    <w:p>
      <w:pPr>
        <w:sectPr>
          <w:pgSz w:w="11900" w:h="16838" w:orient="portrait"/>
          <w:cols w:equalWidth="0" w:num="1">
            <w:col w:w="10864"/>
          </w:cols>
          <w:pgMar w:left="436" w:top="268" w:right="599" w:bottom="1440" w:gutter="0" w:footer="0" w:header="0"/>
        </w:sectPr>
      </w:pPr>
    </w:p>
    <w:bookmarkStart w:id="67" w:name="page68"/>
    <w:bookmarkEnd w:id="67"/>
    <w:p>
      <w:pPr>
        <w:ind w:left="444"/>
        <w:spacing w:after="0" w:line="257"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the Exchange Rate will in no event be adjusted down pursuant 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5.05(A)(v</w:t>
      </w:r>
      <w:r>
        <w:rPr>
          <w:rFonts w:ascii="Times New Roman" w:cs="Times New Roman" w:eastAsia="Times New Roman" w:hAnsi="Times New Roman"/>
          <w:sz w:val="18"/>
          <w:szCs w:val="18"/>
          <w:color w:val="auto"/>
        </w:rPr>
        <w:t>), except to the extent provided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immediately following paragraph. Notwithstanding anything to the contrary in this </w:t>
      </w:r>
      <w:r>
        <w:rPr>
          <w:rFonts w:ascii="Times New Roman" w:cs="Times New Roman" w:eastAsia="Times New Roman" w:hAnsi="Times New Roman"/>
          <w:sz w:val="18"/>
          <w:szCs w:val="18"/>
          <w:b w:val="1"/>
          <w:bCs w:val="1"/>
          <w:color w:val="auto"/>
        </w:rPr>
        <w:t>Section 5.05(A)(v</w:t>
      </w:r>
      <w:r>
        <w:rPr>
          <w:rFonts w:ascii="Times New Roman" w:cs="Times New Roman" w:eastAsia="Times New Roman" w:hAnsi="Times New Roman"/>
          <w:sz w:val="18"/>
          <w:szCs w:val="18"/>
          <w:color w:val="auto"/>
        </w:rPr>
        <w:t>), if any VWAP Trading Day of the Observation Period for a Note to be Exchanged occurs during the Tender/Exchange Offer Valuation Period for such tender or exchange offer, then, solely for purposes of determining the Exchange Rate for such VWAP Trading Day for such Exchange, such Tender/Exchange Offer Valuation Period will be deemed to consist of the Trading Days occurring in the period from, and including, the Trading Day immediately after the Expiration Date for such tender or exchange offer to, and including, such VWAP Trading Day.</w:t>
      </w:r>
    </w:p>
    <w:p>
      <w:pPr>
        <w:spacing w:after="0" w:line="78" w:lineRule="exact"/>
        <w:rPr>
          <w:sz w:val="20"/>
          <w:szCs w:val="20"/>
          <w:color w:val="auto"/>
        </w:rPr>
      </w:pPr>
    </w:p>
    <w:p>
      <w:pPr>
        <w:ind w:left="444" w:right="120"/>
        <w:spacing w:after="0" w:line="258" w:lineRule="auto"/>
        <w:rPr>
          <w:sz w:val="20"/>
          <w:szCs w:val="20"/>
          <w:color w:val="auto"/>
        </w:rPr>
      </w:pPr>
      <w:r>
        <w:rPr>
          <w:rFonts w:ascii="Times New Roman" w:cs="Times New Roman" w:eastAsia="Times New Roman" w:hAnsi="Times New Roman"/>
          <w:sz w:val="18"/>
          <w:szCs w:val="18"/>
          <w:color w:val="auto"/>
        </w:rPr>
        <w:t>To the extent such tender or exchange offer is announced but not consummated (including as a result of Holdings being precluded from consummating such tender or exchange offer under applicable law), or any purchases or exchanges of shares of Common Stock in such tender or exchange offer are rescinded, the Exchange Rate will be readjusted to the Exchange Rate that would then be in effect had the adjustment been made on the basis of only the purchases or exchanges of shares of Common Stock, if any, actually made, and not rescinded, in such tender or exchange offer.</w:t>
      </w:r>
    </w:p>
    <w:p>
      <w:pPr>
        <w:spacing w:after="0" w:line="181" w:lineRule="exact"/>
        <w:rPr>
          <w:sz w:val="20"/>
          <w:szCs w:val="20"/>
          <w:color w:val="auto"/>
        </w:rPr>
      </w:pPr>
    </w:p>
    <w:p>
      <w:pPr>
        <w:ind w:left="284" w:hanging="284"/>
        <w:spacing w:after="0"/>
        <w:tabs>
          <w:tab w:leader="none" w:pos="284"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Adjustments in Certain Cases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4" w:right="180" w:hanging="4"/>
        <w:spacing w:after="0" w:line="256" w:lineRule="auto"/>
        <w:tabs>
          <w:tab w:leader="none" w:pos="219"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Where Holders Participate in the Transaction or Event Without Exchange</w:t>
      </w:r>
      <w:r>
        <w:rPr>
          <w:rFonts w:ascii="Times New Roman" w:cs="Times New Roman" w:eastAsia="Times New Roman" w:hAnsi="Times New Roman"/>
          <w:sz w:val="18"/>
          <w:szCs w:val="18"/>
          <w:color w:val="auto"/>
        </w:rPr>
        <w:t>. Notwithstanding anything to the contrary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5.05(A</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Company will not be obligated to adjust the Exchange Rate on account of a transaction or other event otherwise requiring an adjustment pursuant to </w:t>
      </w:r>
      <w:r>
        <w:rPr>
          <w:rFonts w:ascii="Times New Roman" w:cs="Times New Roman" w:eastAsia="Times New Roman" w:hAnsi="Times New Roman"/>
          <w:sz w:val="18"/>
          <w:szCs w:val="18"/>
          <w:b w:val="1"/>
          <w:bCs w:val="1"/>
          <w:color w:val="auto"/>
        </w:rPr>
        <w:t>Section 5.05(A</w:t>
      </w:r>
      <w:r>
        <w:rPr>
          <w:rFonts w:ascii="Times New Roman" w:cs="Times New Roman" w:eastAsia="Times New Roman" w:hAnsi="Times New Roman"/>
          <w:sz w:val="18"/>
          <w:szCs w:val="18"/>
          <w:color w:val="auto"/>
        </w:rPr>
        <w:t>) (other than a stock split or combination of the type set forth in</w:t>
      </w:r>
      <w:r>
        <w:rPr>
          <w:rFonts w:ascii="Times New Roman" w:cs="Times New Roman" w:eastAsia="Times New Roman" w:hAnsi="Times New Roman"/>
          <w:sz w:val="18"/>
          <w:szCs w:val="18"/>
          <w:b w:val="1"/>
          <w:bCs w:val="1"/>
          <w:color w:val="auto"/>
        </w:rPr>
        <w:t xml:space="preserve"> Section 5.05(A)(i</w:t>
      </w:r>
      <w:r>
        <w:rPr>
          <w:rFonts w:ascii="Times New Roman" w:cs="Times New Roman" w:eastAsia="Times New Roman" w:hAnsi="Times New Roman"/>
          <w:sz w:val="18"/>
          <w:szCs w:val="18"/>
          <w:color w:val="auto"/>
        </w:rPr>
        <w:t>) or a tender or exchange offer of the type set forth in</w:t>
      </w:r>
      <w:r>
        <w:rPr>
          <w:rFonts w:ascii="Times New Roman" w:cs="Times New Roman" w:eastAsia="Times New Roman" w:hAnsi="Times New Roman"/>
          <w:sz w:val="18"/>
          <w:szCs w:val="18"/>
          <w:b w:val="1"/>
          <w:bCs w:val="1"/>
          <w:color w:val="auto"/>
        </w:rPr>
        <w:t xml:space="preserve"> Section 5.05(A)(v</w:t>
      </w:r>
      <w:r>
        <w:rPr>
          <w:rFonts w:ascii="Times New Roman" w:cs="Times New Roman" w:eastAsia="Times New Roman" w:hAnsi="Times New Roman"/>
          <w:sz w:val="18"/>
          <w:szCs w:val="18"/>
          <w:color w:val="auto"/>
        </w:rPr>
        <w:t>)) if each Holder participates, at the same time and on the same terms as holders of Common Stock, and solely by virtue of being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Holder of Notes, in such transaction or event without having to Exchange such Holder’s Notes and as if such Holder held a number of shares of Common Stock equal to the product of (i) the Exchange Rate in effect on the related record date; and (ii) the aggregate principal amount (expressed in thousands) of Notes held by such Holder on such date.</w:t>
      </w:r>
    </w:p>
    <w:p>
      <w:pPr>
        <w:spacing w:after="0" w:line="182" w:lineRule="exact"/>
        <w:rPr>
          <w:rFonts w:ascii="Times New Roman" w:cs="Times New Roman" w:eastAsia="Times New Roman" w:hAnsi="Times New Roman"/>
          <w:sz w:val="18"/>
          <w:szCs w:val="18"/>
          <w:color w:val="auto"/>
        </w:rPr>
      </w:pPr>
    </w:p>
    <w:p>
      <w:pPr>
        <w:ind w:left="4" w:right="40" w:hanging="4"/>
        <w:spacing w:after="0" w:line="286" w:lineRule="auto"/>
        <w:tabs>
          <w:tab w:leader="none" w:pos="269"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Certain Events</w:t>
      </w:r>
      <w:r>
        <w:rPr>
          <w:rFonts w:ascii="Times New Roman" w:cs="Times New Roman" w:eastAsia="Times New Roman" w:hAnsi="Times New Roman"/>
          <w:sz w:val="18"/>
          <w:szCs w:val="18"/>
          <w:color w:val="auto"/>
        </w:rPr>
        <w:t>. The Company will not be required to adjust the Exchange Rate except as provided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5.05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5.07</w:t>
      </w:r>
      <w:r>
        <w:rPr>
          <w:rFonts w:ascii="Times New Roman" w:cs="Times New Roman" w:eastAsia="Times New Roman" w:hAnsi="Times New Roman"/>
          <w:sz w:val="18"/>
          <w:szCs w:val="18"/>
          <w:color w:val="auto"/>
        </w:rPr>
        <w:t>. Without limiting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foregoing, the Company will not be obligated to adjust the Exchange Rate on account of:</w:t>
      </w:r>
    </w:p>
    <w:p>
      <w:pPr>
        <w:spacing w:after="0" w:line="46" w:lineRule="exact"/>
        <w:rPr>
          <w:rFonts w:ascii="Times New Roman" w:cs="Times New Roman" w:eastAsia="Times New Roman" w:hAnsi="Times New Roman"/>
          <w:sz w:val="18"/>
          <w:szCs w:val="18"/>
          <w:color w:val="auto"/>
        </w:rPr>
      </w:pPr>
    </w:p>
    <w:p>
      <w:pPr>
        <w:ind w:left="984" w:firstLine="408"/>
        <w:spacing w:after="0" w:line="286" w:lineRule="auto"/>
        <w:tabs>
          <w:tab w:leader="none" w:pos="1640"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provided in </w:t>
      </w:r>
      <w:r>
        <w:rPr>
          <w:rFonts w:ascii="Times New Roman" w:cs="Times New Roman" w:eastAsia="Times New Roman" w:hAnsi="Times New Roman"/>
          <w:sz w:val="18"/>
          <w:szCs w:val="18"/>
          <w:b w:val="1"/>
          <w:bCs w:val="1"/>
          <w:color w:val="auto"/>
        </w:rPr>
        <w:t>Section 5.05</w:t>
      </w:r>
      <w:r>
        <w:rPr>
          <w:rFonts w:ascii="Times New Roman" w:cs="Times New Roman" w:eastAsia="Times New Roman" w:hAnsi="Times New Roman"/>
          <w:sz w:val="18"/>
          <w:szCs w:val="18"/>
          <w:color w:val="auto"/>
        </w:rPr>
        <w:t>, the sale of shares of Common Stock for a purchase price that is less than the market price per share of Common Stock or less than the Exchange Price;</w:t>
      </w:r>
    </w:p>
    <w:p>
      <w:pPr>
        <w:spacing w:after="0" w:line="50" w:lineRule="exact"/>
        <w:rPr>
          <w:rFonts w:ascii="Times New Roman" w:cs="Times New Roman" w:eastAsia="Times New Roman" w:hAnsi="Times New Roman"/>
          <w:sz w:val="18"/>
          <w:szCs w:val="18"/>
          <w:color w:val="auto"/>
        </w:rPr>
      </w:pPr>
    </w:p>
    <w:p>
      <w:pPr>
        <w:ind w:left="984" w:firstLine="408"/>
        <w:spacing w:after="0" w:line="266" w:lineRule="auto"/>
        <w:tabs>
          <w:tab w:leader="none" w:pos="1640"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any shares of Common Stock pursuant to any present or future plan providing for the reinvestment of dividends or interest payable on Holdings’ securities and the investment of additional optional amounts in shares of Common Stock under any such plan;</w:t>
      </w:r>
    </w:p>
    <w:p>
      <w:pPr>
        <w:spacing w:after="0" w:line="67" w:lineRule="exact"/>
        <w:rPr>
          <w:rFonts w:ascii="Times New Roman" w:cs="Times New Roman" w:eastAsia="Times New Roman" w:hAnsi="Times New Roman"/>
          <w:sz w:val="18"/>
          <w:szCs w:val="18"/>
          <w:color w:val="auto"/>
        </w:rPr>
      </w:pPr>
    </w:p>
    <w:p>
      <w:pPr>
        <w:ind w:left="984" w:right="60" w:firstLine="408"/>
        <w:spacing w:after="0" w:line="266" w:lineRule="auto"/>
        <w:tabs>
          <w:tab w:leader="none" w:pos="1640"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any shares of Common Stock or options or rights to purchase shares of Common Stock pursuant to any present or future employee, director or consultant benefit plan or program of, or assumed by, the Company, Holdings or any of the Company’s or Holdings’ respective Subsidiaries;</w:t>
      </w:r>
    </w:p>
    <w:p>
      <w:pPr>
        <w:spacing w:after="0" w:line="108"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2"/>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55 -</w:t>
      </w:r>
    </w:p>
    <w:p>
      <w:pPr>
        <w:sectPr>
          <w:pgSz w:w="11900" w:h="16838" w:orient="portrait"/>
          <w:cols w:equalWidth="0" w:num="1">
            <w:col w:w="11004"/>
          </w:cols>
          <w:pgMar w:left="436" w:top="266" w:right="459" w:bottom="1440" w:gutter="0" w:footer="0" w:header="0"/>
        </w:sectPr>
      </w:pPr>
    </w:p>
    <w:bookmarkStart w:id="68" w:name="page69"/>
    <w:bookmarkEnd w:id="68"/>
    <w:p>
      <w:pPr>
        <w:ind w:left="984" w:right="260" w:firstLine="408"/>
        <w:spacing w:after="0" w:line="282" w:lineRule="auto"/>
        <w:tabs>
          <w:tab w:leader="none" w:pos="164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issuance of any shares of Common Stock pursuant to any option, warrant, right or convertible or exchangeable security of Holdings or the Company outstanding as of the Issue Date;</w:t>
      </w:r>
    </w:p>
    <w:p>
      <w:pPr>
        <w:spacing w:after="0" w:line="53" w:lineRule="exact"/>
        <w:rPr>
          <w:rFonts w:ascii="Times New Roman" w:cs="Times New Roman" w:eastAsia="Times New Roman" w:hAnsi="Times New Roman"/>
          <w:sz w:val="18"/>
          <w:szCs w:val="18"/>
          <w:color w:val="auto"/>
        </w:rPr>
      </w:pPr>
    </w:p>
    <w:p>
      <w:pPr>
        <w:ind w:left="1644" w:hanging="252"/>
        <w:spacing w:after="0"/>
        <w:tabs>
          <w:tab w:leader="none" w:pos="1644"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a change in the par value (or from par value to no par value) of the Common Stock; or</w:t>
      </w:r>
    </w:p>
    <w:p>
      <w:pPr>
        <w:spacing w:after="0" w:line="117" w:lineRule="exact"/>
        <w:rPr>
          <w:rFonts w:ascii="Times New Roman" w:cs="Times New Roman" w:eastAsia="Times New Roman" w:hAnsi="Times New Roman"/>
          <w:sz w:val="18"/>
          <w:szCs w:val="18"/>
          <w:color w:val="auto"/>
        </w:rPr>
      </w:pPr>
    </w:p>
    <w:p>
      <w:pPr>
        <w:ind w:left="1644" w:hanging="252"/>
        <w:spacing w:after="0"/>
        <w:tabs>
          <w:tab w:leader="none" w:pos="1644"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and unpaid interest on the Notes.</w:t>
      </w:r>
    </w:p>
    <w:p>
      <w:pPr>
        <w:spacing w:after="0" w:line="221" w:lineRule="exact"/>
        <w:rPr>
          <w:rFonts w:ascii="Times New Roman" w:cs="Times New Roman" w:eastAsia="Times New Roman" w:hAnsi="Times New Roman"/>
          <w:sz w:val="18"/>
          <w:szCs w:val="18"/>
          <w:color w:val="auto"/>
        </w:rPr>
      </w:pPr>
    </w:p>
    <w:p>
      <w:pPr>
        <w:ind w:left="4" w:right="140" w:hanging="4"/>
        <w:spacing w:after="0" w:line="257" w:lineRule="auto"/>
        <w:tabs>
          <w:tab w:leader="none" w:pos="289"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Adjustment Deferral</w:t>
      </w:r>
      <w:r>
        <w:rPr>
          <w:rFonts w:ascii="Times New Roman" w:cs="Times New Roman" w:eastAsia="Times New Roman" w:hAnsi="Times New Roman"/>
          <w:sz w:val="18"/>
          <w:szCs w:val="18"/>
          <w:color w:val="auto"/>
        </w:rPr>
        <w:t>. If an adjustment to the Exchange Rate otherwise required by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Article 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would result in a change of less than one percent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(1%) to the Exchange Rate, then, notwithstanding anything to the contrary in this </w:t>
      </w:r>
      <w:r>
        <w:rPr>
          <w:rFonts w:ascii="Times New Roman" w:cs="Times New Roman" w:eastAsia="Times New Roman" w:hAnsi="Times New Roman"/>
          <w:sz w:val="18"/>
          <w:szCs w:val="18"/>
          <w:b w:val="1"/>
          <w:bCs w:val="1"/>
          <w:color w:val="auto"/>
        </w:rPr>
        <w:t>Article 5</w:t>
      </w:r>
      <w:r>
        <w:rPr>
          <w:rFonts w:ascii="Times New Roman" w:cs="Times New Roman" w:eastAsia="Times New Roman" w:hAnsi="Times New Roman"/>
          <w:sz w:val="18"/>
          <w:szCs w:val="18"/>
          <w:color w:val="auto"/>
        </w:rPr>
        <w:t>, the Company may, at its election, defer and carry forward such adjustment, except that all such deferred adjustments must be given effect immediately upon the earliest of the following: (i) when all such deferred adjustments would, had they not been so deferred and carried forward, result in a change of at least one percent (1%) to the Exchange Rate; (ii) the Exchange Date of, or any VWAP Trading Day of an Observation Period for, any Note; (iii) the date a Fundamental Change or Make-Whole Fundamental Change occurs; (iv) the date the Company calls any Notes for Redemption; and (v) March 1, 2029.</w:t>
      </w:r>
    </w:p>
    <w:p>
      <w:pPr>
        <w:spacing w:after="0" w:line="184" w:lineRule="exact"/>
        <w:rPr>
          <w:rFonts w:ascii="Times New Roman" w:cs="Times New Roman" w:eastAsia="Times New Roman" w:hAnsi="Times New Roman"/>
          <w:sz w:val="18"/>
          <w:szCs w:val="18"/>
          <w:color w:val="auto"/>
        </w:rPr>
      </w:pPr>
    </w:p>
    <w:p>
      <w:pPr>
        <w:ind w:left="304" w:hanging="304"/>
        <w:spacing w:after="0"/>
        <w:tabs>
          <w:tab w:leader="none" w:pos="304"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Adjustments Not Yet Effective</w:t>
      </w:r>
      <w:r>
        <w:rPr>
          <w:rFonts w:ascii="Times New Roman" w:cs="Times New Roman" w:eastAsia="Times New Roman" w:hAnsi="Times New Roman"/>
          <w:sz w:val="18"/>
          <w:szCs w:val="18"/>
          <w:color w:val="auto"/>
        </w:rPr>
        <w:t>. Notwithstanding anything to the contrary in this Indenture or the Notes, if:</w:t>
      </w:r>
    </w:p>
    <w:p>
      <w:pPr>
        <w:spacing w:after="0" w:line="227" w:lineRule="exact"/>
        <w:rPr>
          <w:sz w:val="20"/>
          <w:szCs w:val="20"/>
          <w:color w:val="auto"/>
        </w:rPr>
      </w:pPr>
    </w:p>
    <w:p>
      <w:pPr>
        <w:ind w:left="224" w:hanging="224"/>
        <w:spacing w:after="0"/>
        <w:tabs>
          <w:tab w:leader="none" w:pos="224"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Note is to be Exchanged pursuant to Combination Settlement;</w:t>
      </w:r>
    </w:p>
    <w:p>
      <w:pPr>
        <w:spacing w:after="0" w:line="221" w:lineRule="exact"/>
        <w:rPr>
          <w:rFonts w:ascii="Times New Roman" w:cs="Times New Roman" w:eastAsia="Times New Roman" w:hAnsi="Times New Roman"/>
          <w:sz w:val="18"/>
          <w:szCs w:val="18"/>
          <w:color w:val="auto"/>
        </w:rPr>
      </w:pPr>
    </w:p>
    <w:p>
      <w:pPr>
        <w:ind w:left="4" w:hanging="4"/>
        <w:spacing w:after="0" w:line="268" w:lineRule="auto"/>
        <w:tabs>
          <w:tab w:leader="none" w:pos="269"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record date, effective date or Expiration Time for any event that requires an adjustment to the Exchange Rate pursuant to </w:t>
      </w:r>
      <w:r>
        <w:rPr>
          <w:rFonts w:ascii="Times New Roman" w:cs="Times New Roman" w:eastAsia="Times New Roman" w:hAnsi="Times New Roman"/>
          <w:sz w:val="18"/>
          <w:szCs w:val="18"/>
          <w:b w:val="1"/>
          <w:bCs w:val="1"/>
          <w:color w:val="auto"/>
        </w:rPr>
        <w:t>Section 5.05(A</w:t>
      </w:r>
      <w:r>
        <w:rPr>
          <w:rFonts w:ascii="Times New Roman" w:cs="Times New Roman" w:eastAsia="Times New Roman" w:hAnsi="Times New Roman"/>
          <w:sz w:val="18"/>
          <w:szCs w:val="18"/>
          <w:color w:val="auto"/>
        </w:rPr>
        <w:t>) has occurred on or before any VWAP Trading Day in the Observation Period for such Exchange, but an adjustment to the Exchange Rate for such event has not yet become effective as of such VWAP Trading Day;</w:t>
      </w:r>
    </w:p>
    <w:p>
      <w:pPr>
        <w:spacing w:after="0" w:line="174"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Consideration due in respect of such VWAP Trading Day includes any whole or fractional shares of Common Stock; and</w:t>
      </w:r>
    </w:p>
    <w:p>
      <w:pPr>
        <w:spacing w:after="0" w:line="225" w:lineRule="exact"/>
        <w:rPr>
          <w:rFonts w:ascii="Times New Roman" w:cs="Times New Roman" w:eastAsia="Times New Roman" w:hAnsi="Times New Roman"/>
          <w:sz w:val="18"/>
          <w:szCs w:val="18"/>
          <w:color w:val="auto"/>
        </w:rPr>
      </w:pPr>
    </w:p>
    <w:p>
      <w:pPr>
        <w:ind w:left="304" w:hanging="304"/>
        <w:spacing w:after="0"/>
        <w:tabs>
          <w:tab w:leader="none" w:pos="304"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shares are not entitled to participate in such event (because they were not held on the related record date or otherwise),</w:t>
      </w:r>
    </w:p>
    <w:p>
      <w:pPr>
        <w:spacing w:after="0" w:line="225" w:lineRule="exact"/>
        <w:rPr>
          <w:sz w:val="20"/>
          <w:szCs w:val="20"/>
          <w:color w:val="auto"/>
        </w:rPr>
      </w:pPr>
    </w:p>
    <w:p>
      <w:pPr>
        <w:ind w:left="4" w:right="20"/>
        <w:spacing w:after="0" w:line="261" w:lineRule="auto"/>
        <w:rPr>
          <w:sz w:val="20"/>
          <w:szCs w:val="20"/>
          <w:color w:val="auto"/>
        </w:rPr>
      </w:pPr>
      <w:r>
        <w:rPr>
          <w:rFonts w:ascii="Times New Roman" w:cs="Times New Roman" w:eastAsia="Times New Roman" w:hAnsi="Times New Roman"/>
          <w:sz w:val="18"/>
          <w:szCs w:val="18"/>
          <w:color w:val="auto"/>
        </w:rPr>
        <w:t>then, solely for purposes of such Exchange, the Company will, without duplication, give effect to such adjustment on such VWAP Trading Day. In such case, if the date on which the Company is otherwise required to deliver the consideration due upon such Exchange is before the first date on which the amount of such adjustment can be determined, then the Company will delay the settlement of such Exchange until the second (2nd) Business Day after such first date.</w:t>
      </w:r>
    </w:p>
    <w:p>
      <w:pPr>
        <w:spacing w:after="0" w:line="178" w:lineRule="exact"/>
        <w:rPr>
          <w:sz w:val="20"/>
          <w:szCs w:val="20"/>
          <w:color w:val="auto"/>
        </w:rPr>
      </w:pPr>
    </w:p>
    <w:p>
      <w:pPr>
        <w:ind w:left="4" w:right="20" w:hanging="4"/>
        <w:spacing w:after="0" w:line="284" w:lineRule="auto"/>
        <w:tabs>
          <w:tab w:leader="none" w:pos="279"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Exchange Rate Adjustments Where Exchanging Holders Participate in the Relevant Transaction or Event</w:t>
      </w:r>
      <w:r>
        <w:rPr>
          <w:rFonts w:ascii="Times New Roman" w:cs="Times New Roman" w:eastAsia="Times New Roman" w:hAnsi="Times New Roman"/>
          <w:sz w:val="18"/>
          <w:szCs w:val="18"/>
          <w:color w:val="auto"/>
        </w:rPr>
        <w:t>. Notwithstanding anything to the contrary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this Indenture or the Notes, if:</w:t>
      </w:r>
    </w:p>
    <w:p>
      <w:pPr>
        <w:spacing w:after="0" w:line="156" w:lineRule="exact"/>
        <w:rPr>
          <w:sz w:val="20"/>
          <w:szCs w:val="20"/>
          <w:color w:val="auto"/>
        </w:rPr>
      </w:pPr>
    </w:p>
    <w:p>
      <w:pPr>
        <w:ind w:left="224" w:hanging="224"/>
        <w:spacing w:after="0"/>
        <w:tabs>
          <w:tab w:leader="none" w:pos="224"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Exchange Rate adjustment for any dividend or distribution becomes effective on any Ex-Dividend Date pursuant to </w:t>
      </w:r>
      <w:r>
        <w:rPr>
          <w:rFonts w:ascii="Times New Roman" w:cs="Times New Roman" w:eastAsia="Times New Roman" w:hAnsi="Times New Roman"/>
          <w:sz w:val="18"/>
          <w:szCs w:val="18"/>
          <w:b w:val="1"/>
          <w:bCs w:val="1"/>
          <w:color w:val="auto"/>
        </w:rPr>
        <w:t>Section 5.05(A</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Note is to be Exchanged pursuant to Combination Settlement;</w:t>
      </w:r>
    </w:p>
    <w:p>
      <w:pPr>
        <w:spacing w:after="0" w:line="157"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56 -</w:t>
      </w:r>
    </w:p>
    <w:p>
      <w:pPr>
        <w:sectPr>
          <w:pgSz w:w="11900" w:h="16838" w:orient="portrait"/>
          <w:cols w:equalWidth="0" w:num="1">
            <w:col w:w="10944"/>
          </w:cols>
          <w:pgMar w:left="436" w:top="270" w:right="519" w:bottom="1440" w:gutter="0" w:footer="0" w:header="0"/>
        </w:sectPr>
      </w:pPr>
    </w:p>
    <w:bookmarkStart w:id="69" w:name="page70"/>
    <w:bookmarkEnd w:id="69"/>
    <w:p>
      <w:pPr>
        <w:ind w:left="4" w:right="60" w:hanging="4"/>
        <w:spacing w:after="0" w:line="282" w:lineRule="auto"/>
        <w:tabs>
          <w:tab w:leader="none" w:pos="319"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VWAP Trading Day in the Observation Period for such Exchange occurs on or after such Ex-Dividend Date and on or before the related record date;</w:t>
      </w:r>
    </w:p>
    <w:p>
      <w:pPr>
        <w:spacing w:after="0" w:line="161" w:lineRule="exact"/>
        <w:rPr>
          <w:rFonts w:ascii="Times New Roman" w:cs="Times New Roman" w:eastAsia="Times New Roman" w:hAnsi="Times New Roman"/>
          <w:sz w:val="18"/>
          <w:szCs w:val="18"/>
          <w:color w:val="auto"/>
        </w:rPr>
      </w:pPr>
    </w:p>
    <w:p>
      <w:pPr>
        <w:ind w:left="4" w:right="420" w:hanging="4"/>
        <w:spacing w:after="0" w:line="282" w:lineRule="auto"/>
        <w:tabs>
          <w:tab w:leader="none" w:pos="309"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Consideration due in respect of such VWAP Trading Day includes any whole or fractional shares of Common Stock based on an Exchange Rate that is adjusted for such dividend or distribution; and</w:t>
      </w:r>
    </w:p>
    <w:p>
      <w:pPr>
        <w:spacing w:after="0" w:line="157"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shares would be entitled to participate in such dividend or distribution (including pursuant to </w:t>
      </w:r>
      <w:r>
        <w:rPr>
          <w:rFonts w:ascii="Times New Roman" w:cs="Times New Roman" w:eastAsia="Times New Roman" w:hAnsi="Times New Roman"/>
          <w:sz w:val="18"/>
          <w:szCs w:val="18"/>
          <w:b w:val="1"/>
          <w:bCs w:val="1"/>
          <w:color w:val="auto"/>
        </w:rPr>
        <w:t>Section 5.02(C</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4" w:right="160"/>
        <w:spacing w:after="0" w:line="266" w:lineRule="auto"/>
        <w:rPr>
          <w:sz w:val="20"/>
          <w:szCs w:val="20"/>
          <w:color w:val="auto"/>
        </w:rPr>
      </w:pPr>
      <w:r>
        <w:rPr>
          <w:rFonts w:ascii="Times New Roman" w:cs="Times New Roman" w:eastAsia="Times New Roman" w:hAnsi="Times New Roman"/>
          <w:sz w:val="18"/>
          <w:szCs w:val="18"/>
          <w:color w:val="auto"/>
        </w:rPr>
        <w:t>then the Exchange Rate adjustment relating to such Ex-Dividend Date will be made for such Exchange in respect of such VWAP Trading Day, but the shares of Common Stock issuable with respect to such VWAP Trading Day based on such adjusted Exchange Rate will not be entitled to participate in such dividend or distribution.</w:t>
      </w:r>
    </w:p>
    <w:p>
      <w:pPr>
        <w:spacing w:after="0" w:line="174" w:lineRule="exact"/>
        <w:rPr>
          <w:sz w:val="20"/>
          <w:szCs w:val="20"/>
          <w:color w:val="auto"/>
        </w:rPr>
      </w:pPr>
    </w:p>
    <w:p>
      <w:pPr>
        <w:ind w:left="4" w:hanging="4"/>
        <w:spacing w:after="0" w:line="254" w:lineRule="auto"/>
        <w:tabs>
          <w:tab w:leader="none" w:pos="269"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Stockholder Rights Plans</w:t>
      </w:r>
      <w:r>
        <w:rPr>
          <w:rFonts w:ascii="Times New Roman" w:cs="Times New Roman" w:eastAsia="Times New Roman" w:hAnsi="Times New Roman"/>
          <w:sz w:val="18"/>
          <w:szCs w:val="18"/>
          <w:color w:val="auto"/>
        </w:rPr>
        <w:t>. If any shares of Common Stock are to be delivered upon Exchange of any Note and, at the time of such Exchange,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Holdings has in effect any stockholder rights plan, then the Holder of such Note will be entitled to receive, in addition to, and concurrently with the delivery of, the Exchange Consideration otherwise payable under this Indenture upon such Exchange, the rights set forth in such stockholder rights plan, unless such rights have separated from the Common Stock at such time, in which case, and only in such case, the Exchange Rate will be adjusted pursuant to </w:t>
      </w:r>
      <w:r>
        <w:rPr>
          <w:rFonts w:ascii="Times New Roman" w:cs="Times New Roman" w:eastAsia="Times New Roman" w:hAnsi="Times New Roman"/>
          <w:sz w:val="18"/>
          <w:szCs w:val="18"/>
          <w:b w:val="1"/>
          <w:bCs w:val="1"/>
          <w:color w:val="auto"/>
        </w:rPr>
        <w:t>Section 5.05(A)(iii)(1</w:t>
      </w:r>
      <w:r>
        <w:rPr>
          <w:rFonts w:ascii="Times New Roman" w:cs="Times New Roman" w:eastAsia="Times New Roman" w:hAnsi="Times New Roman"/>
          <w:sz w:val="18"/>
          <w:szCs w:val="18"/>
          <w:color w:val="auto"/>
        </w:rPr>
        <w:t>) on account of such separation as if, at the time of such separation, Holdings had made a distribution of the type referred to in such Section to all holders of the Common Stock, subject to potential readjustment in accordance with the last paragraph of</w:t>
      </w:r>
    </w:p>
    <w:p>
      <w:pPr>
        <w:spacing w:after="0" w:line="1"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Section 5.05(A)(iii)(1</w:t>
      </w:r>
      <w:r>
        <w:rPr>
          <w:rFonts w:ascii="Times New Roman" w:cs="Times New Roman" w:eastAsia="Times New Roman" w:hAnsi="Times New Roman"/>
          <w:sz w:val="18"/>
          <w:szCs w:val="18"/>
          <w:color w:val="auto"/>
        </w:rPr>
        <w:t>).</w:t>
      </w:r>
    </w:p>
    <w:p>
      <w:pPr>
        <w:spacing w:after="0" w:line="204" w:lineRule="exact"/>
        <w:rPr>
          <w:rFonts w:ascii="Times New Roman" w:cs="Times New Roman" w:eastAsia="Times New Roman" w:hAnsi="Times New Roman"/>
          <w:sz w:val="18"/>
          <w:szCs w:val="18"/>
          <w:color w:val="auto"/>
        </w:rPr>
      </w:pPr>
    </w:p>
    <w:p>
      <w:pPr>
        <w:ind w:left="4" w:right="120" w:hanging="4"/>
        <w:spacing w:after="0" w:line="267" w:lineRule="auto"/>
        <w:tabs>
          <w:tab w:leader="none" w:pos="299"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Limitation on Effecting Transactions Resulting in Certain Adjustments</w:t>
      </w:r>
      <w:r>
        <w:rPr>
          <w:rFonts w:ascii="Times New Roman" w:cs="Times New Roman" w:eastAsia="Times New Roman" w:hAnsi="Times New Roman"/>
          <w:sz w:val="18"/>
          <w:szCs w:val="18"/>
          <w:color w:val="auto"/>
        </w:rPr>
        <w:t>. The Company and Holdings will not engage in or be a party to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transaction or event that would require the Exchange Rate to be adjusted pursuant to </w:t>
      </w:r>
      <w:r>
        <w:rPr>
          <w:rFonts w:ascii="Times New Roman" w:cs="Times New Roman" w:eastAsia="Times New Roman" w:hAnsi="Times New Roman"/>
          <w:sz w:val="18"/>
          <w:szCs w:val="18"/>
          <w:b w:val="1"/>
          <w:bCs w:val="1"/>
          <w:color w:val="auto"/>
        </w:rPr>
        <w:t>Section 5.05(A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Section 5.07</w:t>
      </w:r>
      <w:r>
        <w:rPr>
          <w:rFonts w:ascii="Times New Roman" w:cs="Times New Roman" w:eastAsia="Times New Roman" w:hAnsi="Times New Roman"/>
          <w:sz w:val="18"/>
          <w:szCs w:val="18"/>
          <w:color w:val="auto"/>
        </w:rPr>
        <w:t xml:space="preserve"> to an amount that would result in the Exchange Price per share of Common Stock being less than the par value per share of Common Stock.</w:t>
      </w:r>
    </w:p>
    <w:p>
      <w:pPr>
        <w:spacing w:after="0" w:line="173" w:lineRule="exact"/>
        <w:rPr>
          <w:rFonts w:ascii="Times New Roman" w:cs="Times New Roman" w:eastAsia="Times New Roman" w:hAnsi="Times New Roman"/>
          <w:sz w:val="18"/>
          <w:szCs w:val="18"/>
          <w:color w:val="auto"/>
        </w:rPr>
      </w:pPr>
    </w:p>
    <w:p>
      <w:pPr>
        <w:ind w:left="4" w:right="40" w:hanging="4"/>
        <w:spacing w:after="0" w:line="257" w:lineRule="auto"/>
        <w:tabs>
          <w:tab w:leader="none" w:pos="299"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Equitable Adjustments to Prices</w:t>
      </w:r>
      <w:r>
        <w:rPr>
          <w:rFonts w:ascii="Times New Roman" w:cs="Times New Roman" w:eastAsia="Times New Roman" w:hAnsi="Times New Roman"/>
          <w:sz w:val="18"/>
          <w:szCs w:val="18"/>
          <w:color w:val="auto"/>
        </w:rPr>
        <w:t>. Whenever any provision of this Indenture requires the Company to calculate the average of the Last Reported Sale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Prices, or any function thereof, over a period of multiple days (including to calculate the Stock Price or an adjustment to the Exchange Rate), or to calculate Daily VWAPs, or any function thereof, over an Observation Period, the Company will make appropriate adjustments, if any, to such calculations to account for any adjustment to the Exchange Rate pursuant to </w:t>
      </w:r>
      <w:r>
        <w:rPr>
          <w:rFonts w:ascii="Times New Roman" w:cs="Times New Roman" w:eastAsia="Times New Roman" w:hAnsi="Times New Roman"/>
          <w:sz w:val="18"/>
          <w:szCs w:val="18"/>
          <w:b w:val="1"/>
          <w:bCs w:val="1"/>
          <w:color w:val="auto"/>
        </w:rPr>
        <w:t>Section 5.05(A</w:t>
      </w:r>
      <w:r>
        <w:rPr>
          <w:rFonts w:ascii="Times New Roman" w:cs="Times New Roman" w:eastAsia="Times New Roman" w:hAnsi="Times New Roman"/>
          <w:sz w:val="18"/>
          <w:szCs w:val="18"/>
          <w:color w:val="auto"/>
        </w:rPr>
        <w:t>) that becomes effective, or any event requiring such an adjustment to the Exchange Rate where the Ex-Dividend Date or effective date, as applicable, of such event occurs, at any time during such period or Observation Period, as applicable.</w:t>
      </w:r>
    </w:p>
    <w:p>
      <w:pPr>
        <w:spacing w:after="0" w:line="180" w:lineRule="exact"/>
        <w:rPr>
          <w:rFonts w:ascii="Times New Roman" w:cs="Times New Roman" w:eastAsia="Times New Roman" w:hAnsi="Times New Roman"/>
          <w:sz w:val="18"/>
          <w:szCs w:val="18"/>
          <w:color w:val="auto"/>
        </w:rPr>
      </w:pPr>
    </w:p>
    <w:p>
      <w:pPr>
        <w:ind w:left="4" w:right="300" w:hanging="4"/>
        <w:spacing w:after="0" w:line="262" w:lineRule="auto"/>
        <w:tabs>
          <w:tab w:leader="none" w:pos="229"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Calculation of Number of Outstanding Shares of Common Stock</w:t>
      </w:r>
      <w:r>
        <w:rPr>
          <w:rFonts w:ascii="Times New Roman" w:cs="Times New Roman" w:eastAsia="Times New Roman" w:hAnsi="Times New Roman"/>
          <w:sz w:val="18"/>
          <w:szCs w:val="18"/>
          <w:color w:val="auto"/>
        </w:rPr>
        <w:t>. For purposes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5.05(A</w:t>
      </w:r>
      <w:r>
        <w:rPr>
          <w:rFonts w:ascii="Times New Roman" w:cs="Times New Roman" w:eastAsia="Times New Roman" w:hAnsi="Times New Roman"/>
          <w:sz w:val="18"/>
          <w:szCs w:val="18"/>
          <w:color w:val="auto"/>
        </w:rPr>
        <w:t>), the number of shares of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at any time will (i) include shares issuable in respect of scrip certificates issued in lieu of fractions of shares of Common Stock; and (ii) exclude shares of Common Stock held in the Company’s treasury (unless the Company pays any dividend or makes any distribution on shares of Common Stock held in its treasury).</w:t>
      </w:r>
    </w:p>
    <w:p>
      <w:pPr>
        <w:spacing w:after="0" w:line="112"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57 -</w:t>
      </w:r>
    </w:p>
    <w:p>
      <w:pPr>
        <w:sectPr>
          <w:pgSz w:w="11900" w:h="16838" w:orient="portrait"/>
          <w:cols w:equalWidth="0" w:num="1">
            <w:col w:w="10984"/>
          </w:cols>
          <w:pgMar w:left="436" w:top="270" w:right="479" w:bottom="1440" w:gutter="0" w:footer="0" w:header="0"/>
        </w:sectPr>
      </w:pPr>
    </w:p>
    <w:bookmarkStart w:id="70" w:name="page71"/>
    <w:bookmarkEnd w:id="70"/>
    <w:p>
      <w:pPr>
        <w:ind w:left="4" w:right="660" w:hanging="4"/>
        <w:spacing w:after="0" w:line="284" w:lineRule="auto"/>
        <w:tabs>
          <w:tab w:leader="none" w:pos="239"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Calculations</w:t>
      </w:r>
      <w:r>
        <w:rPr>
          <w:rFonts w:ascii="Times New Roman" w:cs="Times New Roman" w:eastAsia="Times New Roman" w:hAnsi="Times New Roman"/>
          <w:sz w:val="18"/>
          <w:szCs w:val="18"/>
          <w:color w:val="auto"/>
        </w:rPr>
        <w:t>. All calculations with respect to the Exchange Rate and adjustments thereto will be made to the nearest 1/10,000th of a share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(with 5/100,000ths rounded upward).</w:t>
      </w:r>
    </w:p>
    <w:p>
      <w:pPr>
        <w:spacing w:after="0" w:line="156" w:lineRule="exact"/>
        <w:rPr>
          <w:rFonts w:ascii="Times New Roman" w:cs="Times New Roman" w:eastAsia="Times New Roman" w:hAnsi="Times New Roman"/>
          <w:sz w:val="18"/>
          <w:szCs w:val="18"/>
          <w:color w:val="auto"/>
        </w:rPr>
      </w:pPr>
    </w:p>
    <w:p>
      <w:pPr>
        <w:ind w:left="4" w:right="260" w:hanging="4"/>
        <w:spacing w:after="0" w:line="262" w:lineRule="auto"/>
        <w:tabs>
          <w:tab w:leader="none" w:pos="299"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 of Exchange Rate Adjustments</w:t>
      </w:r>
      <w:r>
        <w:rPr>
          <w:rFonts w:ascii="Times New Roman" w:cs="Times New Roman" w:eastAsia="Times New Roman" w:hAnsi="Times New Roman"/>
          <w:sz w:val="18"/>
          <w:szCs w:val="18"/>
          <w:color w:val="auto"/>
        </w:rPr>
        <w:t>. Upon the effectiveness of any adjustment to the Exchange Rate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5.05(A</w:t>
      </w:r>
      <w:r>
        <w:rPr>
          <w:rFonts w:ascii="Times New Roman" w:cs="Times New Roman" w:eastAsia="Times New Roman" w:hAnsi="Times New Roman"/>
          <w:sz w:val="18"/>
          <w:szCs w:val="18"/>
          <w:color w:val="auto"/>
        </w:rPr>
        <w:t>),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promptly send notice to the Holders, the Trustee and the Exchange Agent containing (i) a brief description of the transaction or other event on account of which such adjustment was made; (ii) the Exchange Rate in effect immediately after such adjustment; and (iii) the effective time of such adjustment.</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5.06. V</w:t>
      </w:r>
      <w:r>
        <w:rPr>
          <w:rFonts w:ascii="Times New Roman" w:cs="Times New Roman" w:eastAsia="Times New Roman" w:hAnsi="Times New Roman"/>
          <w:sz w:val="14"/>
          <w:szCs w:val="14"/>
          <w:b w:val="1"/>
          <w:bCs w:val="1"/>
          <w:color w:val="auto"/>
        </w:rPr>
        <w:t>OLUNTARY</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DJUSTMENTS</w:t>
      </w:r>
      <w:r>
        <w:rPr>
          <w:rFonts w:ascii="Times New Roman" w:cs="Times New Roman" w:eastAsia="Times New Roman" w:hAnsi="Times New Roman"/>
          <w:sz w:val="18"/>
          <w:szCs w:val="18"/>
          <w:b w:val="1"/>
          <w:bCs w:val="1"/>
          <w:color w:val="auto"/>
        </w:rPr>
        <w:t>.</w:t>
      </w:r>
    </w:p>
    <w:p>
      <w:pPr>
        <w:spacing w:after="0" w:line="119" w:lineRule="exact"/>
        <w:rPr>
          <w:sz w:val="20"/>
          <w:szCs w:val="20"/>
          <w:color w:val="auto"/>
        </w:rPr>
      </w:pPr>
    </w:p>
    <w:p>
      <w:pPr>
        <w:ind w:left="4" w:right="20" w:hanging="4"/>
        <w:spacing w:after="0" w:line="258" w:lineRule="auto"/>
        <w:tabs>
          <w:tab w:leader="none" w:pos="299"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 To the extent permitted by law and applicable stock exchange rules, the Company, from time to time, may (but is not required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the Exchange Rate by any amount if (i) the Company’s or Holdings’ Board of Directors determines that such increase is either (x) in the best interest of the Company or Holdings; or (y) advisable to avoid or diminish any income tax imposed on holders of Common Stock or rights to purchase Common Stock as a result of any dividend or distribution of shares (or rights to acquire shares) of Common Stock or any similar event; (ii) such increase is in effect for a period of at least twenty (20) Business Days; and (iii) such increase is irrevocable during such period.</w:t>
      </w:r>
    </w:p>
    <w:p>
      <w:pPr>
        <w:spacing w:after="0" w:line="181" w:lineRule="exact"/>
        <w:rPr>
          <w:rFonts w:ascii="Times New Roman" w:cs="Times New Roman" w:eastAsia="Times New Roman" w:hAnsi="Times New Roman"/>
          <w:sz w:val="18"/>
          <w:szCs w:val="18"/>
          <w:color w:val="auto"/>
        </w:rPr>
      </w:pPr>
    </w:p>
    <w:p>
      <w:pPr>
        <w:jc w:val="both"/>
        <w:ind w:left="4" w:right="180" w:hanging="4"/>
        <w:spacing w:after="0" w:line="268" w:lineRule="auto"/>
        <w:tabs>
          <w:tab w:leader="none" w:pos="289"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 of Voluntary Increases</w:t>
      </w:r>
      <w:r>
        <w:rPr>
          <w:rFonts w:ascii="Times New Roman" w:cs="Times New Roman" w:eastAsia="Times New Roman" w:hAnsi="Times New Roman"/>
          <w:sz w:val="18"/>
          <w:szCs w:val="18"/>
          <w:color w:val="auto"/>
        </w:rPr>
        <w:t>. If the Board of Directors determines to increase the Exchange Rate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5.06(A)</w:t>
      </w:r>
      <w:r>
        <w:rPr>
          <w:rFonts w:ascii="Times New Roman" w:cs="Times New Roman" w:eastAsia="Times New Roman" w:hAnsi="Times New Roman"/>
          <w:sz w:val="18"/>
          <w:szCs w:val="18"/>
          <w:color w:val="auto"/>
        </w:rPr>
        <w:t>, then, no later than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first Business Day of the related twenty (20) Business Day period referred to in </w:t>
      </w:r>
      <w:r>
        <w:rPr>
          <w:rFonts w:ascii="Times New Roman" w:cs="Times New Roman" w:eastAsia="Times New Roman" w:hAnsi="Times New Roman"/>
          <w:sz w:val="18"/>
          <w:szCs w:val="18"/>
          <w:b w:val="1"/>
          <w:bCs w:val="1"/>
          <w:color w:val="auto"/>
        </w:rPr>
        <w:t>Section 5.06(A)</w:t>
      </w:r>
      <w:r>
        <w:rPr>
          <w:rFonts w:ascii="Times New Roman" w:cs="Times New Roman" w:eastAsia="Times New Roman" w:hAnsi="Times New Roman"/>
          <w:sz w:val="18"/>
          <w:szCs w:val="18"/>
          <w:color w:val="auto"/>
        </w:rPr>
        <w:t>, the Company will send notice to each Holder, the Trustee and the Exchange Agent of such increase, the amount thereof and the period during which such increase will be in effect.</w:t>
      </w:r>
    </w:p>
    <w:p>
      <w:pPr>
        <w:spacing w:after="0" w:line="27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5.07. A</w:t>
      </w:r>
      <w:r>
        <w:rPr>
          <w:rFonts w:ascii="Times New Roman" w:cs="Times New Roman" w:eastAsia="Times New Roman" w:hAnsi="Times New Roman"/>
          <w:sz w:val="14"/>
          <w:szCs w:val="14"/>
          <w:b w:val="1"/>
          <w:bCs w:val="1"/>
          <w:color w:val="auto"/>
        </w:rPr>
        <w:t>DJUSTMENTS TO THE</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XCHANGE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ATE IN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ONNECTION WITH A</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4"/>
          <w:szCs w:val="14"/>
          <w:b w:val="1"/>
          <w:bCs w:val="1"/>
          <w:color w:val="auto"/>
        </w:rPr>
        <w:t>AKE</w:t>
      </w: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4"/>
          <w:szCs w:val="14"/>
          <w:b w:val="1"/>
          <w:bCs w:val="1"/>
          <w:color w:val="auto"/>
        </w:rPr>
        <w:t>HOLE</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4"/>
          <w:szCs w:val="14"/>
          <w:b w:val="1"/>
          <w:bCs w:val="1"/>
          <w:color w:val="auto"/>
        </w:rPr>
        <w:t>UNDAMENTAL</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HANGE</w:t>
      </w:r>
      <w:r>
        <w:rPr>
          <w:rFonts w:ascii="Times New Roman" w:cs="Times New Roman" w:eastAsia="Times New Roman" w:hAnsi="Times New Roman"/>
          <w:sz w:val="18"/>
          <w:szCs w:val="18"/>
          <w:b w:val="1"/>
          <w:bCs w:val="1"/>
          <w:color w:val="auto"/>
        </w:rPr>
        <w:t>.</w:t>
      </w:r>
    </w:p>
    <w:p>
      <w:pPr>
        <w:spacing w:after="0" w:line="119" w:lineRule="exact"/>
        <w:rPr>
          <w:sz w:val="20"/>
          <w:szCs w:val="20"/>
          <w:color w:val="auto"/>
        </w:rPr>
      </w:pPr>
    </w:p>
    <w:p>
      <w:pPr>
        <w:jc w:val="both"/>
        <w:ind w:left="4" w:right="20" w:hanging="4"/>
        <w:spacing w:after="0" w:line="261" w:lineRule="auto"/>
        <w:tabs>
          <w:tab w:leader="none" w:pos="299"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 If a Make-Whole Fundamental Change occurs and the Exchange Date for the Exchange of a Note occurs during the related Make-Whole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Fundamental Change Exchange Period, then, subject to this </w:t>
      </w:r>
      <w:r>
        <w:rPr>
          <w:rFonts w:ascii="Times New Roman" w:cs="Times New Roman" w:eastAsia="Times New Roman" w:hAnsi="Times New Roman"/>
          <w:sz w:val="18"/>
          <w:szCs w:val="18"/>
          <w:b w:val="1"/>
          <w:bCs w:val="1"/>
          <w:color w:val="auto"/>
        </w:rPr>
        <w:t>Section 5.07</w:t>
      </w:r>
      <w:r>
        <w:rPr>
          <w:rFonts w:ascii="Times New Roman" w:cs="Times New Roman" w:eastAsia="Times New Roman" w:hAnsi="Times New Roman"/>
          <w:sz w:val="18"/>
          <w:szCs w:val="18"/>
          <w:color w:val="auto"/>
        </w:rPr>
        <w:t>, the Exchange Rate applicable to such Exchange will be increased by a number of shares (the “</w:t>
      </w:r>
      <w:r>
        <w:rPr>
          <w:rFonts w:ascii="Times New Roman" w:cs="Times New Roman" w:eastAsia="Times New Roman" w:hAnsi="Times New Roman"/>
          <w:sz w:val="18"/>
          <w:szCs w:val="18"/>
          <w:b w:val="1"/>
          <w:bCs w:val="1"/>
          <w:color w:val="auto"/>
        </w:rPr>
        <w:t>Additional Shares</w:t>
      </w:r>
      <w:r>
        <w:rPr>
          <w:rFonts w:ascii="Times New Roman" w:cs="Times New Roman" w:eastAsia="Times New Roman" w:hAnsi="Times New Roman"/>
          <w:sz w:val="18"/>
          <w:szCs w:val="18"/>
          <w:color w:val="auto"/>
        </w:rPr>
        <w:t>”) set forth in the table below corresponding (after interpolation as provided in, and subject to, the provisions below) to the Make-Whole Fundamental Change Effective Date and the Stock Price of such Make-Whole Fundamental Change:</w:t>
      </w:r>
    </w:p>
    <w:p>
      <w:pPr>
        <w:spacing w:after="0" w:line="190"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Make-Whole</w:t>
            </w: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Stock Price</w:t>
            </w: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24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Fundamental</w:t>
            </w:r>
          </w:p>
        </w:tc>
        <w:tc>
          <w:tcPr>
            <w:tcW w:w="5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3"/>
            <w:vMerge w:val="continue"/>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24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Change</w:t>
            </w: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Effective Date</w:t>
            </w:r>
          </w:p>
        </w:tc>
        <w:tc>
          <w:tcPr>
            <w:tcW w:w="2360" w:type="dxa"/>
            <w:vAlign w:val="bottom"/>
          </w:tcPr>
          <w:p>
            <w:pPr>
              <w:spacing w:after="0"/>
              <w:rPr>
                <w:sz w:val="16"/>
                <w:szCs w:val="16"/>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$93.74</w:t>
            </w:r>
          </w:p>
        </w:tc>
        <w:tc>
          <w:tcPr>
            <w:tcW w:w="160" w:type="dxa"/>
            <w:vAlign w:val="bottom"/>
          </w:tcPr>
          <w:p>
            <w:pPr>
              <w:spacing w:after="0"/>
              <w:rPr>
                <w:sz w:val="16"/>
                <w:szCs w:val="16"/>
                <w:color w:val="auto"/>
              </w:rPr>
            </w:pPr>
          </w:p>
        </w:tc>
        <w:tc>
          <w:tcPr>
            <w:tcW w:w="560" w:type="dxa"/>
            <w:vAlign w:val="bottom"/>
          </w:tcPr>
          <w:p>
            <w:pPr>
              <w:ind w:left="40"/>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105.00</w:t>
            </w:r>
          </w:p>
        </w:tc>
        <w:tc>
          <w:tcPr>
            <w:tcW w:w="160" w:type="dxa"/>
            <w:vAlign w:val="bottom"/>
          </w:tcPr>
          <w:p>
            <w:pPr>
              <w:spacing w:after="0"/>
              <w:rPr>
                <w:sz w:val="16"/>
                <w:szCs w:val="16"/>
                <w:color w:val="auto"/>
              </w:rPr>
            </w:pPr>
          </w:p>
        </w:tc>
        <w:tc>
          <w:tcPr>
            <w:tcW w:w="560" w:type="dxa"/>
            <w:vAlign w:val="bottom"/>
          </w:tcPr>
          <w:p>
            <w:pPr>
              <w:ind w:left="40"/>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121.86</w:t>
            </w:r>
          </w:p>
        </w:tc>
        <w:tc>
          <w:tcPr>
            <w:tcW w:w="4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140.00</w:t>
            </w:r>
          </w:p>
        </w:tc>
        <w:tc>
          <w:tcPr>
            <w:tcW w:w="180" w:type="dxa"/>
            <w:vAlign w:val="bottom"/>
          </w:tcPr>
          <w:p>
            <w:pPr>
              <w:spacing w:after="0"/>
              <w:rPr>
                <w:sz w:val="16"/>
                <w:szCs w:val="16"/>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158.42</w:t>
            </w:r>
          </w:p>
        </w:tc>
        <w:tc>
          <w:tcPr>
            <w:tcW w:w="40" w:type="dxa"/>
            <w:vAlign w:val="bottom"/>
          </w:tcPr>
          <w:p>
            <w:pPr>
              <w:spacing w:after="0"/>
              <w:rPr>
                <w:sz w:val="16"/>
                <w:szCs w:val="16"/>
                <w:color w:val="auto"/>
              </w:rPr>
            </w:pPr>
          </w:p>
        </w:tc>
        <w:tc>
          <w:tcPr>
            <w:tcW w:w="6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200.00</w:t>
            </w:r>
          </w:p>
        </w:tc>
        <w:tc>
          <w:tcPr>
            <w:tcW w:w="160" w:type="dxa"/>
            <w:vAlign w:val="bottom"/>
          </w:tcPr>
          <w:p>
            <w:pPr>
              <w:spacing w:after="0"/>
              <w:rPr>
                <w:sz w:val="16"/>
                <w:szCs w:val="16"/>
                <w:color w:val="auto"/>
              </w:rPr>
            </w:pPr>
          </w:p>
        </w:tc>
        <w:tc>
          <w:tcPr>
            <w:tcW w:w="560" w:type="dxa"/>
            <w:vAlign w:val="bottom"/>
          </w:tcPr>
          <w:p>
            <w:pPr>
              <w:ind w:left="40"/>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250.00</w:t>
            </w:r>
          </w:p>
        </w:tc>
        <w:tc>
          <w:tcPr>
            <w:tcW w:w="160" w:type="dxa"/>
            <w:vAlign w:val="bottom"/>
          </w:tcPr>
          <w:p>
            <w:pPr>
              <w:spacing w:after="0"/>
              <w:rPr>
                <w:sz w:val="16"/>
                <w:szCs w:val="16"/>
                <w:color w:val="auto"/>
              </w:rPr>
            </w:pPr>
          </w:p>
        </w:tc>
        <w:tc>
          <w:tcPr>
            <w:tcW w:w="560" w:type="dxa"/>
            <w:vAlign w:val="bottom"/>
          </w:tcPr>
          <w:p>
            <w:pPr>
              <w:ind w:left="40"/>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300.00</w:t>
            </w:r>
          </w:p>
        </w:tc>
        <w:tc>
          <w:tcPr>
            <w:tcW w:w="160" w:type="dxa"/>
            <w:vAlign w:val="bottom"/>
          </w:tcPr>
          <w:p>
            <w:pPr>
              <w:spacing w:after="0"/>
              <w:rPr>
                <w:sz w:val="16"/>
                <w:szCs w:val="16"/>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350.00</w:t>
            </w:r>
          </w:p>
        </w:tc>
        <w:tc>
          <w:tcPr>
            <w:tcW w:w="160" w:type="dxa"/>
            <w:vAlign w:val="bottom"/>
          </w:tcPr>
          <w:p>
            <w:pPr>
              <w:spacing w:after="0"/>
              <w:rPr>
                <w:sz w:val="16"/>
                <w:szCs w:val="16"/>
                <w:color w:val="auto"/>
              </w:rPr>
            </w:pPr>
          </w:p>
        </w:tc>
        <w:tc>
          <w:tcPr>
            <w:tcW w:w="560" w:type="dxa"/>
            <w:vAlign w:val="bottom"/>
          </w:tcPr>
          <w:p>
            <w:pPr>
              <w:ind w:left="60"/>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450.00</w:t>
            </w:r>
          </w:p>
        </w:tc>
        <w:tc>
          <w:tcPr>
            <w:tcW w:w="160" w:type="dxa"/>
            <w:vAlign w:val="bottom"/>
          </w:tcPr>
          <w:p>
            <w:pPr>
              <w:spacing w:after="0"/>
              <w:rPr>
                <w:sz w:val="16"/>
                <w:szCs w:val="16"/>
                <w:color w:val="auto"/>
              </w:rPr>
            </w:pPr>
          </w:p>
        </w:tc>
        <w:tc>
          <w:tcPr>
            <w:tcW w:w="560" w:type="dxa"/>
            <w:vAlign w:val="bottom"/>
          </w:tcPr>
          <w:p>
            <w:pPr>
              <w:ind w:left="40"/>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550.00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2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May 23, 2024</w:t>
            </w:r>
          </w:p>
        </w:tc>
        <w:tc>
          <w:tcPr>
            <w:tcW w:w="56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6"/>
              </w:rPr>
              <w:t>2.4618</w:t>
            </w:r>
          </w:p>
        </w:tc>
        <w:tc>
          <w:tcPr>
            <w:tcW w:w="1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6"/>
              </w:rPr>
              <w:t>1.8460</w:t>
            </w:r>
          </w:p>
        </w:tc>
        <w:tc>
          <w:tcPr>
            <w:tcW w:w="1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6"/>
              </w:rPr>
              <w:t>1.2418</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2"/>
              </w:rPr>
              <w:t>0.8466</w:t>
            </w:r>
          </w:p>
        </w:tc>
        <w:tc>
          <w:tcPr>
            <w:tcW w:w="1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2"/>
              </w:rPr>
              <w:t>0.5982</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6"/>
              </w:rPr>
              <w:t>0.3101</w:t>
            </w:r>
          </w:p>
        </w:tc>
        <w:tc>
          <w:tcPr>
            <w:tcW w:w="1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6"/>
              </w:rPr>
              <w:t>0.1638</w:t>
            </w:r>
          </w:p>
        </w:tc>
        <w:tc>
          <w:tcPr>
            <w:tcW w:w="1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6"/>
              </w:rPr>
              <w:t>0.0932</w:t>
            </w:r>
          </w:p>
        </w:tc>
        <w:tc>
          <w:tcPr>
            <w:tcW w:w="1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2"/>
              </w:rPr>
              <w:t>0.0533</w:t>
            </w:r>
          </w:p>
        </w:tc>
        <w:tc>
          <w:tcPr>
            <w:tcW w:w="1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6"/>
              </w:rPr>
              <w:t>0.0134</w:t>
            </w:r>
          </w:p>
        </w:tc>
        <w:tc>
          <w:tcPr>
            <w:tcW w:w="1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6"/>
              </w:rPr>
              <w:t>0.0000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1, 2025</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2.4618</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1.8333</w:t>
            </w: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1.1915</w:t>
            </w:r>
          </w:p>
        </w:tc>
        <w:tc>
          <w:tcPr>
            <w:tcW w:w="8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0.7832</w:t>
            </w:r>
          </w:p>
        </w:tc>
        <w:tc>
          <w:tcPr>
            <w:tcW w:w="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0.5359</w:t>
            </w:r>
          </w:p>
        </w:tc>
        <w:tc>
          <w:tcPr>
            <w:tcW w:w="8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0.2652</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0.1379</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0.0787</w:t>
            </w: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0.0453</w:t>
            </w:r>
          </w:p>
        </w:tc>
        <w:tc>
          <w:tcPr>
            <w:tcW w:w="7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0.0115</w:t>
            </w: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0.0000</w:t>
            </w: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1, 2026</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2.4618</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1.7639</w:t>
            </w:r>
          </w:p>
        </w:tc>
        <w:tc>
          <w:tcPr>
            <w:tcW w:w="6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1.0881</w:t>
            </w:r>
          </w:p>
        </w:tc>
        <w:tc>
          <w:tcPr>
            <w:tcW w:w="8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0.6758</w:t>
            </w:r>
          </w:p>
        </w:tc>
        <w:tc>
          <w:tcPr>
            <w:tcW w:w="5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0.4400</w:t>
            </w:r>
          </w:p>
        </w:tc>
        <w:tc>
          <w:tcPr>
            <w:tcW w:w="8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0.2042</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0.1051</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0.0607</w:t>
            </w:r>
          </w:p>
        </w:tc>
        <w:tc>
          <w:tcPr>
            <w:tcW w:w="7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0.0352</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0.0087</w:t>
            </w:r>
          </w:p>
        </w:tc>
        <w:tc>
          <w:tcPr>
            <w:tcW w:w="6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0.0000</w:t>
            </w:r>
          </w:p>
        </w:tc>
        <w:tc>
          <w:tcPr>
            <w:tcW w:w="0" w:type="dxa"/>
            <w:vAlign w:val="bottom"/>
          </w:tcPr>
          <w:p>
            <w:pPr>
              <w:spacing w:after="0"/>
              <w:rPr>
                <w:sz w:val="1"/>
                <w:szCs w:val="1"/>
                <w:color w:val="auto"/>
              </w:rPr>
            </w:pPr>
          </w:p>
        </w:tc>
      </w:tr>
      <w:tr>
        <w:trPr>
          <w:trHeight w:val="216"/>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1, 2027</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2.4618</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1.6445</w:t>
            </w: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0.9280</w:t>
            </w:r>
          </w:p>
        </w:tc>
        <w:tc>
          <w:tcPr>
            <w:tcW w:w="8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0.5214</w:t>
            </w:r>
          </w:p>
        </w:tc>
        <w:tc>
          <w:tcPr>
            <w:tcW w:w="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0.3117</w:t>
            </w:r>
          </w:p>
        </w:tc>
        <w:tc>
          <w:tcPr>
            <w:tcW w:w="8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0.1329</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0.0695</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0.0413</w:t>
            </w: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0.0241</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0.0054</w:t>
            </w: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0.0000</w:t>
            </w: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1, 2028</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2.4618</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1.4764</w:t>
            </w:r>
          </w:p>
        </w:tc>
        <w:tc>
          <w:tcPr>
            <w:tcW w:w="6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0.6831</w:t>
            </w:r>
          </w:p>
        </w:tc>
        <w:tc>
          <w:tcPr>
            <w:tcW w:w="8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0.3019</w:t>
            </w:r>
          </w:p>
        </w:tc>
        <w:tc>
          <w:tcPr>
            <w:tcW w:w="5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0.1513</w:t>
            </w:r>
          </w:p>
        </w:tc>
        <w:tc>
          <w:tcPr>
            <w:tcW w:w="8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0.0608</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0.0348</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0.0217</w:t>
            </w:r>
          </w:p>
        </w:tc>
        <w:tc>
          <w:tcPr>
            <w:tcW w:w="7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0.0128</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0.0023</w:t>
            </w:r>
          </w:p>
        </w:tc>
        <w:tc>
          <w:tcPr>
            <w:tcW w:w="6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0.0000</w:t>
            </w:r>
          </w:p>
        </w:tc>
        <w:tc>
          <w:tcPr>
            <w:tcW w:w="0" w:type="dxa"/>
            <w:vAlign w:val="bottom"/>
          </w:tcPr>
          <w:p>
            <w:pPr>
              <w:spacing w:after="0"/>
              <w:rPr>
                <w:sz w:val="1"/>
                <w:szCs w:val="1"/>
                <w:color w:val="auto"/>
              </w:rPr>
            </w:pPr>
          </w:p>
        </w:tc>
      </w:tr>
      <w:tr>
        <w:trPr>
          <w:trHeight w:val="234"/>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1, 2029</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2.4618</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1.3178</w:t>
            </w: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0.0000</w:t>
            </w:r>
          </w:p>
        </w:tc>
        <w:tc>
          <w:tcPr>
            <w:tcW w:w="8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0.0000</w:t>
            </w:r>
          </w:p>
        </w:tc>
        <w:tc>
          <w:tcPr>
            <w:tcW w:w="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0.0000</w:t>
            </w:r>
          </w:p>
        </w:tc>
        <w:tc>
          <w:tcPr>
            <w:tcW w:w="8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0.0000</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0.0000</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0.0000</w:t>
            </w: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0.0000</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0.0000</w:t>
            </w: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0.0000</w:t>
            </w:r>
          </w:p>
        </w:tc>
        <w:tc>
          <w:tcPr>
            <w:tcW w:w="0" w:type="dxa"/>
            <w:vAlign w:val="bottom"/>
          </w:tcPr>
          <w:p>
            <w:pPr>
              <w:spacing w:after="0"/>
              <w:rPr>
                <w:sz w:val="1"/>
                <w:szCs w:val="1"/>
                <w:color w:val="auto"/>
              </w:rPr>
            </w:pPr>
          </w:p>
        </w:tc>
      </w:tr>
      <w:tr>
        <w:trPr>
          <w:trHeight w:val="346"/>
        </w:trPr>
        <w:tc>
          <w:tcPr>
            <w:tcW w:w="8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- 58 -</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4"/>
          </w:cols>
          <w:pgMar w:left="436" w:top="268" w:right="439" w:bottom="1440" w:gutter="0" w:footer="0" w:header="0"/>
        </w:sectPr>
      </w:pPr>
    </w:p>
    <w:bookmarkStart w:id="71" w:name="page72"/>
    <w:bookmarkEnd w:id="71"/>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such Make-Whole Fundamental Change Effective Date or Stock Price is not set forth in the table above, then:</w:t>
      </w:r>
    </w:p>
    <w:p>
      <w:pPr>
        <w:spacing w:after="0" w:line="225" w:lineRule="exact"/>
        <w:rPr>
          <w:sz w:val="20"/>
          <w:szCs w:val="20"/>
          <w:color w:val="auto"/>
        </w:rPr>
      </w:pPr>
    </w:p>
    <w:p>
      <w:pPr>
        <w:ind w:left="4" w:right="180" w:hanging="4"/>
        <w:spacing w:after="0" w:line="261" w:lineRule="auto"/>
        <w:tabs>
          <w:tab w:leader="none" w:pos="219"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Stock Price is between two Stock Prices in the table above or the Make-Whole Fundamental Change Effective Date is between two dates in the table above, then the number of Additional Shares will be determined by straight-line interpolation between the numbers of Additional Shares set forth for the higher and lower Stock Prices in the table above or the earlier and later dates in the table above, based on a 365- or 366-day year, as applicable; and</w:t>
      </w:r>
    </w:p>
    <w:p>
      <w:pPr>
        <w:spacing w:after="0" w:line="179" w:lineRule="exact"/>
        <w:rPr>
          <w:rFonts w:ascii="Times New Roman" w:cs="Times New Roman" w:eastAsia="Times New Roman" w:hAnsi="Times New Roman"/>
          <w:sz w:val="18"/>
          <w:szCs w:val="18"/>
          <w:color w:val="auto"/>
        </w:rPr>
      </w:pPr>
    </w:p>
    <w:p>
      <w:pPr>
        <w:ind w:left="4" w:right="80" w:hanging="4"/>
        <w:spacing w:after="0" w:line="266" w:lineRule="auto"/>
        <w:tabs>
          <w:tab w:leader="none" w:pos="269"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Stock Price is greater than $550.00 (subject to adjustment in the same manner as the Stock Prices set forth in the column headings of the table above are adjusted pursuant to </w:t>
      </w:r>
      <w:r>
        <w:rPr>
          <w:rFonts w:ascii="Times New Roman" w:cs="Times New Roman" w:eastAsia="Times New Roman" w:hAnsi="Times New Roman"/>
          <w:sz w:val="18"/>
          <w:szCs w:val="18"/>
          <w:b w:val="1"/>
          <w:bCs w:val="1"/>
          <w:color w:val="auto"/>
        </w:rPr>
        <w:t>Section 5.07(B</w:t>
      </w:r>
      <w:r>
        <w:rPr>
          <w:rFonts w:ascii="Times New Roman" w:cs="Times New Roman" w:eastAsia="Times New Roman" w:hAnsi="Times New Roman"/>
          <w:sz w:val="18"/>
          <w:szCs w:val="18"/>
          <w:color w:val="auto"/>
        </w:rPr>
        <w:t>)), or less than $93.74 (subject to adjustment in the same manner), per share, then no Additional Shares will be added to the Exchange Rate.</w:t>
      </w:r>
    </w:p>
    <w:p>
      <w:pPr>
        <w:spacing w:after="0" w:line="176" w:lineRule="exact"/>
        <w:rPr>
          <w:sz w:val="20"/>
          <w:szCs w:val="20"/>
          <w:color w:val="auto"/>
        </w:rPr>
      </w:pPr>
    </w:p>
    <w:p>
      <w:pPr>
        <w:ind w:left="4" w:right="1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Notwithstanding anything to the contrary in this Indenture or the Notes, in no event will the Exchange Rate be increased to an amount that exceeds 10.6678 shares of Common Stock per $1,000 principal amount of Notes, which amount is subject to adjustment in the same manner as, and at the same time and for the same events for which, the Exchange Rate is required to be adjusted pursuant to </w:t>
      </w:r>
      <w:r>
        <w:rPr>
          <w:rFonts w:ascii="Times New Roman" w:cs="Times New Roman" w:eastAsia="Times New Roman" w:hAnsi="Times New Roman"/>
          <w:sz w:val="18"/>
          <w:szCs w:val="18"/>
          <w:b w:val="1"/>
          <w:bCs w:val="1"/>
          <w:color w:val="auto"/>
        </w:rPr>
        <w:t>Section 5.05(A</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4" w:firstLine="440"/>
        <w:spacing w:after="0" w:line="262" w:lineRule="auto"/>
        <w:rPr>
          <w:sz w:val="20"/>
          <w:szCs w:val="20"/>
          <w:color w:val="auto"/>
        </w:rPr>
      </w:pPr>
      <w:r>
        <w:rPr>
          <w:rFonts w:ascii="Times New Roman" w:cs="Times New Roman" w:eastAsia="Times New Roman" w:hAnsi="Times New Roman"/>
          <w:sz w:val="18"/>
          <w:szCs w:val="18"/>
          <w:color w:val="auto"/>
        </w:rPr>
        <w:t xml:space="preserve">For the avoidance of doubt, but subject to </w:t>
      </w:r>
      <w:r>
        <w:rPr>
          <w:rFonts w:ascii="Times New Roman" w:cs="Times New Roman" w:eastAsia="Times New Roman" w:hAnsi="Times New Roman"/>
          <w:sz w:val="18"/>
          <w:szCs w:val="18"/>
          <w:b w:val="1"/>
          <w:bCs w:val="1"/>
          <w:color w:val="auto"/>
        </w:rPr>
        <w:t>Section 4.03(I</w:t>
      </w:r>
      <w:r>
        <w:rPr>
          <w:rFonts w:ascii="Times New Roman" w:cs="Times New Roman" w:eastAsia="Times New Roman" w:hAnsi="Times New Roman"/>
          <w:sz w:val="18"/>
          <w:szCs w:val="18"/>
          <w:color w:val="auto"/>
        </w:rPr>
        <w:t xml:space="preserve">), (x) the sending of a Redemption Notice will constitute a Make-Whole Fundamental Change only with respect to the Notes called (or deemed called) for Redemption pursuant to such Redemption Notice, and not with respect to any other Notes; and (y) the Exchange Rate applicable to the Notes not so called (or deemed called) for Redemption will not be subject to increase pursuant to this </w:t>
      </w:r>
      <w:r>
        <w:rPr>
          <w:rFonts w:ascii="Times New Roman" w:cs="Times New Roman" w:eastAsia="Times New Roman" w:hAnsi="Times New Roman"/>
          <w:sz w:val="18"/>
          <w:szCs w:val="18"/>
          <w:b w:val="1"/>
          <w:bCs w:val="1"/>
          <w:color w:val="auto"/>
        </w:rPr>
        <w:t xml:space="preserve">Section 5.07 </w:t>
      </w:r>
      <w:r>
        <w:rPr>
          <w:rFonts w:ascii="Times New Roman" w:cs="Times New Roman" w:eastAsia="Times New Roman" w:hAnsi="Times New Roman"/>
          <w:sz w:val="18"/>
          <w:szCs w:val="18"/>
          <w:color w:val="auto"/>
        </w:rPr>
        <w:t>on account of such Redemption Notice.</w:t>
      </w:r>
    </w:p>
    <w:p>
      <w:pPr>
        <w:spacing w:after="0" w:line="178" w:lineRule="exact"/>
        <w:rPr>
          <w:sz w:val="20"/>
          <w:szCs w:val="20"/>
          <w:color w:val="auto"/>
        </w:rPr>
      </w:pPr>
    </w:p>
    <w:p>
      <w:pPr>
        <w:jc w:val="both"/>
        <w:ind w:left="4" w:right="320" w:hanging="4"/>
        <w:spacing w:after="0" w:line="261" w:lineRule="auto"/>
        <w:tabs>
          <w:tab w:leader="none" w:pos="289"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Adjustment of Stock Prices and Number of Additional Shares</w:t>
      </w:r>
      <w:r>
        <w:rPr>
          <w:rFonts w:ascii="Times New Roman" w:cs="Times New Roman" w:eastAsia="Times New Roman" w:hAnsi="Times New Roman"/>
          <w:sz w:val="18"/>
          <w:szCs w:val="18"/>
          <w:color w:val="auto"/>
        </w:rPr>
        <w:t>. The Stock Prices in the first row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column headers) of the table set forth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5.07(A</w:t>
      </w:r>
      <w:r>
        <w:rPr>
          <w:rFonts w:ascii="Times New Roman" w:cs="Times New Roman" w:eastAsia="Times New Roman" w:hAnsi="Times New Roman"/>
          <w:sz w:val="18"/>
          <w:szCs w:val="18"/>
          <w:color w:val="auto"/>
        </w:rPr>
        <w:t>) will be adjusted in the same manner as, and at the same time and for the same events for which, the Exchange Price is adjusted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result of the operation of </w:t>
      </w:r>
      <w:r>
        <w:rPr>
          <w:rFonts w:ascii="Times New Roman" w:cs="Times New Roman" w:eastAsia="Times New Roman" w:hAnsi="Times New Roman"/>
          <w:sz w:val="18"/>
          <w:szCs w:val="18"/>
          <w:b w:val="1"/>
          <w:bCs w:val="1"/>
          <w:color w:val="auto"/>
        </w:rPr>
        <w:t>Section 5.05(A</w:t>
      </w:r>
      <w:r>
        <w:rPr>
          <w:rFonts w:ascii="Times New Roman" w:cs="Times New Roman" w:eastAsia="Times New Roman" w:hAnsi="Times New Roman"/>
          <w:sz w:val="18"/>
          <w:szCs w:val="18"/>
          <w:color w:val="auto"/>
        </w:rPr>
        <w:t xml:space="preserve">). The numbers of Additional Shares in the table set forth in </w:t>
      </w:r>
      <w:r>
        <w:rPr>
          <w:rFonts w:ascii="Times New Roman" w:cs="Times New Roman" w:eastAsia="Times New Roman" w:hAnsi="Times New Roman"/>
          <w:sz w:val="18"/>
          <w:szCs w:val="18"/>
          <w:b w:val="1"/>
          <w:bCs w:val="1"/>
          <w:color w:val="auto"/>
        </w:rPr>
        <w:t>Section 5.07(A</w:t>
      </w:r>
      <w:r>
        <w:rPr>
          <w:rFonts w:ascii="Times New Roman" w:cs="Times New Roman" w:eastAsia="Times New Roman" w:hAnsi="Times New Roman"/>
          <w:sz w:val="18"/>
          <w:szCs w:val="18"/>
          <w:color w:val="auto"/>
        </w:rPr>
        <w:t xml:space="preserve">) will be adjusted in the same manner as, and at the same time and for the same events for which, the Exchange Rate is adjusted pursuant to </w:t>
      </w:r>
      <w:r>
        <w:rPr>
          <w:rFonts w:ascii="Times New Roman" w:cs="Times New Roman" w:eastAsia="Times New Roman" w:hAnsi="Times New Roman"/>
          <w:sz w:val="18"/>
          <w:szCs w:val="18"/>
          <w:b w:val="1"/>
          <w:bCs w:val="1"/>
          <w:color w:val="auto"/>
        </w:rPr>
        <w:t>Section 5.05(A</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4" w:right="320" w:hanging="4"/>
        <w:spacing w:after="0" w:line="284" w:lineRule="auto"/>
        <w:tabs>
          <w:tab w:leader="none" w:pos="289"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 of the Occurrence of a Make-Whole Fundamental Change</w:t>
      </w:r>
      <w:r>
        <w:rPr>
          <w:rFonts w:ascii="Times New Roman" w:cs="Times New Roman" w:eastAsia="Times New Roman" w:hAnsi="Times New Roman"/>
          <w:sz w:val="18"/>
          <w:szCs w:val="18"/>
          <w:color w:val="auto"/>
        </w:rPr>
        <w:t>. The Company will notify the Holders, the Trustee and the Exchange Agent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each Make-Whole Fundamental Change in accordance with </w:t>
      </w:r>
      <w:r>
        <w:rPr>
          <w:rFonts w:ascii="Times New Roman" w:cs="Times New Roman" w:eastAsia="Times New Roman" w:hAnsi="Times New Roman"/>
          <w:sz w:val="18"/>
          <w:szCs w:val="18"/>
          <w:b w:val="1"/>
          <w:bCs w:val="1"/>
          <w:color w:val="auto"/>
        </w:rPr>
        <w:t>Section 5.01(C)(i)(3)(b)</w:t>
      </w:r>
      <w:r>
        <w:rPr>
          <w:rFonts w:ascii="Times New Roman" w:cs="Times New Roman" w:eastAsia="Times New Roman" w:hAnsi="Times New Roman"/>
          <w:sz w:val="18"/>
          <w:szCs w:val="18"/>
          <w:color w:val="auto"/>
        </w:rPr>
        <w:t>.</w:t>
      </w:r>
    </w:p>
    <w:p>
      <w:pPr>
        <w:spacing w:after="0" w:line="26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5.08. T</w:t>
      </w:r>
      <w:r>
        <w:rPr>
          <w:rFonts w:ascii="Times New Roman" w:cs="Times New Roman" w:eastAsia="Times New Roman" w:hAnsi="Times New Roman"/>
          <w:sz w:val="14"/>
          <w:szCs w:val="14"/>
          <w:b w:val="1"/>
          <w:bCs w:val="1"/>
          <w:color w:val="auto"/>
        </w:rPr>
        <w:t>RANSFER OF</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4"/>
          <w:szCs w:val="14"/>
          <w:b w:val="1"/>
          <w:bCs w:val="1"/>
          <w:color w:val="auto"/>
        </w:rPr>
        <w:t>OTES TO</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E</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XCHANGED TO A</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HIRD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ARTY FOR</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ETTLEMENT</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ind w:left="4" w:firstLine="440"/>
        <w:spacing w:after="0" w:line="278" w:lineRule="auto"/>
        <w:rPr>
          <w:sz w:val="20"/>
          <w:szCs w:val="20"/>
          <w:color w:val="auto"/>
        </w:rPr>
      </w:pPr>
      <w:r>
        <w:rPr>
          <w:rFonts w:ascii="Times New Roman" w:cs="Times New Roman" w:eastAsia="Times New Roman" w:hAnsi="Times New Roman"/>
          <w:sz w:val="17"/>
          <w:szCs w:val="17"/>
          <w:color w:val="auto"/>
        </w:rPr>
        <w:t xml:space="preserve">Notwithstanding anything to the contrary in this </w:t>
      </w:r>
      <w:r>
        <w:rPr>
          <w:rFonts w:ascii="Times New Roman" w:cs="Times New Roman" w:eastAsia="Times New Roman" w:hAnsi="Times New Roman"/>
          <w:sz w:val="17"/>
          <w:szCs w:val="17"/>
          <w:b w:val="1"/>
          <w:bCs w:val="1"/>
          <w:color w:val="auto"/>
        </w:rPr>
        <w:t>Article 5</w:t>
      </w:r>
      <w:r>
        <w:rPr>
          <w:rFonts w:ascii="Times New Roman" w:cs="Times New Roman" w:eastAsia="Times New Roman" w:hAnsi="Times New Roman"/>
          <w:sz w:val="17"/>
          <w:szCs w:val="17"/>
          <w:color w:val="auto"/>
        </w:rPr>
        <w:t xml:space="preserve">, and subject to the terms of this </w:t>
      </w:r>
      <w:r>
        <w:rPr>
          <w:rFonts w:ascii="Times New Roman" w:cs="Times New Roman" w:eastAsia="Times New Roman" w:hAnsi="Times New Roman"/>
          <w:sz w:val="17"/>
          <w:szCs w:val="17"/>
          <w:b w:val="1"/>
          <w:bCs w:val="1"/>
          <w:color w:val="auto"/>
        </w:rPr>
        <w:t>Section 5.08</w:t>
      </w:r>
      <w:r>
        <w:rPr>
          <w:rFonts w:ascii="Times New Roman" w:cs="Times New Roman" w:eastAsia="Times New Roman" w:hAnsi="Times New Roman"/>
          <w:sz w:val="17"/>
          <w:szCs w:val="17"/>
          <w:color w:val="auto"/>
        </w:rPr>
        <w:t>, if a Note is submitted for Exchange, the Company may elect to arrange to have such Note transferred for settlement, in lieu of Exchange, to a third party financial institution designated by the Company that will pay and deliver, as the case may be, the consideration due upon such Exchange in lieu of the Company’s payment and delivery of the same. To make such election, the Company must send notice of such election to the Holder of such Note, the Trustee and the Exchange Agent before the Close of Business on the Business Day immediately following the Exchange Date for such Note. If the Company has made such election, then:</w:t>
      </w:r>
    </w:p>
    <w:p>
      <w:pPr>
        <w:spacing w:after="0" w:line="10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- 59 -</w:t>
      </w:r>
    </w:p>
    <w:p>
      <w:pPr>
        <w:sectPr>
          <w:pgSz w:w="11900" w:h="16838" w:orient="portrait"/>
          <w:cols w:equalWidth="0" w:num="1">
            <w:col w:w="10984"/>
          </w:cols>
          <w:pgMar w:left="436" w:top="270" w:right="479" w:bottom="1440" w:gutter="0" w:footer="0" w:header="0"/>
        </w:sectPr>
      </w:pPr>
    </w:p>
    <w:bookmarkStart w:id="72" w:name="page73"/>
    <w:bookmarkEnd w:id="72"/>
    <w:p>
      <w:pPr>
        <w:ind w:left="4" w:right="120" w:hanging="4"/>
        <w:spacing w:after="0" w:line="261" w:lineRule="auto"/>
        <w:tabs>
          <w:tab w:leader="none" w:pos="299"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 later than the Business Day immediately following such Exchange Date, the Company must deliver (or cause the Exchange Agent to deliver) such Note, together with delivery instructions for the Exchange Consideration due upon such Exchange (including wire instructions, if applicable), to a financial institution designated by the Company that has agreed to deliver such Exchange Consideration in the manner and at the time the Company would have had to deliver the same pursuant to this </w:t>
      </w:r>
      <w:r>
        <w:rPr>
          <w:rFonts w:ascii="Times New Roman" w:cs="Times New Roman" w:eastAsia="Times New Roman" w:hAnsi="Times New Roman"/>
          <w:sz w:val="18"/>
          <w:szCs w:val="18"/>
          <w:b w:val="1"/>
          <w:bCs w:val="1"/>
          <w:color w:val="auto"/>
        </w:rPr>
        <w:t>Article 5</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4" w:hanging="4"/>
        <w:spacing w:after="0" w:line="261" w:lineRule="auto"/>
        <w:tabs>
          <w:tab w:leader="none" w:pos="289"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Note is a Global Note, then (i) such designated institution will send written confirmation to the Exchange Agent promptly after wiring the cash Exchange Consideration, if any, and delivering any other Exchange Consideration, due upon such Exchange to the Holder of such Note; and (ii) the Exchange Agent will as soon as reasonably practicable thereafter contact such Holder’s custodian with the Depositary to confirm receipt of the same; and</w:t>
      </w:r>
    </w:p>
    <w:p>
      <w:pPr>
        <w:spacing w:after="0" w:line="179" w:lineRule="exact"/>
        <w:rPr>
          <w:rFonts w:ascii="Times New Roman" w:cs="Times New Roman" w:eastAsia="Times New Roman" w:hAnsi="Times New Roman"/>
          <w:sz w:val="18"/>
          <w:szCs w:val="18"/>
          <w:color w:val="auto"/>
        </w:rPr>
      </w:pPr>
    </w:p>
    <w:p>
      <w:pPr>
        <w:ind w:left="284" w:hanging="284"/>
        <w:spacing w:after="0"/>
        <w:tabs>
          <w:tab w:leader="none" w:pos="284"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Note will not cease to be outstanding by reason of such transfer to a third party for settlement;</w:t>
      </w:r>
    </w:p>
    <w:p>
      <w:pPr>
        <w:spacing w:after="0" w:line="223" w:lineRule="exact"/>
        <w:rPr>
          <w:sz w:val="20"/>
          <w:szCs w:val="20"/>
          <w:color w:val="auto"/>
        </w:rPr>
      </w:pPr>
    </w:p>
    <w:p>
      <w:pPr>
        <w:ind w:left="4" w:right="40"/>
        <w:spacing w:after="0" w:line="267"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if such financial institution does not accept such Note or fails to timely deliver such Exchange Consideration, then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will be responsible for delivering such Exchange Consideration in the manner and at the time provided in this </w:t>
      </w:r>
      <w:r>
        <w:rPr>
          <w:rFonts w:ascii="Times New Roman" w:cs="Times New Roman" w:eastAsia="Times New Roman" w:hAnsi="Times New Roman"/>
          <w:sz w:val="18"/>
          <w:szCs w:val="18"/>
          <w:b w:val="1"/>
          <w:bCs w:val="1"/>
          <w:color w:val="auto"/>
        </w:rPr>
        <w:t>Article 5</w:t>
      </w:r>
      <w:r>
        <w:rPr>
          <w:rFonts w:ascii="Times New Roman" w:cs="Times New Roman" w:eastAsia="Times New Roman" w:hAnsi="Times New Roman"/>
          <w:sz w:val="18"/>
          <w:szCs w:val="18"/>
          <w:color w:val="auto"/>
        </w:rPr>
        <w:t xml:space="preserve"> as if the Company had not elected to make a transfer to a third party for settlement.</w:t>
      </w:r>
    </w:p>
    <w:p>
      <w:pPr>
        <w:spacing w:after="0" w:line="27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5.09. E</w:t>
      </w:r>
      <w:r>
        <w:rPr>
          <w:rFonts w:ascii="Times New Roman" w:cs="Times New Roman" w:eastAsia="Times New Roman" w:hAnsi="Times New Roman"/>
          <w:sz w:val="14"/>
          <w:szCs w:val="14"/>
          <w:b w:val="1"/>
          <w:bCs w:val="1"/>
          <w:color w:val="auto"/>
        </w:rPr>
        <w:t>FFECT OF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OMMON</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HANGE</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VENT</w:t>
      </w:r>
      <w:r>
        <w:rPr>
          <w:rFonts w:ascii="Times New Roman" w:cs="Times New Roman" w:eastAsia="Times New Roman" w:hAnsi="Times New Roman"/>
          <w:sz w:val="18"/>
          <w:szCs w:val="18"/>
          <w:b w:val="1"/>
          <w:bCs w:val="1"/>
          <w:color w:val="auto"/>
        </w:rPr>
        <w:t>.</w:t>
      </w:r>
    </w:p>
    <w:p>
      <w:pPr>
        <w:spacing w:after="0" w:line="11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 If there occurs any:</w:t>
      </w:r>
    </w:p>
    <w:p>
      <w:pPr>
        <w:spacing w:after="0" w:line="227" w:lineRule="exact"/>
        <w:rPr>
          <w:sz w:val="20"/>
          <w:szCs w:val="20"/>
          <w:color w:val="auto"/>
        </w:rPr>
      </w:pPr>
    </w:p>
    <w:p>
      <w:pPr>
        <w:ind w:left="224" w:hanging="224"/>
        <w:spacing w:after="0"/>
        <w:tabs>
          <w:tab w:leader="none" w:pos="224"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recapitalization, reclassification or change of the Common Stock (other than (x) changes solely resulting from a subdivision or combination of the</w:t>
      </w:r>
    </w:p>
    <w:p>
      <w:pPr>
        <w:spacing w:after="0" w:line="27" w:lineRule="exact"/>
        <w:rPr>
          <w:rFonts w:ascii="Times New Roman" w:cs="Times New Roman" w:eastAsia="Times New Roman" w:hAnsi="Times New Roman"/>
          <w:sz w:val="18"/>
          <w:szCs w:val="18"/>
          <w:color w:val="auto"/>
        </w:rPr>
      </w:pPr>
    </w:p>
    <w:p>
      <w:pPr>
        <w:ind w:left="4" w:right="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(y) a change only in par value or from par value to no par value or no par value to par value and (z) stock splits and stock combinations that do not involve the issuance of any other series or class of securities);</w:t>
      </w:r>
    </w:p>
    <w:p>
      <w:pPr>
        <w:spacing w:after="0" w:line="181"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merger, combination or binding or statutory share exchange involving Holdings;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 lease or other transfer of all or substantially all of the assets of Holdings and its Subsidiaries, taken as a whole, to any Person; or</w:t>
      </w:r>
    </w:p>
    <w:p>
      <w:pPr>
        <w:spacing w:after="0" w:line="225" w:lineRule="exact"/>
        <w:rPr>
          <w:rFonts w:ascii="Times New Roman" w:cs="Times New Roman" w:eastAsia="Times New Roman" w:hAnsi="Times New Roman"/>
          <w:sz w:val="18"/>
          <w:szCs w:val="18"/>
          <w:color w:val="auto"/>
        </w:rPr>
      </w:pPr>
    </w:p>
    <w:p>
      <w:pPr>
        <w:ind w:left="304" w:hanging="304"/>
        <w:spacing w:after="0"/>
        <w:tabs>
          <w:tab w:leader="none" w:pos="304"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similar event,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and, as a result, the Common Stock is converted into, or is exchanged for, or represents solely the right to receive, other securities, cash or other</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property, or any combination of the foregoing (such an event, a “</w:t>
      </w:r>
      <w:r>
        <w:rPr>
          <w:rFonts w:ascii="Times New Roman" w:cs="Times New Roman" w:eastAsia="Times New Roman" w:hAnsi="Times New Roman"/>
          <w:sz w:val="18"/>
          <w:szCs w:val="18"/>
          <w:b w:val="1"/>
          <w:bCs w:val="1"/>
          <w:color w:val="auto"/>
        </w:rPr>
        <w:t>Common Stock Change Event</w:t>
      </w:r>
      <w:r>
        <w:rPr>
          <w:rFonts w:ascii="Times New Roman" w:cs="Times New Roman" w:eastAsia="Times New Roman" w:hAnsi="Times New Roman"/>
          <w:sz w:val="18"/>
          <w:szCs w:val="18"/>
          <w:color w:val="auto"/>
        </w:rPr>
        <w:t>,” and such other securities, cash or property,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Reference Property</w:t>
      </w:r>
      <w:r>
        <w:rPr>
          <w:rFonts w:ascii="Times New Roman" w:cs="Times New Roman" w:eastAsia="Times New Roman" w:hAnsi="Times New Roman"/>
          <w:sz w:val="18"/>
          <w:szCs w:val="18"/>
          <w:color w:val="auto"/>
        </w:rPr>
        <w:t>,” and the amount and kind of Reference Property that a holder of one (1) share of Common Stock would be entitled to receive on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account of such Common Stock Change Event (without giving effect to any arrangement not to issue or deliver a fractional portion of any security or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other property), a “</w:t>
      </w:r>
      <w:r>
        <w:rPr>
          <w:rFonts w:ascii="Times New Roman" w:cs="Times New Roman" w:eastAsia="Times New Roman" w:hAnsi="Times New Roman"/>
          <w:sz w:val="18"/>
          <w:szCs w:val="18"/>
          <w:b w:val="1"/>
          <w:bCs w:val="1"/>
          <w:color w:val="auto"/>
        </w:rPr>
        <w:t>Reference Property Unit</w:t>
      </w:r>
      <w:r>
        <w:rPr>
          <w:rFonts w:ascii="Times New Roman" w:cs="Times New Roman" w:eastAsia="Times New Roman" w:hAnsi="Times New Roman"/>
          <w:sz w:val="18"/>
          <w:szCs w:val="18"/>
          <w:color w:val="auto"/>
        </w:rPr>
        <w:t>”), then, notwithstanding anything to the contrary in this Indenture or the Notes,</w:t>
      </w:r>
    </w:p>
    <w:p>
      <w:pPr>
        <w:spacing w:after="0" w:line="13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- 60 -</w:t>
      </w:r>
    </w:p>
    <w:p>
      <w:pPr>
        <w:sectPr>
          <w:pgSz w:w="11900" w:h="16838" w:orient="portrait"/>
          <w:cols w:equalWidth="0" w:num="1">
            <w:col w:w="11004"/>
          </w:cols>
          <w:pgMar w:left="436" w:top="270" w:right="459" w:bottom="1440" w:gutter="0" w:footer="0" w:header="0"/>
        </w:sectPr>
      </w:pPr>
    </w:p>
    <w:bookmarkStart w:id="73" w:name="page74"/>
    <w:bookmarkEnd w:id="73"/>
    <w:p>
      <w:pPr>
        <w:ind w:left="440" w:firstLine="419"/>
        <w:spacing w:after="0" w:line="255" w:lineRule="auto"/>
        <w:tabs>
          <w:tab w:leader="none" w:pos="1118"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from and after the effective time of such Common Stock Change Event, (I) the Exchange Consideration due upon Exchange of any Note, and the conditions to any such Exchange, will be determined in the same manner as if each reference to any number of shares of Common Stock in this </w:t>
      </w:r>
      <w:r>
        <w:rPr>
          <w:rFonts w:ascii="Times New Roman" w:cs="Times New Roman" w:eastAsia="Times New Roman" w:hAnsi="Times New Roman"/>
          <w:sz w:val="18"/>
          <w:szCs w:val="18"/>
          <w:b w:val="1"/>
          <w:bCs w:val="1"/>
          <w:color w:val="auto"/>
        </w:rPr>
        <w:t>Article 5</w:t>
      </w:r>
      <w:r>
        <w:rPr>
          <w:rFonts w:ascii="Times New Roman" w:cs="Times New Roman" w:eastAsia="Times New Roman" w:hAnsi="Times New Roman"/>
          <w:sz w:val="18"/>
          <w:szCs w:val="18"/>
          <w:color w:val="auto"/>
        </w:rPr>
        <w:t xml:space="preserve"> (or in any related definitions) were instead a reference to the same number of Reference Property Units; (II) for purposes of the definitions of “Fundamental Change” and “Make-Whole Fundamental Change,” references to “Common Stock” and Holdings’ “Common Equity” will be deemed to refer to the Common Equity (including depositary receipts representing Common Equity), if any, forming part of such Reference Property; and (III) for purposes of </w:t>
      </w:r>
      <w:r>
        <w:rPr>
          <w:rFonts w:ascii="Times New Roman" w:cs="Times New Roman" w:eastAsia="Times New Roman" w:hAnsi="Times New Roman"/>
          <w:sz w:val="18"/>
          <w:szCs w:val="18"/>
          <w:b w:val="1"/>
          <w:bCs w:val="1"/>
          <w:color w:val="auto"/>
        </w:rPr>
        <w:t>Section 4.03</w:t>
      </w:r>
      <w:r>
        <w:rPr>
          <w:rFonts w:ascii="Times New Roman" w:cs="Times New Roman" w:eastAsia="Times New Roman" w:hAnsi="Times New Roman"/>
          <w:sz w:val="18"/>
          <w:szCs w:val="18"/>
          <w:color w:val="auto"/>
        </w:rPr>
        <w:t>, each reference to any number of shares of Common Stock in such Section (or in any related definitions) will be deemed to be a reference to the same number of Reference Property Units; and</w:t>
      </w:r>
    </w:p>
    <w:p>
      <w:pPr>
        <w:spacing w:after="0" w:line="80" w:lineRule="exact"/>
        <w:rPr>
          <w:rFonts w:ascii="Times New Roman" w:cs="Times New Roman" w:eastAsia="Times New Roman" w:hAnsi="Times New Roman"/>
          <w:sz w:val="18"/>
          <w:szCs w:val="18"/>
          <w:color w:val="auto"/>
        </w:rPr>
      </w:pPr>
    </w:p>
    <w:p>
      <w:pPr>
        <w:ind w:left="440" w:right="40" w:firstLine="419"/>
        <w:spacing w:after="0" w:line="258" w:lineRule="auto"/>
        <w:tabs>
          <w:tab w:leader="none" w:pos="1118"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Reference Property Unit consists entirely of cash, then (I) each Exchange of any Note with an Exchange Date that occurs on or after the effective date of such Common Stock Change Event will be settled entirely in cash in an amount, per $1,000 principal amount of such Note being Exchanged, equal to the product of (x) the Exchange Rate in effect on such Exchange Date (including, for the avoidance of doubt, any increase to such Exchange Rate pursuant to </w:t>
      </w:r>
      <w:r>
        <w:rPr>
          <w:rFonts w:ascii="Times New Roman" w:cs="Times New Roman" w:eastAsia="Times New Roman" w:hAnsi="Times New Roman"/>
          <w:sz w:val="18"/>
          <w:szCs w:val="18"/>
          <w:b w:val="1"/>
          <w:bCs w:val="1"/>
          <w:color w:val="auto"/>
        </w:rPr>
        <w:t>Section 5.07</w:t>
      </w:r>
      <w:r>
        <w:rPr>
          <w:rFonts w:ascii="Times New Roman" w:cs="Times New Roman" w:eastAsia="Times New Roman" w:hAnsi="Times New Roman"/>
          <w:sz w:val="18"/>
          <w:szCs w:val="18"/>
          <w:color w:val="auto"/>
        </w:rPr>
        <w:t>, if applicable); and (y) the amount of cash constituting such Reference Property Unit; and (II) the Company will settle each such Exchange no later than the fifth (5th) Business Day after the relevant Exchange Date; and</w:t>
      </w:r>
    </w:p>
    <w:p>
      <w:pPr>
        <w:spacing w:after="0" w:line="75" w:lineRule="exact"/>
        <w:rPr>
          <w:rFonts w:ascii="Times New Roman" w:cs="Times New Roman" w:eastAsia="Times New Roman" w:hAnsi="Times New Roman"/>
          <w:sz w:val="18"/>
          <w:szCs w:val="18"/>
          <w:color w:val="auto"/>
        </w:rPr>
      </w:pPr>
    </w:p>
    <w:p>
      <w:pPr>
        <w:ind w:left="440" w:right="60" w:firstLine="419"/>
        <w:spacing w:after="0" w:line="255" w:lineRule="auto"/>
        <w:tabs>
          <w:tab w:leader="none" w:pos="1118"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these purposes, (I) the Daily VWAP of any Reference Property Unit or portion thereof that consists of a class of Common Equity securities (including depositary receipts representing Common Equity) listed on a national securities exchange will be determined by reference to the definition of “Daily VWAP,” substituting, if applicable, the Bloomberg page for such class of securities in such definition; and (II) the Daily VWAP of any Reference Property Unit or portion thereof that does not consist of a class of Common Equity securities listed on a national securities exchange, and the Last Reported Sale Price of any Reference Property Unit or portion thereof that does not consist of a class of securities, will be the fair value of such Reference Property Unit or portion thereof, as applicable, determined in good faith and in a commercially reasonable manner by the Company (or, in the case of cash denominated in U.S. dollars, the face amount thereof).</w:t>
      </w:r>
    </w:p>
    <w:p>
      <w:pPr>
        <w:spacing w:after="0" w:line="189" w:lineRule="exact"/>
        <w:rPr>
          <w:sz w:val="20"/>
          <w:szCs w:val="20"/>
          <w:color w:val="auto"/>
        </w:rPr>
      </w:pPr>
    </w:p>
    <w:p>
      <w:pPr>
        <w:ind w:right="380" w:firstLine="440"/>
        <w:spacing w:after="0" w:line="261" w:lineRule="auto"/>
        <w:rPr>
          <w:sz w:val="20"/>
          <w:szCs w:val="20"/>
          <w:color w:val="auto"/>
        </w:rPr>
      </w:pPr>
      <w:r>
        <w:rPr>
          <w:rFonts w:ascii="Times New Roman" w:cs="Times New Roman" w:eastAsia="Times New Roman" w:hAnsi="Times New Roman"/>
          <w:sz w:val="18"/>
          <w:szCs w:val="18"/>
          <w:color w:val="auto"/>
        </w:rPr>
        <w:t>If the Reference Property consists of more than a single type of consideration to be determined based in part upon any form of stockholder election, then the composition of the Reference Property Unit will be deemed to be the weighted average of the types and amounts of consideration actually received, per share of Common Stock, by the holders of Common Stock. The Company will notify Holders, the Trustee and the Exchange Agent of such weighted average as soon as practicable after such determination is made.</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- 61 -</w:t>
      </w:r>
    </w:p>
    <w:p>
      <w:pPr>
        <w:sectPr>
          <w:pgSz w:w="11900" w:h="16838" w:orient="portrait"/>
          <w:cols w:equalWidth="0" w:num="1">
            <w:col w:w="10980"/>
          </w:cols>
          <w:pgMar w:left="440" w:top="270" w:right="479" w:bottom="1440" w:gutter="0" w:footer="0" w:header="0"/>
        </w:sectPr>
      </w:pPr>
    </w:p>
    <w:bookmarkStart w:id="74" w:name="page75"/>
    <w:bookmarkEnd w:id="74"/>
    <w:p>
      <w:pPr>
        <w:ind w:left="4" w:right="40" w:firstLine="440"/>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 or before the effective time of such Common Stock Change Event, the Company, Holdings and the resulting, surviving or transferee Person (if not the Company or Holdings) of such Common Stock Change Event (the “</w:t>
      </w:r>
      <w:r>
        <w:rPr>
          <w:rFonts w:ascii="Times New Roman" w:cs="Times New Roman" w:eastAsia="Times New Roman" w:hAnsi="Times New Roman"/>
          <w:sz w:val="17"/>
          <w:szCs w:val="17"/>
          <w:b w:val="1"/>
          <w:bCs w:val="1"/>
          <w:color w:val="auto"/>
        </w:rPr>
        <w:t>Successor Person</w:t>
      </w:r>
      <w:r>
        <w:rPr>
          <w:rFonts w:ascii="Times New Roman" w:cs="Times New Roman" w:eastAsia="Times New Roman" w:hAnsi="Times New Roman"/>
          <w:sz w:val="17"/>
          <w:szCs w:val="17"/>
          <w:color w:val="auto"/>
        </w:rPr>
        <w:t xml:space="preserve">”) will execute and deliver to the Trustee a supplemental indenture pursuant to </w:t>
      </w:r>
      <w:r>
        <w:rPr>
          <w:rFonts w:ascii="Times New Roman" w:cs="Times New Roman" w:eastAsia="Times New Roman" w:hAnsi="Times New Roman"/>
          <w:sz w:val="17"/>
          <w:szCs w:val="17"/>
          <w:b w:val="1"/>
          <w:bCs w:val="1"/>
          <w:color w:val="auto"/>
        </w:rPr>
        <w:t>Section 8.01(F</w:t>
      </w:r>
      <w:r>
        <w:rPr>
          <w:rFonts w:ascii="Times New Roman" w:cs="Times New Roman" w:eastAsia="Times New Roman" w:hAnsi="Times New Roman"/>
          <w:sz w:val="17"/>
          <w:szCs w:val="17"/>
          <w:color w:val="auto"/>
        </w:rPr>
        <w:t xml:space="preserve">), which supplemental indenture will (x) provide for subsequent Exchanges of Notes in the manner set forth in this </w:t>
      </w:r>
      <w:r>
        <w:rPr>
          <w:rFonts w:ascii="Times New Roman" w:cs="Times New Roman" w:eastAsia="Times New Roman" w:hAnsi="Times New Roman"/>
          <w:sz w:val="17"/>
          <w:szCs w:val="17"/>
          <w:b w:val="1"/>
          <w:bCs w:val="1"/>
          <w:color w:val="auto"/>
        </w:rPr>
        <w:t>Section 5.09</w:t>
      </w:r>
      <w:r>
        <w:rPr>
          <w:rFonts w:ascii="Times New Roman" w:cs="Times New Roman" w:eastAsia="Times New Roman" w:hAnsi="Times New Roman"/>
          <w:sz w:val="17"/>
          <w:szCs w:val="17"/>
          <w:color w:val="auto"/>
        </w:rPr>
        <w:t>; (y) provide for subsequent adjustments to the Exchange Rate pursuant to</w:t>
      </w:r>
      <w:r>
        <w:rPr>
          <w:rFonts w:ascii="Times New Roman" w:cs="Times New Roman" w:eastAsia="Times New Roman" w:hAnsi="Times New Roman"/>
          <w:sz w:val="17"/>
          <w:szCs w:val="17"/>
          <w:b w:val="1"/>
          <w:bCs w:val="1"/>
          <w:color w:val="auto"/>
        </w:rPr>
        <w:t xml:space="preserve"> Section 5.05(A</w:t>
      </w:r>
      <w:r>
        <w:rPr>
          <w:rFonts w:ascii="Times New Roman" w:cs="Times New Roman" w:eastAsia="Times New Roman" w:hAnsi="Times New Roman"/>
          <w:sz w:val="17"/>
          <w:szCs w:val="17"/>
          <w:color w:val="auto"/>
        </w:rPr>
        <w:t>) in a manner consistent with this</w:t>
      </w:r>
      <w:r>
        <w:rPr>
          <w:rFonts w:ascii="Times New Roman" w:cs="Times New Roman" w:eastAsia="Times New Roman" w:hAnsi="Times New Roman"/>
          <w:sz w:val="17"/>
          <w:szCs w:val="17"/>
          <w:b w:val="1"/>
          <w:bCs w:val="1"/>
          <w:color w:val="auto"/>
        </w:rPr>
        <w:t xml:space="preserve"> Section 5.09 </w:t>
      </w:r>
      <w:r>
        <w:rPr>
          <w:rFonts w:ascii="Times New Roman" w:cs="Times New Roman" w:eastAsia="Times New Roman" w:hAnsi="Times New Roman"/>
          <w:sz w:val="17"/>
          <w:szCs w:val="17"/>
          <w:color w:val="auto"/>
        </w:rPr>
        <w:t xml:space="preserve">(including giving effect, in good faith and the reasonable discretion of the Company, to the Dividend Threshold in a manner that reflects the nature and value of the consideration comprising a Reference Property Unit, and provided that if the Reference Property is composed solely of non-stock consideration, the adjusted Dividend Threshold will be zero); and (z) contain such other provisions, if any, that the Company reasonably determines are appropriate to preserve the economic interests of the Holders and to give effect to the provisions of this </w:t>
      </w:r>
      <w:r>
        <w:rPr>
          <w:rFonts w:ascii="Times New Roman" w:cs="Times New Roman" w:eastAsia="Times New Roman" w:hAnsi="Times New Roman"/>
          <w:sz w:val="17"/>
          <w:szCs w:val="17"/>
          <w:b w:val="1"/>
          <w:bCs w:val="1"/>
          <w:color w:val="auto"/>
        </w:rPr>
        <w:t>Section 5.09(A</w:t>
      </w:r>
      <w:r>
        <w:rPr>
          <w:rFonts w:ascii="Times New Roman" w:cs="Times New Roman" w:eastAsia="Times New Roman" w:hAnsi="Times New Roman"/>
          <w:sz w:val="17"/>
          <w:szCs w:val="17"/>
          <w:color w:val="auto"/>
        </w:rPr>
        <w:t>). If the Reference Property includes shares of stock or other securities or assets (other than cash) of a Person other than the Successor Person, then such other Person, if an Affiliate of the Company or the successor or acquiring company, will also execute such supplemental indenture and such supplemental indenture will contain such additional provisions, if any, that the Company reasonably determines are appropriate to preserve the economic interests of the Holders.</w:t>
      </w:r>
    </w:p>
    <w:p>
      <w:pPr>
        <w:spacing w:after="0" w:line="180" w:lineRule="exact"/>
        <w:rPr>
          <w:sz w:val="20"/>
          <w:szCs w:val="20"/>
          <w:color w:val="auto"/>
        </w:rPr>
      </w:pPr>
    </w:p>
    <w:p>
      <w:pPr>
        <w:ind w:left="4" w:right="220" w:hanging="4"/>
        <w:spacing w:after="0" w:line="284" w:lineRule="auto"/>
        <w:tabs>
          <w:tab w:leader="none" w:pos="289"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 of Common Stock Change Events</w:t>
      </w:r>
      <w:r>
        <w:rPr>
          <w:rFonts w:ascii="Times New Roman" w:cs="Times New Roman" w:eastAsia="Times New Roman" w:hAnsi="Times New Roman"/>
          <w:sz w:val="18"/>
          <w:szCs w:val="18"/>
          <w:color w:val="auto"/>
        </w:rPr>
        <w:t>. The Company will provide notice of each Common Stock Change Event to the Holders, the Trustee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Exchange Agent no later than the Business Day after the effective date of such Common Stock Change Event.</w:t>
      </w:r>
    </w:p>
    <w:p>
      <w:pPr>
        <w:spacing w:after="0" w:line="156" w:lineRule="exact"/>
        <w:rPr>
          <w:rFonts w:ascii="Times New Roman" w:cs="Times New Roman" w:eastAsia="Times New Roman" w:hAnsi="Times New Roman"/>
          <w:sz w:val="18"/>
          <w:szCs w:val="18"/>
          <w:color w:val="auto"/>
        </w:rPr>
      </w:pPr>
    </w:p>
    <w:p>
      <w:pPr>
        <w:ind w:left="284" w:hanging="284"/>
        <w:spacing w:after="0"/>
        <w:tabs>
          <w:tab w:leader="none" w:pos="284"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Compliance Covenant</w:t>
      </w:r>
      <w:r>
        <w:rPr>
          <w:rFonts w:ascii="Times New Roman" w:cs="Times New Roman" w:eastAsia="Times New Roman" w:hAnsi="Times New Roman"/>
          <w:sz w:val="18"/>
          <w:szCs w:val="18"/>
          <w:color w:val="auto"/>
        </w:rPr>
        <w:t>. Holdings will not become a party to any Common Stock Change Event unless its terms are consistent with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5.09</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Article 6. SUCCESSORS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6.01. W</w:t>
      </w:r>
      <w:r>
        <w:rPr>
          <w:rFonts w:ascii="Times New Roman" w:cs="Times New Roman" w:eastAsia="Times New Roman" w:hAnsi="Times New Roman"/>
          <w:sz w:val="14"/>
          <w:szCs w:val="14"/>
          <w:b w:val="1"/>
          <w:bCs w:val="1"/>
          <w:color w:val="auto"/>
        </w:rPr>
        <w:t>HEN 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OMPANY</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4"/>
          <w:szCs w:val="14"/>
          <w:b w:val="1"/>
          <w:bCs w:val="1"/>
          <w:color w:val="auto"/>
        </w:rPr>
        <w:t>AY</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4"/>
          <w:szCs w:val="14"/>
          <w:b w:val="1"/>
          <w:bCs w:val="1"/>
          <w:color w:val="auto"/>
        </w:rPr>
        <w:t>ERGE</w:t>
      </w:r>
      <w:r>
        <w:rPr>
          <w:rFonts w:ascii="Times New Roman" w:cs="Times New Roman" w:eastAsia="Times New Roman" w:hAnsi="Times New Roman"/>
          <w:sz w:val="18"/>
          <w:szCs w:val="18"/>
          <w:b w:val="1"/>
          <w:bCs w:val="1"/>
          <w:color w:val="auto"/>
        </w:rPr>
        <w:t>, E</w:t>
      </w:r>
      <w:r>
        <w:rPr>
          <w:rFonts w:ascii="Times New Roman" w:cs="Times New Roman" w:eastAsia="Times New Roman" w:hAnsi="Times New Roman"/>
          <w:sz w:val="14"/>
          <w:szCs w:val="14"/>
          <w:b w:val="1"/>
          <w:bCs w:val="1"/>
          <w:color w:val="auto"/>
        </w:rPr>
        <w:t>TC</w:t>
      </w:r>
      <w:r>
        <w:rPr>
          <w:rFonts w:ascii="Times New Roman" w:cs="Times New Roman" w:eastAsia="Times New Roman" w:hAnsi="Times New Roman"/>
          <w:sz w:val="18"/>
          <w:szCs w:val="18"/>
          <w:b w:val="1"/>
          <w:bCs w:val="1"/>
          <w:color w:val="auto"/>
        </w:rPr>
        <w:t>.</w:t>
      </w:r>
    </w:p>
    <w:p>
      <w:pPr>
        <w:spacing w:after="0" w:line="119" w:lineRule="exact"/>
        <w:rPr>
          <w:sz w:val="20"/>
          <w:szCs w:val="20"/>
          <w:color w:val="auto"/>
        </w:rPr>
      </w:pPr>
    </w:p>
    <w:p>
      <w:pPr>
        <w:ind w:left="4" w:right="160" w:hanging="4"/>
        <w:spacing w:after="0" w:line="267" w:lineRule="auto"/>
        <w:tabs>
          <w:tab w:leader="none" w:pos="299"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 The Company will not consolidate with or merge with or into, or (directly, or indirectly through one or more of its Subsidiaries) sell,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lease or otherwise transfer, in one transaction or a series of transactions, all or substantially all of the assets of the Company and its Subsidiaries, taken as a whole, to another Person (other than a Guarantor) (a “</w:t>
      </w:r>
      <w:r>
        <w:rPr>
          <w:rFonts w:ascii="Times New Roman" w:cs="Times New Roman" w:eastAsia="Times New Roman" w:hAnsi="Times New Roman"/>
          <w:sz w:val="18"/>
          <w:szCs w:val="18"/>
          <w:b w:val="1"/>
          <w:bCs w:val="1"/>
          <w:color w:val="auto"/>
        </w:rPr>
        <w:t>Company Business Combination Event</w:t>
      </w:r>
      <w:r>
        <w:rPr>
          <w:rFonts w:ascii="Times New Roman" w:cs="Times New Roman" w:eastAsia="Times New Roman" w:hAnsi="Times New Roman"/>
          <w:sz w:val="18"/>
          <w:szCs w:val="18"/>
          <w:color w:val="auto"/>
        </w:rPr>
        <w:t>”), unless:</w:t>
      </w:r>
    </w:p>
    <w:p>
      <w:pPr>
        <w:spacing w:after="0" w:line="175" w:lineRule="exact"/>
        <w:rPr>
          <w:sz w:val="20"/>
          <w:szCs w:val="20"/>
          <w:color w:val="auto"/>
        </w:rPr>
      </w:pPr>
    </w:p>
    <w:p>
      <w:pPr>
        <w:ind w:left="4" w:right="160" w:hanging="4"/>
        <w:spacing w:after="0" w:line="258" w:lineRule="auto"/>
        <w:tabs>
          <w:tab w:leader="none" w:pos="219"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resulting, surviving or transferee Person either (x) is the Company or (y) if not the Company, is a corporation, limited liability company, limited partnership or other similar entity (such corporation, limited liability company, limited partnership or other similar entity, the “</w:t>
      </w:r>
      <w:r>
        <w:rPr>
          <w:rFonts w:ascii="Times New Roman" w:cs="Times New Roman" w:eastAsia="Times New Roman" w:hAnsi="Times New Roman"/>
          <w:sz w:val="18"/>
          <w:szCs w:val="18"/>
          <w:b w:val="1"/>
          <w:bCs w:val="1"/>
          <w:color w:val="auto"/>
        </w:rPr>
        <w:t>Company Successor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Entity</w:t>
      </w:r>
      <w:r>
        <w:rPr>
          <w:rFonts w:ascii="Times New Roman" w:cs="Times New Roman" w:eastAsia="Times New Roman" w:hAnsi="Times New Roman"/>
          <w:sz w:val="18"/>
          <w:szCs w:val="18"/>
          <w:color w:val="auto"/>
        </w:rPr>
        <w:t>”) duly organized and existing under the laws of the United States of America, any State thereof or the District of Columbia that expressly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assumes (by executing and delivering to the Trustee, at or before the effective time of such Company Business Combination Event, a supplemental indenture pursuant to </w:t>
      </w:r>
      <w:r>
        <w:rPr>
          <w:rFonts w:ascii="Times New Roman" w:cs="Times New Roman" w:eastAsia="Times New Roman" w:hAnsi="Times New Roman"/>
          <w:sz w:val="18"/>
          <w:szCs w:val="18"/>
          <w:b w:val="1"/>
          <w:bCs w:val="1"/>
          <w:color w:val="auto"/>
        </w:rPr>
        <w:t>Section 8.01(E</w:t>
      </w:r>
      <w:r>
        <w:rPr>
          <w:rFonts w:ascii="Times New Roman" w:cs="Times New Roman" w:eastAsia="Times New Roman" w:hAnsi="Times New Roman"/>
          <w:sz w:val="18"/>
          <w:szCs w:val="18"/>
          <w:color w:val="auto"/>
        </w:rPr>
        <w:t>)) all of the Company’s obligations under this Indenture and the Notes; and</w:t>
      </w:r>
    </w:p>
    <w:p>
      <w:pPr>
        <w:spacing w:after="0" w:line="183"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immediately after giving effect to such Company Business Combination Event, no Default or Event of Default will have occurred and be continuing.</w:t>
      </w:r>
    </w:p>
    <w:p>
      <w:pPr>
        <w:spacing w:after="0" w:line="169" w:lineRule="exact"/>
        <w:rPr>
          <w:rFonts w:ascii="Times New Roman" w:cs="Times New Roman" w:eastAsia="Times New Roman" w:hAnsi="Times New Roman"/>
          <w:sz w:val="17"/>
          <w:szCs w:val="17"/>
          <w:color w:val="auto"/>
        </w:rPr>
      </w:pPr>
    </w:p>
    <w:p>
      <w:pPr>
        <w:ind w:left="5424" w:hanging="111"/>
        <w:spacing w:after="0"/>
        <w:tabs>
          <w:tab w:leader="none" w:pos="5424"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62 -</w:t>
      </w:r>
    </w:p>
    <w:p>
      <w:pPr>
        <w:sectPr>
          <w:pgSz w:w="11900" w:h="16838" w:orient="portrait"/>
          <w:cols w:equalWidth="0" w:num="1">
            <w:col w:w="10984"/>
          </w:cols>
          <w:pgMar w:left="436" w:top="270" w:right="479" w:bottom="1440" w:gutter="0" w:footer="0" w:header="0"/>
        </w:sectPr>
      </w:pPr>
    </w:p>
    <w:bookmarkStart w:id="75" w:name="page76"/>
    <w:bookmarkEnd w:id="75"/>
    <w:p>
      <w:pPr>
        <w:ind w:left="4" w:right="460" w:hanging="4"/>
        <w:spacing w:after="0" w:line="261" w:lineRule="auto"/>
        <w:tabs>
          <w:tab w:leader="none" w:pos="289"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Delivery of Officer’s Certificate and Opinion of Counsel to the Trustee</w:t>
      </w:r>
      <w:r>
        <w:rPr>
          <w:rFonts w:ascii="Times New Roman" w:cs="Times New Roman" w:eastAsia="Times New Roman" w:hAnsi="Times New Roman"/>
          <w:sz w:val="18"/>
          <w:szCs w:val="18"/>
          <w:color w:val="auto"/>
        </w:rPr>
        <w:t>. At or before the effective time of any Company Business Combination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Event, the Company will deliver to the Trustee an Officer’s Certificate and Opinion of Counsel, each stating that (i) such Company Business Combination Event (and, if applicable, the related supplemental indenture) comply with </w:t>
      </w:r>
      <w:r>
        <w:rPr>
          <w:rFonts w:ascii="Times New Roman" w:cs="Times New Roman" w:eastAsia="Times New Roman" w:hAnsi="Times New Roman"/>
          <w:sz w:val="18"/>
          <w:szCs w:val="18"/>
          <w:b w:val="1"/>
          <w:bCs w:val="1"/>
          <w:color w:val="auto"/>
        </w:rPr>
        <w:t>Section 6.01(A</w:t>
      </w:r>
      <w:r>
        <w:rPr>
          <w:rFonts w:ascii="Times New Roman" w:cs="Times New Roman" w:eastAsia="Times New Roman" w:hAnsi="Times New Roman"/>
          <w:sz w:val="18"/>
          <w:szCs w:val="18"/>
          <w:color w:val="auto"/>
        </w:rPr>
        <w:t>); and (ii) all conditions precedent to such Company Business Combination Event provided in this Indenture have been satisfied.</w:t>
      </w:r>
    </w:p>
    <w:p>
      <w:pPr>
        <w:spacing w:after="0" w:line="28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6.02. C</w:t>
      </w:r>
      <w:r>
        <w:rPr>
          <w:rFonts w:ascii="Times New Roman" w:cs="Times New Roman" w:eastAsia="Times New Roman" w:hAnsi="Times New Roman"/>
          <w:sz w:val="14"/>
          <w:szCs w:val="14"/>
          <w:b w:val="1"/>
          <w:bCs w:val="1"/>
          <w:color w:val="auto"/>
        </w:rPr>
        <w:t>OMPANY</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UCCESSOR</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NTITY</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UBSTITUTED</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ind w:left="4" w:firstLine="440"/>
        <w:spacing w:after="0" w:line="262" w:lineRule="auto"/>
        <w:rPr>
          <w:sz w:val="20"/>
          <w:szCs w:val="20"/>
          <w:color w:val="auto"/>
        </w:rPr>
      </w:pPr>
      <w:r>
        <w:rPr>
          <w:rFonts w:ascii="Times New Roman" w:cs="Times New Roman" w:eastAsia="Times New Roman" w:hAnsi="Times New Roman"/>
          <w:sz w:val="18"/>
          <w:szCs w:val="18"/>
          <w:color w:val="auto"/>
        </w:rPr>
        <w:t xml:space="preserve">At the effective time of any Company Business Combination Event that complies with </w:t>
      </w:r>
      <w:r>
        <w:rPr>
          <w:rFonts w:ascii="Times New Roman" w:cs="Times New Roman" w:eastAsia="Times New Roman" w:hAnsi="Times New Roman"/>
          <w:sz w:val="18"/>
          <w:szCs w:val="18"/>
          <w:b w:val="1"/>
          <w:bCs w:val="1"/>
          <w:color w:val="auto"/>
        </w:rPr>
        <w:t>Section 6.01</w:t>
      </w:r>
      <w:r>
        <w:rPr>
          <w:rFonts w:ascii="Times New Roman" w:cs="Times New Roman" w:eastAsia="Times New Roman" w:hAnsi="Times New Roman"/>
          <w:sz w:val="18"/>
          <w:szCs w:val="18"/>
          <w:color w:val="auto"/>
        </w:rPr>
        <w:t>, the Company Successor Entity (if not the Company) will succeed to, and may exercise every right and power of, the Company under this Indenture and the Notes with the same effect as if such Company Successor Entity had been named as the Company in this Indenture and the Notes, and, except in the case of a lease, the predecessor Company will be discharged from its obligations under this Indenture and the Notes.</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6.03. E</w:t>
      </w:r>
      <w:r>
        <w:rPr>
          <w:rFonts w:ascii="Times New Roman" w:cs="Times New Roman" w:eastAsia="Times New Roman" w:hAnsi="Times New Roman"/>
          <w:sz w:val="14"/>
          <w:szCs w:val="14"/>
          <w:b w:val="1"/>
          <w:bCs w:val="1"/>
          <w:color w:val="auto"/>
        </w:rPr>
        <w:t>XCLUSION FOR</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SSET</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RANSFERS WITH</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HOLLY</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WNED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UBSIDIARIES</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ind w:left="4" w:right="160" w:firstLine="440"/>
        <w:spacing w:after="0" w:line="286" w:lineRule="auto"/>
        <w:rPr>
          <w:sz w:val="20"/>
          <w:szCs w:val="20"/>
          <w:color w:val="auto"/>
        </w:rPr>
      </w:pPr>
      <w:r>
        <w:rPr>
          <w:rFonts w:ascii="Times New Roman" w:cs="Times New Roman" w:eastAsia="Times New Roman" w:hAnsi="Times New Roman"/>
          <w:sz w:val="18"/>
          <w:szCs w:val="18"/>
          <w:color w:val="auto"/>
        </w:rPr>
        <w:t xml:space="preserve">Notwithstanding anything to the contrary in this </w:t>
      </w:r>
      <w:r>
        <w:rPr>
          <w:rFonts w:ascii="Times New Roman" w:cs="Times New Roman" w:eastAsia="Times New Roman" w:hAnsi="Times New Roman"/>
          <w:sz w:val="18"/>
          <w:szCs w:val="18"/>
          <w:b w:val="1"/>
          <w:bCs w:val="1"/>
          <w:color w:val="auto"/>
        </w:rPr>
        <w:t>Article 6</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b w:val="1"/>
          <w:bCs w:val="1"/>
          <w:color w:val="auto"/>
        </w:rPr>
        <w:t>Article 6</w:t>
      </w:r>
      <w:r>
        <w:rPr>
          <w:rFonts w:ascii="Times New Roman" w:cs="Times New Roman" w:eastAsia="Times New Roman" w:hAnsi="Times New Roman"/>
          <w:sz w:val="18"/>
          <w:szCs w:val="18"/>
          <w:color w:val="auto"/>
        </w:rPr>
        <w:t xml:space="preserve"> will not apply to any transfer of assets between or among the Company and any one or more of its Wholly Owned Subsidiaries not effected by merger or consolidation.</w:t>
      </w:r>
    </w:p>
    <w:p>
      <w:pPr>
        <w:spacing w:after="0" w:line="37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7. DEFAULTS AND REMEDIES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7.01. E</w:t>
      </w:r>
      <w:r>
        <w:rPr>
          <w:rFonts w:ascii="Times New Roman" w:cs="Times New Roman" w:eastAsia="Times New Roman" w:hAnsi="Times New Roman"/>
          <w:sz w:val="14"/>
          <w:szCs w:val="14"/>
          <w:b w:val="1"/>
          <w:bCs w:val="1"/>
          <w:color w:val="auto"/>
        </w:rPr>
        <w:t>VENTS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EFAULT</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ind w:left="304" w:hanging="304"/>
        <w:spacing w:after="0"/>
        <w:tabs>
          <w:tab w:leader="none" w:pos="304"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Definition of Events of Default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means the occurrence of any of the following:</w:t>
      </w:r>
    </w:p>
    <w:p>
      <w:pPr>
        <w:spacing w:after="0" w:line="121" w:lineRule="exact"/>
        <w:rPr>
          <w:rFonts w:ascii="Times New Roman" w:cs="Times New Roman" w:eastAsia="Times New Roman" w:hAnsi="Times New Roman"/>
          <w:sz w:val="18"/>
          <w:szCs w:val="18"/>
          <w:color w:val="auto"/>
        </w:rPr>
      </w:pPr>
    </w:p>
    <w:p>
      <w:pPr>
        <w:ind w:left="444" w:right="440" w:hanging="4"/>
        <w:spacing w:after="0" w:line="282" w:lineRule="auto"/>
        <w:tabs>
          <w:tab w:leader="none" w:pos="659"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 the payment when due (whether at maturity, upon Redemption or Repurchase Upon Fundamental Change or otherwise) of the principal of, or the Redemption Price or Fundamental Change Repurchase Price for, any Note;</w:t>
      </w:r>
    </w:p>
    <w:p>
      <w:pPr>
        <w:spacing w:after="0" w:line="53"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for thirty (30) consecutive days in the payment when due of interest on any Note;</w:t>
      </w:r>
    </w:p>
    <w:p>
      <w:pPr>
        <w:spacing w:after="0" w:line="113" w:lineRule="exact"/>
        <w:rPr>
          <w:rFonts w:ascii="Times New Roman" w:cs="Times New Roman" w:eastAsia="Times New Roman" w:hAnsi="Times New Roman"/>
          <w:sz w:val="18"/>
          <w:szCs w:val="18"/>
          <w:color w:val="auto"/>
        </w:rPr>
      </w:pPr>
    </w:p>
    <w:p>
      <w:pPr>
        <w:ind w:left="444" w:right="180" w:hanging="4"/>
        <w:spacing w:after="0" w:line="268" w:lineRule="auto"/>
        <w:tabs>
          <w:tab w:leader="none" w:pos="759"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failure to deliver, when required by this Indenture, a Fundamental Change Notice, or a notice pursuant to </w:t>
      </w:r>
      <w:r>
        <w:rPr>
          <w:rFonts w:ascii="Times New Roman" w:cs="Times New Roman" w:eastAsia="Times New Roman" w:hAnsi="Times New Roman"/>
          <w:sz w:val="18"/>
          <w:szCs w:val="18"/>
          <w:b w:val="1"/>
          <w:bCs w:val="1"/>
          <w:color w:val="auto"/>
        </w:rPr>
        <w:t>Section 5.01(C)(i)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(3</w:t>
      </w:r>
      <w:r>
        <w:rPr>
          <w:rFonts w:ascii="Times New Roman" w:cs="Times New Roman" w:eastAsia="Times New Roman" w:hAnsi="Times New Roman"/>
          <w:sz w:val="18"/>
          <w:szCs w:val="18"/>
          <w:color w:val="auto"/>
        </w:rPr>
        <w:t>), if (in the case of any notice other than a notice pursuant to</w:t>
      </w:r>
      <w:r>
        <w:rPr>
          <w:rFonts w:ascii="Times New Roman" w:cs="Times New Roman" w:eastAsia="Times New Roman" w:hAnsi="Times New Roman"/>
          <w:sz w:val="18"/>
          <w:szCs w:val="18"/>
          <w:b w:val="1"/>
          <w:bCs w:val="1"/>
          <w:color w:val="auto"/>
        </w:rPr>
        <w:t xml:space="preserve"> Section 5.01(C)(i)(3</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such failure is not cured within five (5) days after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occurrence;</w:t>
      </w:r>
    </w:p>
    <w:p>
      <w:pPr>
        <w:spacing w:after="0" w:line="62" w:lineRule="exact"/>
        <w:rPr>
          <w:rFonts w:ascii="Times New Roman" w:cs="Times New Roman" w:eastAsia="Times New Roman" w:hAnsi="Times New Roman"/>
          <w:sz w:val="18"/>
          <w:szCs w:val="18"/>
          <w:color w:val="auto"/>
        </w:rPr>
      </w:pPr>
    </w:p>
    <w:p>
      <w:pPr>
        <w:ind w:left="444" w:right="160" w:hanging="4"/>
        <w:spacing w:after="0" w:line="286" w:lineRule="auto"/>
        <w:tabs>
          <w:tab w:leader="none" w:pos="749"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default in the Company’s obligation to Exchange a Note in accordance with </w:t>
      </w:r>
      <w:r>
        <w:rPr>
          <w:rFonts w:ascii="Times New Roman" w:cs="Times New Roman" w:eastAsia="Times New Roman" w:hAnsi="Times New Roman"/>
          <w:sz w:val="18"/>
          <w:szCs w:val="18"/>
          <w:b w:val="1"/>
          <w:bCs w:val="1"/>
          <w:color w:val="auto"/>
        </w:rPr>
        <w:t>Article 5</w:t>
      </w:r>
      <w:r>
        <w:rPr>
          <w:rFonts w:ascii="Times New Roman" w:cs="Times New Roman" w:eastAsia="Times New Roman" w:hAnsi="Times New Roman"/>
          <w:sz w:val="18"/>
          <w:szCs w:val="18"/>
          <w:color w:val="auto"/>
        </w:rPr>
        <w:t xml:space="preserve"> upon the exercise of the Exchange right with respect thereto, if such default is not cured within three (3) days after its occurrence;</w:t>
      </w:r>
    </w:p>
    <w:p>
      <w:pPr>
        <w:spacing w:after="0" w:line="46"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default in the Company’s obligations under </w:t>
      </w:r>
      <w:r>
        <w:rPr>
          <w:rFonts w:ascii="Times New Roman" w:cs="Times New Roman" w:eastAsia="Times New Roman" w:hAnsi="Times New Roman"/>
          <w:sz w:val="18"/>
          <w:szCs w:val="18"/>
          <w:b w:val="1"/>
          <w:bCs w:val="1"/>
          <w:color w:val="auto"/>
        </w:rPr>
        <w:t>Article 6</w:t>
      </w:r>
      <w:r>
        <w:rPr>
          <w:rFonts w:ascii="Times New Roman" w:cs="Times New Roman" w:eastAsia="Times New Roman" w:hAnsi="Times New Roman"/>
          <w:sz w:val="18"/>
          <w:szCs w:val="18"/>
          <w:color w:val="auto"/>
        </w:rPr>
        <w:t xml:space="preserve"> or in any Guarantor’s obligations under </w:t>
      </w:r>
      <w:r>
        <w:rPr>
          <w:rFonts w:ascii="Times New Roman" w:cs="Times New Roman" w:eastAsia="Times New Roman" w:hAnsi="Times New Roman"/>
          <w:sz w:val="18"/>
          <w:szCs w:val="18"/>
          <w:b w:val="1"/>
          <w:bCs w:val="1"/>
          <w:color w:val="auto"/>
        </w:rPr>
        <w:t>Section 9.05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Section 9.06</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2"/>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63 -</w:t>
      </w:r>
    </w:p>
    <w:p>
      <w:pPr>
        <w:sectPr>
          <w:pgSz w:w="11900" w:h="16838" w:orient="portrait"/>
          <w:cols w:equalWidth="0" w:num="1">
            <w:col w:w="11004"/>
          </w:cols>
          <w:pgMar w:left="436" w:top="268" w:right="459" w:bottom="1440" w:gutter="0" w:footer="0" w:header="0"/>
        </w:sectPr>
      </w:pPr>
    </w:p>
    <w:bookmarkStart w:id="76" w:name="page77"/>
    <w:bookmarkEnd w:id="76"/>
    <w:p>
      <w:pPr>
        <w:ind w:left="4" w:hanging="4"/>
        <w:spacing w:after="0" w:line="258" w:lineRule="auto"/>
        <w:tabs>
          <w:tab w:leader="none" w:pos="308"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 default in any of the Company’s obligations or agreements, in Holdings’ obligations or agreements, or in any Subsidiary Guarantor’s obligations or agreements under this Indenture or the Notes (other than a default set forth in </w:t>
      </w:r>
      <w:r>
        <w:rPr>
          <w:rFonts w:ascii="Times New Roman" w:cs="Times New Roman" w:eastAsia="Times New Roman" w:hAnsi="Times New Roman"/>
          <w:sz w:val="18"/>
          <w:szCs w:val="18"/>
          <w:b w:val="1"/>
          <w:bCs w:val="1"/>
          <w:color w:val="auto"/>
        </w:rPr>
        <w:t>clause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(iv</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(v</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b w:val="1"/>
          <w:bCs w:val="1"/>
          <w:color w:val="auto"/>
        </w:rPr>
        <w:t>Section 7.01(A</w:t>
      </w:r>
      <w:r>
        <w:rPr>
          <w:rFonts w:ascii="Times New Roman" w:cs="Times New Roman" w:eastAsia="Times New Roman" w:hAnsi="Times New Roman"/>
          <w:sz w:val="18"/>
          <w:szCs w:val="18"/>
          <w:color w:val="auto"/>
        </w:rPr>
        <w:t>)) where such default is not cured or waived within sixty (60) days after notice to the Company by the Trustee, or to the Company and the Trustee by Holders of at least twenty five percent (25%) of the aggregate principal amount of Notes then outstanding, which notice must specify such default, demand that it be remedied and state that such notice is a “Notice of Default”;</w:t>
      </w:r>
    </w:p>
    <w:p>
      <w:pPr>
        <w:spacing w:after="0" w:line="75" w:lineRule="exact"/>
        <w:rPr>
          <w:rFonts w:ascii="Times New Roman" w:cs="Times New Roman" w:eastAsia="Times New Roman" w:hAnsi="Times New Roman"/>
          <w:sz w:val="18"/>
          <w:szCs w:val="18"/>
          <w:color w:val="auto"/>
        </w:rPr>
      </w:pPr>
    </w:p>
    <w:p>
      <w:pPr>
        <w:ind w:left="4" w:right="200" w:hanging="4"/>
        <w:spacing w:after="0" w:line="258" w:lineRule="auto"/>
        <w:tabs>
          <w:tab w:leader="none" w:pos="358"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by the Company, Holdings or any of the Company’s or Holdings’ respective Significant Subsidiaries with respect to any one or more mortgages, agreements or other instruments under which there is outstanding, or by which there is secured or evidenced, any indebtedness for money borrowed of at least seventy five million dollars ($75,000,000) (or its foreign currency equivalent) in the aggregate of the Company, Holdings or any of the Company’s or Holdings’ respective Significant Subsidiaries, whether such indebtedness exists as of the Issue Date or is thereafter created, where such default:</w:t>
      </w:r>
    </w:p>
    <w:p>
      <w:pPr>
        <w:spacing w:after="0" w:line="75" w:lineRule="exact"/>
        <w:rPr>
          <w:rFonts w:ascii="Times New Roman" w:cs="Times New Roman" w:eastAsia="Times New Roman" w:hAnsi="Times New Roman"/>
          <w:sz w:val="18"/>
          <w:szCs w:val="18"/>
          <w:color w:val="auto"/>
        </w:rPr>
      </w:pPr>
    </w:p>
    <w:p>
      <w:pPr>
        <w:ind w:left="1204" w:hanging="252"/>
        <w:spacing w:after="0"/>
        <w:tabs>
          <w:tab w:leader="none" w:pos="1204"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constitutes a failure to pay the principal of such indebtedness when due and payable at its final maturity; or</w:t>
      </w:r>
    </w:p>
    <w:p>
      <w:pPr>
        <w:spacing w:after="0" w:line="117" w:lineRule="exact"/>
        <w:rPr>
          <w:rFonts w:ascii="Times New Roman" w:cs="Times New Roman" w:eastAsia="Times New Roman" w:hAnsi="Times New Roman"/>
          <w:sz w:val="18"/>
          <w:szCs w:val="18"/>
          <w:color w:val="auto"/>
        </w:rPr>
      </w:pPr>
    </w:p>
    <w:p>
      <w:pPr>
        <w:ind w:left="1204" w:hanging="252"/>
        <w:spacing w:after="0"/>
        <w:tabs>
          <w:tab w:leader="none" w:pos="1204"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 such indebtedness becoming or being declared due and payable before its express maturity,</w:t>
      </w:r>
    </w:p>
    <w:p>
      <w:pPr>
        <w:spacing w:after="0" w:line="117" w:lineRule="exact"/>
        <w:rPr>
          <w:sz w:val="20"/>
          <w:szCs w:val="20"/>
          <w:color w:val="auto"/>
        </w:rPr>
      </w:pPr>
    </w:p>
    <w:p>
      <w:pPr>
        <w:ind w:left="4" w:right="180"/>
        <w:spacing w:after="0" w:line="282" w:lineRule="auto"/>
        <w:rPr>
          <w:sz w:val="20"/>
          <w:szCs w:val="20"/>
          <w:color w:val="auto"/>
        </w:rPr>
      </w:pPr>
      <w:r>
        <w:rPr>
          <w:rFonts w:ascii="Times New Roman" w:cs="Times New Roman" w:eastAsia="Times New Roman" w:hAnsi="Times New Roman"/>
          <w:sz w:val="18"/>
          <w:szCs w:val="18"/>
          <w:color w:val="auto"/>
        </w:rPr>
        <w:t>in each case where such default is not cured or waived within thirty (30) days after notice to the Company by the Trustee or to the Company and the Trustee by Holders of at least twenty five percent (25%) of the aggregate principal amount of Notes then outstanding;</w:t>
      </w:r>
    </w:p>
    <w:p>
      <w:pPr>
        <w:spacing w:after="0" w:line="54" w:lineRule="exact"/>
        <w:rPr>
          <w:sz w:val="20"/>
          <w:szCs w:val="20"/>
          <w:color w:val="auto"/>
        </w:rPr>
      </w:pPr>
    </w:p>
    <w:p>
      <w:pPr>
        <w:ind w:left="4" w:right="120" w:hanging="4"/>
        <w:spacing w:after="0" w:line="282" w:lineRule="auto"/>
        <w:tabs>
          <w:tab w:leader="none" w:pos="408"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permitted by this Indenture, any Guarantee ceases to be in full force and effect or any Guarantor denies or disaffirms its obligations under its Guarantee;</w:t>
      </w:r>
    </w:p>
    <w:p>
      <w:pPr>
        <w:spacing w:after="0" w:line="53" w:lineRule="exact"/>
        <w:rPr>
          <w:rFonts w:ascii="Times New Roman" w:cs="Times New Roman" w:eastAsia="Times New Roman" w:hAnsi="Times New Roman"/>
          <w:sz w:val="18"/>
          <w:szCs w:val="18"/>
          <w:color w:val="auto"/>
        </w:rPr>
      </w:pPr>
    </w:p>
    <w:p>
      <w:pPr>
        <w:ind w:left="304" w:hanging="304"/>
        <w:spacing w:after="0"/>
        <w:tabs>
          <w:tab w:leader="none" w:pos="304"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Holdings, or any of their respective Significant Subsidiaries, pursuant to or within the meaning of any Bankruptcy Law, either:</w:t>
      </w:r>
    </w:p>
    <w:p>
      <w:pPr>
        <w:spacing w:after="0" w:line="117" w:lineRule="exact"/>
        <w:rPr>
          <w:rFonts w:ascii="Times New Roman" w:cs="Times New Roman" w:eastAsia="Times New Roman" w:hAnsi="Times New Roman"/>
          <w:sz w:val="18"/>
          <w:szCs w:val="18"/>
          <w:color w:val="auto"/>
        </w:rPr>
      </w:pPr>
    </w:p>
    <w:p>
      <w:pPr>
        <w:ind w:left="1204" w:hanging="252"/>
        <w:spacing w:after="0"/>
        <w:tabs>
          <w:tab w:leader="none" w:pos="1204"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commences a voluntary case or proceeding;</w:t>
      </w:r>
    </w:p>
    <w:p>
      <w:pPr>
        <w:spacing w:after="0" w:line="117" w:lineRule="exact"/>
        <w:rPr>
          <w:rFonts w:ascii="Times New Roman" w:cs="Times New Roman" w:eastAsia="Times New Roman" w:hAnsi="Times New Roman"/>
          <w:sz w:val="18"/>
          <w:szCs w:val="18"/>
          <w:color w:val="auto"/>
        </w:rPr>
      </w:pPr>
    </w:p>
    <w:p>
      <w:pPr>
        <w:ind w:left="1204" w:hanging="252"/>
        <w:spacing w:after="0"/>
        <w:tabs>
          <w:tab w:leader="none" w:pos="1204"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entry of an order for relief against it in an involuntary case or proceeding;</w:t>
      </w:r>
    </w:p>
    <w:p>
      <w:pPr>
        <w:spacing w:after="0" w:line="117" w:lineRule="exact"/>
        <w:rPr>
          <w:rFonts w:ascii="Times New Roman" w:cs="Times New Roman" w:eastAsia="Times New Roman" w:hAnsi="Times New Roman"/>
          <w:sz w:val="18"/>
          <w:szCs w:val="18"/>
          <w:color w:val="auto"/>
        </w:rPr>
      </w:pPr>
    </w:p>
    <w:p>
      <w:pPr>
        <w:ind w:left="1204" w:hanging="252"/>
        <w:spacing w:after="0"/>
        <w:tabs>
          <w:tab w:leader="none" w:pos="1204"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appointment of a custodian of it or for any substantial part of its property;</w:t>
      </w:r>
    </w:p>
    <w:p>
      <w:pPr>
        <w:spacing w:after="0" w:line="117" w:lineRule="exact"/>
        <w:rPr>
          <w:rFonts w:ascii="Times New Roman" w:cs="Times New Roman" w:eastAsia="Times New Roman" w:hAnsi="Times New Roman"/>
          <w:sz w:val="18"/>
          <w:szCs w:val="18"/>
          <w:color w:val="auto"/>
        </w:rPr>
      </w:pPr>
    </w:p>
    <w:p>
      <w:pPr>
        <w:ind w:left="1204" w:hanging="252"/>
        <w:spacing w:after="0"/>
        <w:tabs>
          <w:tab w:leader="none" w:pos="1204"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a general assignment for the benefit of its creditors;</w:t>
      </w:r>
    </w:p>
    <w:p>
      <w:pPr>
        <w:spacing w:after="0" w:line="117" w:lineRule="exact"/>
        <w:rPr>
          <w:rFonts w:ascii="Times New Roman" w:cs="Times New Roman" w:eastAsia="Times New Roman" w:hAnsi="Times New Roman"/>
          <w:sz w:val="18"/>
          <w:szCs w:val="18"/>
          <w:color w:val="auto"/>
        </w:rPr>
      </w:pPr>
    </w:p>
    <w:p>
      <w:pPr>
        <w:ind w:left="1204" w:hanging="252"/>
        <w:spacing w:after="0"/>
        <w:tabs>
          <w:tab w:leader="none" w:pos="1204"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takes any comparable action under any foreign Bankruptcy Law; or</w:t>
      </w:r>
    </w:p>
    <w:p>
      <w:pPr>
        <w:spacing w:after="0" w:line="117" w:lineRule="exact"/>
        <w:rPr>
          <w:rFonts w:ascii="Times New Roman" w:cs="Times New Roman" w:eastAsia="Times New Roman" w:hAnsi="Times New Roman"/>
          <w:sz w:val="18"/>
          <w:szCs w:val="18"/>
          <w:color w:val="auto"/>
        </w:rPr>
      </w:pPr>
    </w:p>
    <w:p>
      <w:pPr>
        <w:ind w:left="1204" w:hanging="252"/>
        <w:spacing w:after="0"/>
        <w:tabs>
          <w:tab w:leader="none" w:pos="1204"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is not paying its debts as they become due; or</w:t>
      </w:r>
    </w:p>
    <w:p>
      <w:pPr>
        <w:spacing w:after="0" w:line="117"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of competent jurisdiction enters an order or decree under any Bankruptcy Law that either:</w:t>
      </w:r>
    </w:p>
    <w:p>
      <w:pPr>
        <w:spacing w:after="0" w:line="157" w:lineRule="exact"/>
        <w:rPr>
          <w:rFonts w:ascii="Times New Roman" w:cs="Times New Roman" w:eastAsia="Times New Roman" w:hAnsi="Times New Roman"/>
          <w:sz w:val="18"/>
          <w:szCs w:val="18"/>
          <w:color w:val="auto"/>
        </w:rPr>
      </w:pPr>
    </w:p>
    <w:p>
      <w:pPr>
        <w:ind w:left="4984" w:hanging="111"/>
        <w:spacing w:after="0"/>
        <w:tabs>
          <w:tab w:leader="none" w:pos="4984" w:val="left"/>
        </w:tabs>
        <w:numPr>
          <w:ilvl w:val="2"/>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64 -</w:t>
      </w:r>
    </w:p>
    <w:p>
      <w:pPr>
        <w:sectPr>
          <w:pgSz w:w="11900" w:h="16838" w:orient="portrait"/>
          <w:cols w:equalWidth="0" w:num="1">
            <w:col w:w="10564"/>
          </w:cols>
          <w:pgMar w:left="876" w:top="270" w:right="459" w:bottom="1440" w:gutter="0" w:footer="0" w:header="0"/>
        </w:sectPr>
      </w:pPr>
    </w:p>
    <w:bookmarkStart w:id="77" w:name="page78"/>
    <w:bookmarkEnd w:id="77"/>
    <w:p>
      <w:pPr>
        <w:ind w:left="984" w:right="740" w:firstLine="408"/>
        <w:spacing w:after="0" w:line="282" w:lineRule="auto"/>
        <w:tabs>
          <w:tab w:leader="none" w:pos="16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is for relief against the Company, Holdings, or any of their respective Significant Subsidiaries in an involuntary case or proceeding;</w:t>
      </w:r>
    </w:p>
    <w:p>
      <w:pPr>
        <w:spacing w:after="0" w:line="53" w:lineRule="exact"/>
        <w:rPr>
          <w:rFonts w:ascii="Times New Roman" w:cs="Times New Roman" w:eastAsia="Times New Roman" w:hAnsi="Times New Roman"/>
          <w:sz w:val="18"/>
          <w:szCs w:val="18"/>
          <w:color w:val="auto"/>
        </w:rPr>
      </w:pPr>
    </w:p>
    <w:p>
      <w:pPr>
        <w:ind w:left="984" w:right="120" w:firstLine="408"/>
        <w:spacing w:after="0" w:line="282" w:lineRule="auto"/>
        <w:tabs>
          <w:tab w:leader="none" w:pos="16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appoints a custodian of the Company, Holdings, or any of their respective Significant Subsidiaries, or for any substantial part of the property of the Company, Holdings, or any of their respective Significant Subsidiaries;</w:t>
      </w:r>
    </w:p>
    <w:p>
      <w:pPr>
        <w:spacing w:after="0" w:line="53" w:lineRule="exact"/>
        <w:rPr>
          <w:rFonts w:ascii="Times New Roman" w:cs="Times New Roman" w:eastAsia="Times New Roman" w:hAnsi="Times New Roman"/>
          <w:sz w:val="18"/>
          <w:szCs w:val="18"/>
          <w:color w:val="auto"/>
        </w:rPr>
      </w:pPr>
    </w:p>
    <w:p>
      <w:pPr>
        <w:ind w:left="1644" w:hanging="252"/>
        <w:spacing w:after="0"/>
        <w:tabs>
          <w:tab w:leader="none" w:pos="1644"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the winding up or liquidation of the Company, Holdings, or any of their respective Significant Subsidiaries; or</w:t>
      </w:r>
    </w:p>
    <w:p>
      <w:pPr>
        <w:spacing w:after="0" w:line="117" w:lineRule="exact"/>
        <w:rPr>
          <w:rFonts w:ascii="Times New Roman" w:cs="Times New Roman" w:eastAsia="Times New Roman" w:hAnsi="Times New Roman"/>
          <w:sz w:val="18"/>
          <w:szCs w:val="18"/>
          <w:color w:val="auto"/>
        </w:rPr>
      </w:pPr>
    </w:p>
    <w:p>
      <w:pPr>
        <w:ind w:left="1644" w:hanging="252"/>
        <w:spacing w:after="0"/>
        <w:tabs>
          <w:tab w:leader="none" w:pos="1644"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grants any similar relief under any foreign Bankruptcy Law,</w:t>
      </w:r>
    </w:p>
    <w:p>
      <w:pPr>
        <w:spacing w:after="0" w:line="11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and, in each case under this </w:t>
      </w:r>
      <w:r>
        <w:rPr>
          <w:rFonts w:ascii="Times New Roman" w:cs="Times New Roman" w:eastAsia="Times New Roman" w:hAnsi="Times New Roman"/>
          <w:sz w:val="18"/>
          <w:szCs w:val="18"/>
          <w:b w:val="1"/>
          <w:bCs w:val="1"/>
          <w:color w:val="auto"/>
        </w:rPr>
        <w:t>Section 7.01(A)(x)</w:t>
      </w:r>
      <w:r>
        <w:rPr>
          <w:rFonts w:ascii="Times New Roman" w:cs="Times New Roman" w:eastAsia="Times New Roman" w:hAnsi="Times New Roman"/>
          <w:sz w:val="18"/>
          <w:szCs w:val="18"/>
          <w:color w:val="auto"/>
        </w:rPr>
        <w:t>, such order or decree remains unstayed and in effect for at least sixty (60) days.</w:t>
      </w:r>
    </w:p>
    <w:p>
      <w:pPr>
        <w:spacing w:after="0" w:line="225" w:lineRule="exact"/>
        <w:rPr>
          <w:sz w:val="20"/>
          <w:szCs w:val="20"/>
          <w:color w:val="auto"/>
        </w:rPr>
      </w:pPr>
    </w:p>
    <w:p>
      <w:pPr>
        <w:ind w:left="4" w:right="20" w:hanging="4"/>
        <w:spacing w:after="0" w:line="268" w:lineRule="auto"/>
        <w:tabs>
          <w:tab w:leader="none" w:pos="289"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Cause Irrelevant</w:t>
      </w:r>
      <w:r>
        <w:rPr>
          <w:rFonts w:ascii="Times New Roman" w:cs="Times New Roman" w:eastAsia="Times New Roman" w:hAnsi="Times New Roman"/>
          <w:sz w:val="18"/>
          <w:szCs w:val="18"/>
          <w:color w:val="auto"/>
        </w:rPr>
        <w:t>. Each of the events set forth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7.01(A</w:t>
      </w:r>
      <w:r>
        <w:rPr>
          <w:rFonts w:ascii="Times New Roman" w:cs="Times New Roman" w:eastAsia="Times New Roman" w:hAnsi="Times New Roman"/>
          <w:sz w:val="18"/>
          <w:szCs w:val="18"/>
          <w:color w:val="auto"/>
        </w:rPr>
        <w:t>) will constitute an Event of Default regardless of the cause thereof or whether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voluntary or involuntary or effected by operation of law or pursuant to any judgment, decree or order of any court or any order, rule or regulation of any administrative or governmental body.</w:t>
      </w:r>
    </w:p>
    <w:p>
      <w:pPr>
        <w:spacing w:after="0" w:line="27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7.02. A</w:t>
      </w:r>
      <w:r>
        <w:rPr>
          <w:rFonts w:ascii="Times New Roman" w:cs="Times New Roman" w:eastAsia="Times New Roman" w:hAnsi="Times New Roman"/>
          <w:sz w:val="14"/>
          <w:szCs w:val="14"/>
          <w:b w:val="1"/>
          <w:bCs w:val="1"/>
          <w:color w:val="auto"/>
        </w:rPr>
        <w:t>CCELERATION</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ind w:left="4" w:hanging="4"/>
        <w:spacing w:after="0" w:line="262" w:lineRule="auto"/>
        <w:tabs>
          <w:tab w:leader="none" w:pos="299"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Automatic Acceleration in Certain Circumstances</w:t>
      </w:r>
      <w:r>
        <w:rPr>
          <w:rFonts w:ascii="Times New Roman" w:cs="Times New Roman" w:eastAsia="Times New Roman" w:hAnsi="Times New Roman"/>
          <w:sz w:val="18"/>
          <w:szCs w:val="18"/>
          <w:color w:val="auto"/>
        </w:rPr>
        <w:t>. If an Event of Default set forth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7.01(A)(ix</w:t>
      </w:r>
      <w:r>
        <w:rPr>
          <w:rFonts w:ascii="Times New Roman" w:cs="Times New Roman" w:eastAsia="Times New Roman" w:hAnsi="Times New Roman"/>
          <w:sz w:val="18"/>
          <w:szCs w:val="18"/>
          <w:color w:val="auto"/>
        </w:rPr>
        <w: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7.01(A)(x</w:t>
      </w:r>
      <w:r>
        <w:rPr>
          <w:rFonts w:ascii="Times New Roman" w:cs="Times New Roman" w:eastAsia="Times New Roman" w:hAnsi="Times New Roman"/>
          <w:sz w:val="18"/>
          <w:szCs w:val="18"/>
          <w:color w:val="auto"/>
        </w:rPr>
        <w:t>) occurs with respect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or Holdings (and not solely with respect to a Significant Subsidiary of the Company or of Holdings (other than the Company)), then the principal amount of, and all accrued and unpaid interest on, and all of the Notes then outstanding will immediately become due and payable without any further action or notice by any Person.</w:t>
      </w:r>
    </w:p>
    <w:p>
      <w:pPr>
        <w:spacing w:after="0" w:line="176" w:lineRule="exact"/>
        <w:rPr>
          <w:rFonts w:ascii="Times New Roman" w:cs="Times New Roman" w:eastAsia="Times New Roman" w:hAnsi="Times New Roman"/>
          <w:sz w:val="18"/>
          <w:szCs w:val="18"/>
          <w:color w:val="auto"/>
        </w:rPr>
      </w:pPr>
    </w:p>
    <w:p>
      <w:pPr>
        <w:ind w:left="4" w:right="40" w:hanging="4"/>
        <w:spacing w:after="0" w:line="259" w:lineRule="auto"/>
        <w:tabs>
          <w:tab w:leader="none" w:pos="289"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Optional Acceleration</w:t>
      </w:r>
      <w:r>
        <w:rPr>
          <w:rFonts w:ascii="Times New Roman" w:cs="Times New Roman" w:eastAsia="Times New Roman" w:hAnsi="Times New Roman"/>
          <w:sz w:val="18"/>
          <w:szCs w:val="18"/>
          <w:color w:val="auto"/>
        </w:rPr>
        <w:t>.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7.03</w:t>
      </w:r>
      <w:r>
        <w:rPr>
          <w:rFonts w:ascii="Times New Roman" w:cs="Times New Roman" w:eastAsia="Times New Roman" w:hAnsi="Times New Roman"/>
          <w:sz w:val="18"/>
          <w:szCs w:val="18"/>
          <w:color w:val="auto"/>
        </w:rPr>
        <w:t>, if an Event of Default (other than an Event of Default set forth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7.01(A)(ix</w:t>
      </w:r>
      <w:r>
        <w:rPr>
          <w:rFonts w:ascii="Times New Roman" w:cs="Times New Roman" w:eastAsia="Times New Roman" w:hAnsi="Times New Roman"/>
          <w:sz w:val="18"/>
          <w:szCs w:val="18"/>
          <w:color w:val="auto"/>
        </w:rPr>
        <w: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7.01(A)(x</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respect to the Company or Holdings and not solely with respect to a Significant Subsidiary of the Company or of Holdings (other than the Company)) occurs and is continuing, then the Trustee, by notice to the Company, or Holders of at least twenty five percent (25%) of the aggregate principal amount of Notes then outstanding, by notice to the Company and the Trustee, may declare the principal amount of, and all accrued and unpaid interest on, and all of the Notes then outstanding to become due and payable immediately.</w:t>
      </w:r>
    </w:p>
    <w:p>
      <w:pPr>
        <w:spacing w:after="0" w:line="181" w:lineRule="exact"/>
        <w:rPr>
          <w:rFonts w:ascii="Times New Roman" w:cs="Times New Roman" w:eastAsia="Times New Roman" w:hAnsi="Times New Roman"/>
          <w:sz w:val="18"/>
          <w:szCs w:val="18"/>
          <w:color w:val="auto"/>
        </w:rPr>
      </w:pPr>
    </w:p>
    <w:p>
      <w:pPr>
        <w:ind w:left="4" w:right="60" w:hanging="4"/>
        <w:spacing w:after="0" w:line="258" w:lineRule="auto"/>
        <w:tabs>
          <w:tab w:leader="none" w:pos="289"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Rescission of Acceleration</w:t>
      </w:r>
      <w:r>
        <w:rPr>
          <w:rFonts w:ascii="Times New Roman" w:cs="Times New Roman" w:eastAsia="Times New Roman" w:hAnsi="Times New Roman"/>
          <w:sz w:val="18"/>
          <w:szCs w:val="18"/>
          <w:color w:val="auto"/>
        </w:rPr>
        <w:t>. Notwithstanding anything to the contrary in this Indenture or the Notes, the Holders of a majority in aggregate principal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of the Notes then outstanding, by notice to the Company and the Trustee, may, on behalf of all Holders, rescind any acceleration of the Notes and its consequences if (i) such rescission would not conflict with any judgment or decree of a court of competent jurisdiction; and (ii) all existing Events of Default (except the non-payment of principal of, or interest on, or the Notes that has become due solely because of such acceleration) have been cured or waived. No such rescission will affect any subsequent Default or impair any right consequent thereto.</w:t>
      </w:r>
    </w:p>
    <w:p>
      <w:pPr>
        <w:spacing w:after="0" w:line="117"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65 -</w:t>
      </w:r>
    </w:p>
    <w:p>
      <w:pPr>
        <w:sectPr>
          <w:pgSz w:w="11900" w:h="16838" w:orient="portrait"/>
          <w:cols w:equalWidth="0" w:num="1">
            <w:col w:w="10964"/>
          </w:cols>
          <w:pgMar w:left="436" w:top="270" w:right="499" w:bottom="1440" w:gutter="0" w:footer="0" w:header="0"/>
        </w:sectPr>
      </w:pPr>
    </w:p>
    <w:bookmarkStart w:id="78" w:name="page79"/>
    <w:bookmarkEnd w:id="78"/>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7.03. S</w:t>
      </w:r>
      <w:r>
        <w:rPr>
          <w:rFonts w:ascii="Times New Roman" w:cs="Times New Roman" w:eastAsia="Times New Roman" w:hAnsi="Times New Roman"/>
          <w:sz w:val="14"/>
          <w:szCs w:val="14"/>
          <w:b w:val="1"/>
          <w:bCs w:val="1"/>
          <w:color w:val="auto"/>
        </w:rPr>
        <w:t>OLE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EMEDY FOR A</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4"/>
          <w:szCs w:val="14"/>
          <w:b w:val="1"/>
          <w:bCs w:val="1"/>
          <w:color w:val="auto"/>
        </w:rPr>
        <w:t>AILURE TO</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EPORT</w:t>
      </w:r>
      <w:r>
        <w:rPr>
          <w:rFonts w:ascii="Times New Roman" w:cs="Times New Roman" w:eastAsia="Times New Roman" w:hAnsi="Times New Roman"/>
          <w:sz w:val="18"/>
          <w:szCs w:val="18"/>
          <w:b w:val="1"/>
          <w:bCs w:val="1"/>
          <w:color w:val="auto"/>
        </w:rPr>
        <w:t>.</w:t>
      </w:r>
    </w:p>
    <w:p>
      <w:pPr>
        <w:spacing w:after="0" w:line="119" w:lineRule="exact"/>
        <w:rPr>
          <w:sz w:val="20"/>
          <w:szCs w:val="20"/>
          <w:color w:val="auto"/>
        </w:rPr>
      </w:pPr>
    </w:p>
    <w:p>
      <w:pPr>
        <w:ind w:left="4" w:right="40" w:hanging="4"/>
        <w:spacing w:after="0" w:line="255" w:lineRule="auto"/>
        <w:tabs>
          <w:tab w:leader="none" w:pos="299"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 Notwithstanding anything to the contrary in this Indenture or the Notes, the Company may elect that the sole remedy for any Event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Default (a “</w:t>
      </w:r>
      <w:r>
        <w:rPr>
          <w:rFonts w:ascii="Times New Roman" w:cs="Times New Roman" w:eastAsia="Times New Roman" w:hAnsi="Times New Roman"/>
          <w:sz w:val="18"/>
          <w:szCs w:val="18"/>
          <w:b w:val="1"/>
          <w:bCs w:val="1"/>
          <w:color w:val="auto"/>
        </w:rPr>
        <w:t>Reporting Event of Default</w:t>
      </w:r>
      <w:r>
        <w:rPr>
          <w:rFonts w:ascii="Times New Roman" w:cs="Times New Roman" w:eastAsia="Times New Roman" w:hAnsi="Times New Roman"/>
          <w:sz w:val="18"/>
          <w:szCs w:val="18"/>
          <w:color w:val="auto"/>
        </w:rPr>
        <w:t xml:space="preserve">”) pursuant to </w:t>
      </w:r>
      <w:r>
        <w:rPr>
          <w:rFonts w:ascii="Times New Roman" w:cs="Times New Roman" w:eastAsia="Times New Roman" w:hAnsi="Times New Roman"/>
          <w:sz w:val="18"/>
          <w:szCs w:val="18"/>
          <w:b w:val="1"/>
          <w:bCs w:val="1"/>
          <w:color w:val="auto"/>
        </w:rPr>
        <w:t>Section 7.01(A)(vi</w:t>
      </w:r>
      <w:r>
        <w:rPr>
          <w:rFonts w:ascii="Times New Roman" w:cs="Times New Roman" w:eastAsia="Times New Roman" w:hAnsi="Times New Roman"/>
          <w:sz w:val="18"/>
          <w:szCs w:val="18"/>
          <w:color w:val="auto"/>
        </w:rPr>
        <w:t xml:space="preserve">) arising from its failure to comply with </w:t>
      </w:r>
      <w:r>
        <w:rPr>
          <w:rFonts w:ascii="Times New Roman" w:cs="Times New Roman" w:eastAsia="Times New Roman" w:hAnsi="Times New Roman"/>
          <w:sz w:val="18"/>
          <w:szCs w:val="18"/>
          <w:b w:val="1"/>
          <w:bCs w:val="1"/>
          <w:color w:val="auto"/>
        </w:rPr>
        <w:t>Section 3.02</w:t>
      </w:r>
      <w:r>
        <w:rPr>
          <w:rFonts w:ascii="Times New Roman" w:cs="Times New Roman" w:eastAsia="Times New Roman" w:hAnsi="Times New Roman"/>
          <w:sz w:val="18"/>
          <w:szCs w:val="18"/>
          <w:color w:val="auto"/>
        </w:rPr>
        <w:t xml:space="preserve"> will, for each of the first three hundred sixty (360) calendar days on which a Reporting Event of Default has occurred and is continuing, consist exclusively of the accrual of Special Interest on the Notes. If the Company has made such an election, then (i) the Notes will be subject to acceleration pursuant to </w:t>
      </w:r>
      <w:r>
        <w:rPr>
          <w:rFonts w:ascii="Times New Roman" w:cs="Times New Roman" w:eastAsia="Times New Roman" w:hAnsi="Times New Roman"/>
          <w:sz w:val="18"/>
          <w:szCs w:val="18"/>
          <w:b w:val="1"/>
          <w:bCs w:val="1"/>
          <w:color w:val="auto"/>
        </w:rPr>
        <w:t>Section 7.02</w:t>
      </w:r>
      <w:r>
        <w:rPr>
          <w:rFonts w:ascii="Times New Roman" w:cs="Times New Roman" w:eastAsia="Times New Roman" w:hAnsi="Times New Roman"/>
          <w:sz w:val="18"/>
          <w:szCs w:val="18"/>
          <w:color w:val="auto"/>
        </w:rPr>
        <w:t xml:space="preserve"> on account of the relevant Reporting Event of Default from, and including, the three hundred and sixty first (361st) calendar day on which a Reporting Event of Default has occurred and is continuing or if the Company fails to pay any accrued and unpaid Special Interest when due; and (ii) Special Interest will cease to accrue on any Notes from, and including, such three hundred and sixty first (361st) calendar day (it being understood that interest on any defaulted Special Interest will nonetheless accrue pursuant to </w:t>
      </w:r>
      <w:r>
        <w:rPr>
          <w:rFonts w:ascii="Times New Roman" w:cs="Times New Roman" w:eastAsia="Times New Roman" w:hAnsi="Times New Roman"/>
          <w:sz w:val="18"/>
          <w:szCs w:val="18"/>
          <w:b w:val="1"/>
          <w:bCs w:val="1"/>
          <w:color w:val="auto"/>
        </w:rPr>
        <w:t>Section 2.05(B</w:t>
      </w:r>
      <w:r>
        <w:rPr>
          <w:rFonts w:ascii="Times New Roman" w:cs="Times New Roman" w:eastAsia="Times New Roman" w:hAnsi="Times New Roman"/>
          <w:sz w:val="18"/>
          <w:szCs w:val="18"/>
          <w:color w:val="auto"/>
        </w:rPr>
        <w:t>)).</w:t>
      </w:r>
    </w:p>
    <w:p>
      <w:pPr>
        <w:spacing w:after="0" w:line="182" w:lineRule="exact"/>
        <w:rPr>
          <w:rFonts w:ascii="Times New Roman" w:cs="Times New Roman" w:eastAsia="Times New Roman" w:hAnsi="Times New Roman"/>
          <w:sz w:val="18"/>
          <w:szCs w:val="18"/>
          <w:color w:val="auto"/>
        </w:rPr>
      </w:pPr>
    </w:p>
    <w:p>
      <w:pPr>
        <w:ind w:left="4" w:right="80" w:hanging="4"/>
        <w:spacing w:after="0" w:line="256" w:lineRule="auto"/>
        <w:tabs>
          <w:tab w:leader="none" w:pos="289"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Amount and Payment of Special Interest</w:t>
      </w:r>
      <w:r>
        <w:rPr>
          <w:rFonts w:ascii="Times New Roman" w:cs="Times New Roman" w:eastAsia="Times New Roman" w:hAnsi="Times New Roman"/>
          <w:sz w:val="18"/>
          <w:szCs w:val="18"/>
          <w:color w:val="auto"/>
        </w:rPr>
        <w:t>. Any Special Interest that accrues on a Note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7.03(A</w:t>
      </w:r>
      <w:r>
        <w:rPr>
          <w:rFonts w:ascii="Times New Roman" w:cs="Times New Roman" w:eastAsia="Times New Roman" w:hAnsi="Times New Roman"/>
          <w:sz w:val="18"/>
          <w:szCs w:val="18"/>
          <w:color w:val="auto"/>
        </w:rPr>
        <w:t>) will be payable on the same dates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in the same manner as the Stated Interest on such Note and will accrue at a rate per annum equal to one quarter of one percent (0.25%) of the principal amount thereof for the first one hundred and eighty (180) days on which Special Interest accrues and, thereafter, at a rate per annum equal to one half of one percent (0.50%) of the principal amount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no event will Special Interest, together with any Additional Interest, accrue on any day on a Note at a combined rate per annum that exceeds one half of one percent (0.50%). For the avoidance of doubt, any Special Interest that accrues on a Note will be in addition to the Stated Interest that accrues on such Note and, subject to the proviso of the immediately preceding sentence, in addition to any Additional Interest that accrues on such Note.</w:t>
      </w:r>
    </w:p>
    <w:p>
      <w:pPr>
        <w:spacing w:after="0" w:line="182" w:lineRule="exact"/>
        <w:rPr>
          <w:rFonts w:ascii="Times New Roman" w:cs="Times New Roman" w:eastAsia="Times New Roman" w:hAnsi="Times New Roman"/>
          <w:sz w:val="18"/>
          <w:szCs w:val="18"/>
          <w:color w:val="auto"/>
        </w:rPr>
      </w:pPr>
    </w:p>
    <w:p>
      <w:pPr>
        <w:ind w:left="4" w:hanging="4"/>
        <w:spacing w:after="0" w:line="259" w:lineRule="auto"/>
        <w:tabs>
          <w:tab w:leader="none" w:pos="289"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 of Election</w:t>
      </w:r>
      <w:r>
        <w:rPr>
          <w:rFonts w:ascii="Times New Roman" w:cs="Times New Roman" w:eastAsia="Times New Roman" w:hAnsi="Times New Roman"/>
          <w:sz w:val="18"/>
          <w:szCs w:val="18"/>
          <w:color w:val="auto"/>
        </w:rPr>
        <w:t>. To make the election set forth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7.03(A</w:t>
      </w:r>
      <w:r>
        <w:rPr>
          <w:rFonts w:ascii="Times New Roman" w:cs="Times New Roman" w:eastAsia="Times New Roman" w:hAnsi="Times New Roman"/>
          <w:sz w:val="18"/>
          <w:szCs w:val="18"/>
          <w:color w:val="auto"/>
        </w:rPr>
        <w:t>), the Company must send to the Holders, the Trustee and the Paying Agent,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before the date on which each Reporting Event of Default first occurs, a notice that (i) briefly describes the report(s) that the Company failed to file with the SEC; (ii) states that the Company is electing that the sole remedy for such Reporting Event of Default consist of the accrual of Special Interest; and (iii) briefly describes the periods during which and rate at which Special Interest will accrue and the circumstances under which the Notes will be subject to acceleration on account of such Reporting Event of Default.</w:t>
      </w:r>
    </w:p>
    <w:p>
      <w:pPr>
        <w:spacing w:after="0" w:line="181" w:lineRule="exact"/>
        <w:rPr>
          <w:rFonts w:ascii="Times New Roman" w:cs="Times New Roman" w:eastAsia="Times New Roman" w:hAnsi="Times New Roman"/>
          <w:sz w:val="18"/>
          <w:szCs w:val="18"/>
          <w:color w:val="auto"/>
        </w:rPr>
      </w:pPr>
    </w:p>
    <w:p>
      <w:pPr>
        <w:ind w:left="4" w:right="80" w:hanging="4"/>
        <w:spacing w:after="0" w:line="277" w:lineRule="auto"/>
        <w:tabs>
          <w:tab w:leader="none" w:pos="299" w:val="left"/>
        </w:tabs>
        <w:numPr>
          <w:ilvl w:val="0"/>
          <w:numId w:val="1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Notice to Trustee and Paying Agent; Trustee’s Disclaimer</w:t>
      </w:r>
      <w:r>
        <w:rPr>
          <w:rFonts w:ascii="Times New Roman" w:cs="Times New Roman" w:eastAsia="Times New Roman" w:hAnsi="Times New Roman"/>
          <w:sz w:val="17"/>
          <w:szCs w:val="17"/>
          <w:color w:val="auto"/>
        </w:rPr>
        <w:t>. If Special Interest accrues on any Note, then, no later than five (5) Business Days before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each date on which such Special Interest is to be paid, the Company will deliver an Officer’s Certificate to the Trustee and the Paying Agent stating</w:t>
      </w:r>
    </w:p>
    <w:p>
      <w:pPr>
        <w:spacing w:after="0" w:line="1" w:lineRule="exact"/>
        <w:rPr>
          <w:rFonts w:ascii="Times New Roman" w:cs="Times New Roman" w:eastAsia="Times New Roman" w:hAnsi="Times New Roman"/>
          <w:sz w:val="17"/>
          <w:szCs w:val="17"/>
          <w:color w:val="auto"/>
        </w:rPr>
      </w:pPr>
    </w:p>
    <w:p>
      <w:pPr>
        <w:ind w:left="4" w:right="48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 that the Company is obligated to pay Special Interest on such Note on such date of payment; and (ii) the amount of such Special Interest that is payable on such date of payment. The Trustee will have no duty to determine whether any Special Interest is payable or the amount thereof.</w:t>
      </w:r>
    </w:p>
    <w:p>
      <w:pPr>
        <w:spacing w:after="0" w:line="177" w:lineRule="exact"/>
        <w:rPr>
          <w:rFonts w:ascii="Times New Roman" w:cs="Times New Roman" w:eastAsia="Times New Roman" w:hAnsi="Times New Roman"/>
          <w:sz w:val="17"/>
          <w:szCs w:val="17"/>
          <w:color w:val="auto"/>
        </w:rPr>
      </w:pPr>
    </w:p>
    <w:p>
      <w:pPr>
        <w:ind w:left="4" w:right="80" w:hanging="4"/>
        <w:spacing w:after="0" w:line="286" w:lineRule="auto"/>
        <w:tabs>
          <w:tab w:leader="none" w:pos="279"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Effect on Other Events of Default</w:t>
      </w:r>
      <w:r>
        <w:rPr>
          <w:rFonts w:ascii="Times New Roman" w:cs="Times New Roman" w:eastAsia="Times New Roman" w:hAnsi="Times New Roman"/>
          <w:sz w:val="18"/>
          <w:szCs w:val="18"/>
          <w:color w:val="auto"/>
        </w:rPr>
        <w:t>. No election pursuant 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7.03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respect to a Reporting Event of Default will affect the rights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Holder with respect to any other Event of Default, including with respect to any other Reporting Event of Default.</w:t>
      </w:r>
    </w:p>
    <w:p>
      <w:pPr>
        <w:spacing w:after="0" w:line="91"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66 -</w:t>
      </w:r>
    </w:p>
    <w:p>
      <w:pPr>
        <w:sectPr>
          <w:pgSz w:w="11900" w:h="16838" w:orient="portrait"/>
          <w:cols w:equalWidth="0" w:num="1">
            <w:col w:w="10984"/>
          </w:cols>
          <w:pgMar w:left="436" w:top="266" w:right="479" w:bottom="1440" w:gutter="0" w:footer="0" w:header="0"/>
        </w:sectPr>
      </w:pPr>
    </w:p>
    <w:bookmarkStart w:id="79" w:name="page80"/>
    <w:bookmarkEnd w:id="79"/>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7.04. O</w:t>
      </w:r>
      <w:r>
        <w:rPr>
          <w:rFonts w:ascii="Times New Roman" w:cs="Times New Roman" w:eastAsia="Times New Roman" w:hAnsi="Times New Roman"/>
          <w:sz w:val="14"/>
          <w:szCs w:val="14"/>
          <w:b w:val="1"/>
          <w:bCs w:val="1"/>
          <w:color w:val="auto"/>
        </w:rPr>
        <w:t>THER</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EMEDIES</w:t>
      </w:r>
      <w:r>
        <w:rPr>
          <w:rFonts w:ascii="Times New Roman" w:cs="Times New Roman" w:eastAsia="Times New Roman" w:hAnsi="Times New Roman"/>
          <w:sz w:val="18"/>
          <w:szCs w:val="18"/>
          <w:b w:val="1"/>
          <w:bCs w:val="1"/>
          <w:color w:val="auto"/>
        </w:rPr>
        <w:t>.</w:t>
      </w:r>
    </w:p>
    <w:p>
      <w:pPr>
        <w:spacing w:after="0" w:line="119" w:lineRule="exact"/>
        <w:rPr>
          <w:sz w:val="20"/>
          <w:szCs w:val="20"/>
          <w:color w:val="auto"/>
        </w:rPr>
      </w:pPr>
    </w:p>
    <w:p>
      <w:pPr>
        <w:ind w:left="4" w:right="120" w:hanging="4"/>
        <w:spacing w:after="0" w:line="284" w:lineRule="auto"/>
        <w:tabs>
          <w:tab w:leader="none" w:pos="299"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Trustee May Pursue All Remedies</w:t>
      </w:r>
      <w:r>
        <w:rPr>
          <w:rFonts w:ascii="Times New Roman" w:cs="Times New Roman" w:eastAsia="Times New Roman" w:hAnsi="Times New Roman"/>
          <w:sz w:val="18"/>
          <w:szCs w:val="18"/>
          <w:color w:val="auto"/>
        </w:rPr>
        <w:t>. If an Event of Default occurs and is continuing, then the Trustee may pursue any available remedy to collect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 of any amounts due with respect to the Notes or to enforce the performance of any provision of this Indenture or the Notes.</w:t>
      </w:r>
    </w:p>
    <w:p>
      <w:pPr>
        <w:spacing w:after="0" w:line="158" w:lineRule="exact"/>
        <w:rPr>
          <w:rFonts w:ascii="Times New Roman" w:cs="Times New Roman" w:eastAsia="Times New Roman" w:hAnsi="Times New Roman"/>
          <w:sz w:val="18"/>
          <w:szCs w:val="18"/>
          <w:color w:val="auto"/>
        </w:rPr>
      </w:pPr>
    </w:p>
    <w:p>
      <w:pPr>
        <w:ind w:left="4" w:right="140" w:hanging="4"/>
        <w:spacing w:after="0" w:line="267" w:lineRule="auto"/>
        <w:tabs>
          <w:tab w:leader="none" w:pos="289"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Procedural Matters</w:t>
      </w:r>
      <w:r>
        <w:rPr>
          <w:rFonts w:ascii="Times New Roman" w:cs="Times New Roman" w:eastAsia="Times New Roman" w:hAnsi="Times New Roman"/>
          <w:sz w:val="18"/>
          <w:szCs w:val="18"/>
          <w:color w:val="auto"/>
        </w:rPr>
        <w:t>. The Trustee may maintain a proceeding even if it does not possess any of the Notes or does not produce any of them in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proceeding. A delay or omission by the Trustee or any Holder in exercising any right or remedy following an Event of Default will not impair the right or remedy or constitute a waiver of, or acquiescence in, such Event of Default. All remedies will be cumulative to the extent permitted by law.</w:t>
      </w:r>
    </w:p>
    <w:p>
      <w:pPr>
        <w:spacing w:after="0" w:line="27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7.05. W</w:t>
      </w:r>
      <w:r>
        <w:rPr>
          <w:rFonts w:ascii="Times New Roman" w:cs="Times New Roman" w:eastAsia="Times New Roman" w:hAnsi="Times New Roman"/>
          <w:sz w:val="14"/>
          <w:szCs w:val="14"/>
          <w:b w:val="1"/>
          <w:bCs w:val="1"/>
          <w:color w:val="auto"/>
        </w:rPr>
        <w:t>AIVER OF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AST</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EFAULTS</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ind w:left="4" w:firstLine="440"/>
        <w:spacing w:after="0" w:line="257" w:lineRule="auto"/>
        <w:rPr>
          <w:sz w:val="20"/>
          <w:szCs w:val="20"/>
          <w:color w:val="auto"/>
        </w:rPr>
      </w:pPr>
      <w:r>
        <w:rPr>
          <w:rFonts w:ascii="Times New Roman" w:cs="Times New Roman" w:eastAsia="Times New Roman" w:hAnsi="Times New Roman"/>
          <w:sz w:val="18"/>
          <w:szCs w:val="18"/>
          <w:color w:val="auto"/>
        </w:rPr>
        <w:t xml:space="preserve">An Event of Default pursuant to </w:t>
      </w:r>
      <w:r>
        <w:rPr>
          <w:rFonts w:ascii="Times New Roman" w:cs="Times New Roman" w:eastAsia="Times New Roman" w:hAnsi="Times New Roman"/>
          <w:sz w:val="18"/>
          <w:szCs w:val="18"/>
          <w:b w:val="1"/>
          <w:bCs w:val="1"/>
          <w:color w:val="auto"/>
        </w:rPr>
        <w:t>clause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(iv</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(vi</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Section 7.01(A</w:t>
      </w:r>
      <w:r>
        <w:rPr>
          <w:rFonts w:ascii="Times New Roman" w:cs="Times New Roman" w:eastAsia="Times New Roman" w:hAnsi="Times New Roman"/>
          <w:sz w:val="18"/>
          <w:szCs w:val="18"/>
          <w:color w:val="auto"/>
        </w:rPr>
        <w:t xml:space="preserve">) (that, in the case of </w:t>
      </w:r>
      <w:r>
        <w:rPr>
          <w:rFonts w:ascii="Times New Roman" w:cs="Times New Roman" w:eastAsia="Times New Roman" w:hAnsi="Times New Roman"/>
          <w:sz w:val="18"/>
          <w:szCs w:val="18"/>
          <w:b w:val="1"/>
          <w:bCs w:val="1"/>
          <w:color w:val="auto"/>
        </w:rPr>
        <w:t>clause (vi</w:t>
      </w:r>
      <w:r>
        <w:rPr>
          <w:rFonts w:ascii="Times New Roman" w:cs="Times New Roman" w:eastAsia="Times New Roman" w:hAnsi="Times New Roman"/>
          <w:sz w:val="18"/>
          <w:szCs w:val="18"/>
          <w:color w:val="auto"/>
        </w:rPr>
        <w:t>) only, results from a Default under any covenant that cannot be amended without the consent of each affected Holder), and a Default that could lead to such an Event of Default, can be waived only with the consent of each affected Holder. Each other Default or Event of Default may be waived, on behalf of all Holders, by the Holders of a majority in aggregate principal amount of the Notes then outstanding. If an Event of Default is so waived, then it will cease to exist. If a Default is so waived, then it will be deemed to be cured and any Event of Default arising therefrom will be deemed not to occur. However, no such waiver will extend to any subsequent or other Default or Event of Default or impair any right arising therefrom.</w:t>
      </w:r>
    </w:p>
    <w:p>
      <w:pPr>
        <w:spacing w:after="0" w:line="29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7.06. C</w:t>
      </w:r>
      <w:r>
        <w:rPr>
          <w:rFonts w:ascii="Times New Roman" w:cs="Times New Roman" w:eastAsia="Times New Roman" w:hAnsi="Times New Roman"/>
          <w:sz w:val="14"/>
          <w:szCs w:val="14"/>
          <w:b w:val="1"/>
          <w:bCs w:val="1"/>
          <w:color w:val="auto"/>
        </w:rPr>
        <w:t>ONTROL BY</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4"/>
          <w:szCs w:val="14"/>
          <w:b w:val="1"/>
          <w:bCs w:val="1"/>
          <w:color w:val="auto"/>
        </w:rPr>
        <w:t>AJORITY</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 w:right="60" w:firstLine="440"/>
        <w:spacing w:after="0" w:line="277" w:lineRule="auto"/>
        <w:rPr>
          <w:sz w:val="20"/>
          <w:szCs w:val="20"/>
          <w:color w:val="auto"/>
        </w:rPr>
      </w:pPr>
      <w:r>
        <w:rPr>
          <w:rFonts w:ascii="Times New Roman" w:cs="Times New Roman" w:eastAsia="Times New Roman" w:hAnsi="Times New Roman"/>
          <w:sz w:val="17"/>
          <w:szCs w:val="17"/>
          <w:color w:val="auto"/>
        </w:rPr>
        <w:t xml:space="preserve">Holders of a majority in aggregate principal amount of the Notes then outstanding may direct the time, method and place of conducting any proceeding for exercising any remedy available to the Trustee or exercising any trust or power conferred on it. However, the Trustee may refuse to follow any direction that conflicts with law, this Indenture or the Notes, or that, subject to </w:t>
      </w:r>
      <w:r>
        <w:rPr>
          <w:rFonts w:ascii="Times New Roman" w:cs="Times New Roman" w:eastAsia="Times New Roman" w:hAnsi="Times New Roman"/>
          <w:sz w:val="17"/>
          <w:szCs w:val="17"/>
          <w:b w:val="1"/>
          <w:bCs w:val="1"/>
          <w:color w:val="auto"/>
        </w:rPr>
        <w:t>Section 11.01</w:t>
      </w:r>
      <w:r>
        <w:rPr>
          <w:rFonts w:ascii="Times New Roman" w:cs="Times New Roman" w:eastAsia="Times New Roman" w:hAnsi="Times New Roman"/>
          <w:sz w:val="17"/>
          <w:szCs w:val="17"/>
          <w:color w:val="auto"/>
        </w:rPr>
        <w:t>, the Trustee determines may be unduly prejudicial to the rights of other Holders or may involve the Trustee in liability, unless the Trustee is offered (and, if requested, provided with) security and indemnity satisfactory to the Trustee against any loss, liability or expense to the Trustee that may result from the Trustee’s following such direction.</w:t>
      </w:r>
    </w:p>
    <w:p>
      <w:pPr>
        <w:spacing w:after="0" w:line="27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7.07. L</w:t>
      </w:r>
      <w:r>
        <w:rPr>
          <w:rFonts w:ascii="Times New Roman" w:cs="Times New Roman" w:eastAsia="Times New Roman" w:hAnsi="Times New Roman"/>
          <w:sz w:val="14"/>
          <w:szCs w:val="14"/>
          <w:b w:val="1"/>
          <w:bCs w:val="1"/>
          <w:color w:val="auto"/>
        </w:rPr>
        <w:t>IMITATION ON</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UITS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both"/>
        <w:ind w:left="4" w:right="3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No Holder may pursue any remedy with respect to this Indenture or the Notes (except to enforce (x) its rights to receive the principal of, or the Fundamental Change Repurchase Price or Redemption Price for, or any interest on, or any Notes; or (y) the Company’s obligations to Exchange any Notes pursuant to </w:t>
      </w:r>
      <w:r>
        <w:rPr>
          <w:rFonts w:ascii="Times New Roman" w:cs="Times New Roman" w:eastAsia="Times New Roman" w:hAnsi="Times New Roman"/>
          <w:sz w:val="18"/>
          <w:szCs w:val="18"/>
          <w:b w:val="1"/>
          <w:bCs w:val="1"/>
          <w:color w:val="auto"/>
        </w:rPr>
        <w:t>Article 5</w:t>
      </w:r>
      <w:r>
        <w:rPr>
          <w:rFonts w:ascii="Times New Roman" w:cs="Times New Roman" w:eastAsia="Times New Roman" w:hAnsi="Times New Roman"/>
          <w:sz w:val="18"/>
          <w:szCs w:val="18"/>
          <w:color w:val="auto"/>
        </w:rPr>
        <w:t>), unless:</w:t>
      </w:r>
    </w:p>
    <w:p>
      <w:pPr>
        <w:spacing w:after="0" w:line="176" w:lineRule="exact"/>
        <w:rPr>
          <w:sz w:val="20"/>
          <w:szCs w:val="20"/>
          <w:color w:val="auto"/>
        </w:rPr>
      </w:pPr>
    </w:p>
    <w:p>
      <w:pPr>
        <w:ind w:left="304" w:hanging="304"/>
        <w:spacing w:after="0"/>
        <w:tabs>
          <w:tab w:leader="none" w:pos="304"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has previously delivered to the Trustee notice that an Event of Default is continuing;</w:t>
      </w:r>
    </w:p>
    <w:p>
      <w:pPr>
        <w:spacing w:after="0" w:line="225" w:lineRule="exact"/>
        <w:rPr>
          <w:rFonts w:ascii="Times New Roman" w:cs="Times New Roman" w:eastAsia="Times New Roman" w:hAnsi="Times New Roman"/>
          <w:sz w:val="18"/>
          <w:szCs w:val="18"/>
          <w:color w:val="auto"/>
        </w:rPr>
      </w:pPr>
    </w:p>
    <w:p>
      <w:pPr>
        <w:ind w:left="4" w:right="140" w:hanging="4"/>
        <w:spacing w:after="0" w:line="282" w:lineRule="auto"/>
        <w:tabs>
          <w:tab w:leader="none" w:pos="289"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at least twenty five percent (25%) in aggregate principal amount of the Notes then outstanding deliver a request to the Trustee to pursue such remedy;</w:t>
      </w:r>
    </w:p>
    <w:p>
      <w:pPr>
        <w:spacing w:after="0" w:line="94"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67 -</w:t>
      </w:r>
    </w:p>
    <w:p>
      <w:pPr>
        <w:sectPr>
          <w:pgSz w:w="11900" w:h="16838" w:orient="portrait"/>
          <w:cols w:equalWidth="0" w:num="1">
            <w:col w:w="11004"/>
          </w:cols>
          <w:pgMar w:left="436" w:top="266" w:right="459" w:bottom="1440" w:gutter="0" w:footer="0" w:header="0"/>
        </w:sectPr>
      </w:pPr>
    </w:p>
    <w:bookmarkStart w:id="80" w:name="page81"/>
    <w:bookmarkEnd w:id="80"/>
    <w:p>
      <w:pPr>
        <w:ind w:left="4" w:right="60" w:hanging="4"/>
        <w:spacing w:after="0" w:line="282" w:lineRule="auto"/>
        <w:tabs>
          <w:tab w:leader="none" w:pos="289"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Holder or Holders offer and, if requested, provide to the Trustee security and indemnity satisfactory to the Trustee against any loss, liability or expense to the Trustee that may result from the Trustee’s following such request;</w:t>
      </w:r>
    </w:p>
    <w:p>
      <w:pPr>
        <w:spacing w:after="0" w:line="161" w:lineRule="exact"/>
        <w:rPr>
          <w:rFonts w:ascii="Times New Roman" w:cs="Times New Roman" w:eastAsia="Times New Roman" w:hAnsi="Times New Roman"/>
          <w:sz w:val="18"/>
          <w:szCs w:val="18"/>
          <w:color w:val="auto"/>
        </w:rPr>
      </w:pPr>
    </w:p>
    <w:p>
      <w:pPr>
        <w:ind w:left="4" w:right="700" w:hanging="4"/>
        <w:spacing w:after="0" w:line="282" w:lineRule="auto"/>
        <w:tabs>
          <w:tab w:leader="none" w:pos="299"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does not comply with such request within sixty (60) calendar days after its receipt of such request and such offer of security or indemnity; and</w:t>
      </w:r>
    </w:p>
    <w:p>
      <w:pPr>
        <w:spacing w:after="0" w:line="161" w:lineRule="exact"/>
        <w:rPr>
          <w:rFonts w:ascii="Times New Roman" w:cs="Times New Roman" w:eastAsia="Times New Roman" w:hAnsi="Times New Roman"/>
          <w:sz w:val="18"/>
          <w:szCs w:val="18"/>
          <w:color w:val="auto"/>
        </w:rPr>
      </w:pPr>
    </w:p>
    <w:p>
      <w:pPr>
        <w:ind w:left="4" w:right="140" w:hanging="4"/>
        <w:spacing w:after="0" w:line="282" w:lineRule="auto"/>
        <w:tabs>
          <w:tab w:leader="none" w:pos="279"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such sixty (60) calendar day period, Holders of a majority in aggregate principal amount of the Notes then outstanding do not deliver to the Trustee a direction that is inconsistent with such request.</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 Holder of a Note may not use this Indenture to prejudice the rights of another Holder or to obtain a preference or priority over another Holder.</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Trustee will have no duty to determine whether any Holder’s use of this Indenture complies with the preceding sentence.</w:t>
      </w:r>
    </w:p>
    <w:p>
      <w:pPr>
        <w:spacing w:after="0" w:line="311" w:lineRule="exact"/>
        <w:rPr>
          <w:sz w:val="20"/>
          <w:szCs w:val="20"/>
          <w:color w:val="auto"/>
        </w:rPr>
      </w:pPr>
    </w:p>
    <w:p>
      <w:pPr>
        <w:ind w:left="4" w:right="600"/>
        <w:spacing w:after="0" w:line="286" w:lineRule="auto"/>
        <w:rPr>
          <w:sz w:val="20"/>
          <w:szCs w:val="20"/>
          <w:color w:val="auto"/>
        </w:rPr>
      </w:pPr>
      <w:r>
        <w:rPr>
          <w:rFonts w:ascii="Times New Roman" w:cs="Times New Roman" w:eastAsia="Times New Roman" w:hAnsi="Times New Roman"/>
          <w:sz w:val="18"/>
          <w:szCs w:val="18"/>
          <w:b w:val="1"/>
          <w:bCs w:val="1"/>
          <w:color w:val="auto"/>
        </w:rPr>
        <w:t>Section 7.08. A</w:t>
      </w:r>
      <w:r>
        <w:rPr>
          <w:rFonts w:ascii="Times New Roman" w:cs="Times New Roman" w:eastAsia="Times New Roman" w:hAnsi="Times New Roman"/>
          <w:sz w:val="14"/>
          <w:szCs w:val="14"/>
          <w:b w:val="1"/>
          <w:bCs w:val="1"/>
          <w:color w:val="auto"/>
        </w:rPr>
        <w:t>BSOLUTE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IGHT OF</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4"/>
          <w:szCs w:val="14"/>
          <w:b w:val="1"/>
          <w:bCs w:val="1"/>
          <w:color w:val="auto"/>
        </w:rPr>
        <w:t>OLDERS TO</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NSTITUTE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UIT FOR THE</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NFORCEMENT OF THE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IGHT TO</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ECEIVE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AYMENT AND</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XCHANGE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ONSIDERATION</w:t>
      </w:r>
      <w:r>
        <w:rPr>
          <w:rFonts w:ascii="Times New Roman" w:cs="Times New Roman" w:eastAsia="Times New Roman" w:hAnsi="Times New Roman"/>
          <w:sz w:val="18"/>
          <w:szCs w:val="18"/>
          <w:b w:val="1"/>
          <w:bCs w:val="1"/>
          <w:color w:val="auto"/>
        </w:rPr>
        <w:t>.</w:t>
      </w:r>
    </w:p>
    <w:p>
      <w:pPr>
        <w:spacing w:after="0" w:line="47" w:lineRule="exact"/>
        <w:rPr>
          <w:sz w:val="20"/>
          <w:szCs w:val="20"/>
          <w:color w:val="auto"/>
        </w:rPr>
      </w:pPr>
    </w:p>
    <w:p>
      <w:pPr>
        <w:ind w:left="4" w:right="100" w:firstLine="440"/>
        <w:spacing w:after="0" w:line="262" w:lineRule="auto"/>
        <w:rPr>
          <w:sz w:val="20"/>
          <w:szCs w:val="20"/>
          <w:color w:val="auto"/>
        </w:rPr>
      </w:pPr>
      <w:r>
        <w:rPr>
          <w:rFonts w:ascii="Times New Roman" w:cs="Times New Roman" w:eastAsia="Times New Roman" w:hAnsi="Times New Roman"/>
          <w:sz w:val="18"/>
          <w:szCs w:val="18"/>
          <w:color w:val="auto"/>
        </w:rPr>
        <w:t xml:space="preserve">Notwithstanding anything to the contrary in this Indenture or the Notes (but without limiting </w:t>
      </w:r>
      <w:r>
        <w:rPr>
          <w:rFonts w:ascii="Times New Roman" w:cs="Times New Roman" w:eastAsia="Times New Roman" w:hAnsi="Times New Roman"/>
          <w:sz w:val="18"/>
          <w:szCs w:val="18"/>
          <w:b w:val="1"/>
          <w:bCs w:val="1"/>
          <w:color w:val="auto"/>
        </w:rPr>
        <w:t>Section 8.01</w:t>
      </w:r>
      <w:r>
        <w:rPr>
          <w:rFonts w:ascii="Times New Roman" w:cs="Times New Roman" w:eastAsia="Times New Roman" w:hAnsi="Times New Roman"/>
          <w:sz w:val="18"/>
          <w:szCs w:val="18"/>
          <w:color w:val="auto"/>
        </w:rPr>
        <w:t xml:space="preserve">), the right of each Holder of a Note to bring suit for the enforcement of any payment or delivery, as applicable, of the principal of, or the Fundamental Change Repurchase Price or Redemption Price for, or any interest on, or the Exchange Consideration due pursuant to </w:t>
      </w:r>
      <w:r>
        <w:rPr>
          <w:rFonts w:ascii="Times New Roman" w:cs="Times New Roman" w:eastAsia="Times New Roman" w:hAnsi="Times New Roman"/>
          <w:sz w:val="18"/>
          <w:szCs w:val="18"/>
          <w:b w:val="1"/>
          <w:bCs w:val="1"/>
          <w:color w:val="auto"/>
        </w:rPr>
        <w:t>Article 5</w:t>
      </w:r>
      <w:r>
        <w:rPr>
          <w:rFonts w:ascii="Times New Roman" w:cs="Times New Roman" w:eastAsia="Times New Roman" w:hAnsi="Times New Roman"/>
          <w:sz w:val="18"/>
          <w:szCs w:val="18"/>
          <w:color w:val="auto"/>
        </w:rPr>
        <w:t xml:space="preserve"> upon Exchange of, such Note on or after the respective due dates therefor provided in this Indenture and the Notes, will not be impaired or affected without the consent of such Holder.</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7.09. C</w:t>
      </w:r>
      <w:r>
        <w:rPr>
          <w:rFonts w:ascii="Times New Roman" w:cs="Times New Roman" w:eastAsia="Times New Roman" w:hAnsi="Times New Roman"/>
          <w:sz w:val="14"/>
          <w:szCs w:val="14"/>
          <w:b w:val="1"/>
          <w:bCs w:val="1"/>
          <w:color w:val="auto"/>
        </w:rPr>
        <w:t>OLLECTION</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UIT BY</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RUSTEE</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ind w:left="4" w:right="20" w:firstLine="440"/>
        <w:spacing w:after="0" w:line="259" w:lineRule="auto"/>
        <w:rPr>
          <w:sz w:val="20"/>
          <w:szCs w:val="20"/>
          <w:color w:val="auto"/>
        </w:rPr>
      </w:pPr>
      <w:r>
        <w:rPr>
          <w:rFonts w:ascii="Times New Roman" w:cs="Times New Roman" w:eastAsia="Times New Roman" w:hAnsi="Times New Roman"/>
          <w:sz w:val="18"/>
          <w:szCs w:val="18"/>
          <w:color w:val="auto"/>
        </w:rPr>
        <w:t xml:space="preserve">The Trustee will have the right, upon the occurrence and continuance of an Event of Default pursuant to </w:t>
      </w:r>
      <w:r>
        <w:rPr>
          <w:rFonts w:ascii="Times New Roman" w:cs="Times New Roman" w:eastAsia="Times New Roman" w:hAnsi="Times New Roman"/>
          <w:sz w:val="18"/>
          <w:szCs w:val="18"/>
          <w:b w:val="1"/>
          <w:bCs w:val="1"/>
          <w:color w:val="auto"/>
        </w:rPr>
        <w:t>clause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(iv</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Section 7.01(A</w:t>
      </w:r>
      <w:r>
        <w:rPr>
          <w:rFonts w:ascii="Times New Roman" w:cs="Times New Roman" w:eastAsia="Times New Roman" w:hAnsi="Times New Roman"/>
          <w:sz w:val="18"/>
          <w:szCs w:val="18"/>
          <w:color w:val="auto"/>
        </w:rPr>
        <w:t xml:space="preserve">), to recover judgment in its own name and as trustee of an express trust against the Company for the total unpaid or undelivered principal of, or Fundamental Change Repurchase Price or Redemption Price for, or any interest on, or Exchange Consideration due pursuant to </w:t>
      </w:r>
      <w:r>
        <w:rPr>
          <w:rFonts w:ascii="Times New Roman" w:cs="Times New Roman" w:eastAsia="Times New Roman" w:hAnsi="Times New Roman"/>
          <w:sz w:val="18"/>
          <w:szCs w:val="18"/>
          <w:b w:val="1"/>
          <w:bCs w:val="1"/>
          <w:color w:val="auto"/>
        </w:rPr>
        <w:t>Article 5</w:t>
      </w:r>
      <w:r>
        <w:rPr>
          <w:rFonts w:ascii="Times New Roman" w:cs="Times New Roman" w:eastAsia="Times New Roman" w:hAnsi="Times New Roman"/>
          <w:sz w:val="18"/>
          <w:szCs w:val="18"/>
          <w:color w:val="auto"/>
        </w:rPr>
        <w:t xml:space="preserve"> upon Exchange of, the Notes, as applicable, and, to the extent lawful, any Default Interest on any Defaulted Amounts, and such further amounts sufficient to cover the costs and expenses of collection, including compensation provided for in </w:t>
      </w:r>
      <w:r>
        <w:rPr>
          <w:rFonts w:ascii="Times New Roman" w:cs="Times New Roman" w:eastAsia="Times New Roman" w:hAnsi="Times New Roman"/>
          <w:sz w:val="18"/>
          <w:szCs w:val="18"/>
          <w:b w:val="1"/>
          <w:bCs w:val="1"/>
          <w:color w:val="auto"/>
        </w:rPr>
        <w:t>Section 11.06</w:t>
      </w:r>
      <w:r>
        <w:rPr>
          <w:rFonts w:ascii="Times New Roman" w:cs="Times New Roman" w:eastAsia="Times New Roman" w:hAnsi="Times New Roman"/>
          <w:sz w:val="18"/>
          <w:szCs w:val="18"/>
          <w:color w:val="auto"/>
        </w:rPr>
        <w:t>.</w:t>
      </w:r>
    </w:p>
    <w:p>
      <w:pPr>
        <w:spacing w:after="0" w:line="2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7.10. T</w:t>
      </w:r>
      <w:r>
        <w:rPr>
          <w:rFonts w:ascii="Times New Roman" w:cs="Times New Roman" w:eastAsia="Times New Roman" w:hAnsi="Times New Roman"/>
          <w:sz w:val="14"/>
          <w:szCs w:val="14"/>
          <w:b w:val="1"/>
          <w:bCs w:val="1"/>
          <w:color w:val="auto"/>
        </w:rPr>
        <w:t>RUSTEE</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4"/>
          <w:szCs w:val="14"/>
          <w:b w:val="1"/>
          <w:bCs w:val="1"/>
          <w:color w:val="auto"/>
        </w:rPr>
        <w:t>AY</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4"/>
          <w:szCs w:val="14"/>
          <w:b w:val="1"/>
          <w:bCs w:val="1"/>
          <w:color w:val="auto"/>
        </w:rPr>
        <w:t>ILE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ROOFS OF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LAIM</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 xml:space="preserve">The Trustee has the right to (A) file such proofs of claim and other papers or documents as may be necessary or advisable in order to have the claims of the Trustee and the Holders allowed in any judicial proceedings relative to the Company (or any other obligor upon the Notes) or its creditors or property and (B) collect, receive and distribute any money or other property payable or deliverable on any such claims. Each Holder authorizes any custodian in such proceeding to make such payments to the Trustee, and, if the Trustee consents to the making of such payments directly to the Holders, to pay to the Trustee any amount due to the Trustee for the reasonable compensation, expenses, disbursements and advances of the Trustee, and its agents and counsel, and any other amounts payable to the Trustee pursuant to </w:t>
      </w:r>
      <w:r>
        <w:rPr>
          <w:rFonts w:ascii="Times New Roman" w:cs="Times New Roman" w:eastAsia="Times New Roman" w:hAnsi="Times New Roman"/>
          <w:sz w:val="18"/>
          <w:szCs w:val="18"/>
          <w:b w:val="1"/>
          <w:bCs w:val="1"/>
          <w:color w:val="auto"/>
        </w:rPr>
        <w:t>Section 11.06</w:t>
      </w:r>
      <w:r>
        <w:rPr>
          <w:rFonts w:ascii="Times New Roman" w:cs="Times New Roman" w:eastAsia="Times New Roman" w:hAnsi="Times New Roman"/>
          <w:sz w:val="18"/>
          <w:szCs w:val="18"/>
          <w:color w:val="auto"/>
        </w:rPr>
        <w:t>. To the extent that the</w:t>
      </w:r>
    </w:p>
    <w:p>
      <w:pPr>
        <w:spacing w:after="0" w:line="120"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- 68 -</w:t>
      </w:r>
    </w:p>
    <w:p>
      <w:pPr>
        <w:sectPr>
          <w:pgSz w:w="11900" w:h="16838" w:orient="portrait"/>
          <w:cols w:equalWidth="0" w:num="1">
            <w:col w:w="10944"/>
          </w:cols>
          <w:pgMar w:left="436" w:top="270" w:right="519" w:bottom="1440" w:gutter="0" w:footer="0" w:header="0"/>
        </w:sectPr>
      </w:pPr>
    </w:p>
    <w:bookmarkStart w:id="81" w:name="page82"/>
    <w:bookmarkEnd w:id="81"/>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payment of any such compensation, expenses, disbursements, advances and other amounts out of the estate in such proceeding, is denied for any reason, payment of the same will be secured by a lien (senior to the rights of Holders) on, and will be paid out of, any and all distributions, dividends, money, securities and other properties that the Holders may be entitled to receive in such proceeding (whether in liquidation or under any plan of reorganization or arrangement or otherwise). Nothing in this Indenture will be deemed to authorize the Trustee to authorize, consent to, accept or adopt on behalf of any Holder any plan of reorganization, arrangement, adjustment or composition affecting the Notes or the rights of any Holder, or to authorize the Trustee to vote in respect of the claim of any Holder in any such proceeding.</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7.11. P</w:t>
      </w:r>
      <w:r>
        <w:rPr>
          <w:rFonts w:ascii="Times New Roman" w:cs="Times New Roman" w:eastAsia="Times New Roman" w:hAnsi="Times New Roman"/>
          <w:sz w:val="14"/>
          <w:szCs w:val="14"/>
          <w:b w:val="1"/>
          <w:bCs w:val="1"/>
          <w:color w:val="auto"/>
        </w:rPr>
        <w:t>RIORITIES</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The Trustee will pay or deliver in the following order any money or other property that it collects pursuant to this </w:t>
      </w:r>
      <w:r>
        <w:rPr>
          <w:rFonts w:ascii="Times New Roman" w:cs="Times New Roman" w:eastAsia="Times New Roman" w:hAnsi="Times New Roman"/>
          <w:sz w:val="18"/>
          <w:szCs w:val="18"/>
          <w:b w:val="1"/>
          <w:bCs w:val="1"/>
          <w:color w:val="auto"/>
        </w:rPr>
        <w:t>Article 7</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440" w:right="200" w:firstLine="423"/>
        <w:spacing w:after="0" w:line="268" w:lineRule="auto"/>
        <w:rPr>
          <w:sz w:val="20"/>
          <w:szCs w:val="20"/>
          <w:color w:val="auto"/>
        </w:rPr>
      </w:pP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to the Trustee and its agents and attorneys for amounts due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11.06</w:t>
      </w:r>
      <w:r>
        <w:rPr>
          <w:rFonts w:ascii="Times New Roman" w:cs="Times New Roman" w:eastAsia="Times New Roman" w:hAnsi="Times New Roman"/>
          <w:sz w:val="18"/>
          <w:szCs w:val="18"/>
          <w:color w:val="auto"/>
        </w:rPr>
        <w:t>, including payment of all fees and compensation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all expenses and liabilities incurred, and all advances made, by, the Trustee (in each of its capacities under this Indenture, including as Note Agent) and the costs and expenses of collection;</w:t>
      </w:r>
    </w:p>
    <w:p>
      <w:pPr>
        <w:spacing w:after="0" w:line="65" w:lineRule="exact"/>
        <w:rPr>
          <w:sz w:val="20"/>
          <w:szCs w:val="20"/>
          <w:color w:val="auto"/>
        </w:rPr>
      </w:pPr>
    </w:p>
    <w:p>
      <w:pPr>
        <w:ind w:left="440" w:right="480" w:firstLine="423"/>
        <w:spacing w:after="0" w:line="267" w:lineRule="auto"/>
        <w:rPr>
          <w:sz w:val="20"/>
          <w:szCs w:val="20"/>
          <w:color w:val="auto"/>
        </w:rPr>
      </w:pP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to Holders for unpaid amounts or other property due on the Notes, including the principal of, or the Fundamental Change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Repurchase Price or Redemption Price for, or any interest on, or any Exchange Consideration due upon Exchange of, the Notes, ratably, and without preference or priority of any kind, according to such amounts or other property due and payable on all of the Notes; and</w:t>
      </w:r>
    </w:p>
    <w:p>
      <w:pPr>
        <w:spacing w:after="0" w:line="6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 to the Company or such other Person as a court of competent jurisdiction directs.</w:t>
      </w:r>
    </w:p>
    <w:p>
      <w:pPr>
        <w:spacing w:after="0" w:line="223" w:lineRule="exact"/>
        <w:rPr>
          <w:sz w:val="20"/>
          <w:szCs w:val="20"/>
          <w:color w:val="auto"/>
        </w:rPr>
      </w:pPr>
    </w:p>
    <w:p>
      <w:pPr>
        <w:jc w:val="both"/>
        <w:ind w:right="200" w:firstLine="440"/>
        <w:spacing w:after="0" w:line="268" w:lineRule="auto"/>
        <w:rPr>
          <w:sz w:val="20"/>
          <w:szCs w:val="20"/>
          <w:color w:val="auto"/>
        </w:rPr>
      </w:pPr>
      <w:r>
        <w:rPr>
          <w:rFonts w:ascii="Times New Roman" w:cs="Times New Roman" w:eastAsia="Times New Roman" w:hAnsi="Times New Roman"/>
          <w:sz w:val="18"/>
          <w:szCs w:val="18"/>
          <w:color w:val="auto"/>
        </w:rPr>
        <w:t xml:space="preserve">The Trustee may fix a record date and payment date for any payment or delivery to the Holders pursuant to this </w:t>
      </w:r>
      <w:r>
        <w:rPr>
          <w:rFonts w:ascii="Times New Roman" w:cs="Times New Roman" w:eastAsia="Times New Roman" w:hAnsi="Times New Roman"/>
          <w:sz w:val="18"/>
          <w:szCs w:val="18"/>
          <w:b w:val="1"/>
          <w:bCs w:val="1"/>
          <w:color w:val="auto"/>
        </w:rPr>
        <w:t>Section 7.11</w:t>
      </w:r>
      <w:r>
        <w:rPr>
          <w:rFonts w:ascii="Times New Roman" w:cs="Times New Roman" w:eastAsia="Times New Roman" w:hAnsi="Times New Roman"/>
          <w:sz w:val="18"/>
          <w:szCs w:val="18"/>
          <w:color w:val="auto"/>
        </w:rPr>
        <w:t>, in which case the Trustee will instruct the Company to, and the Company will, deliver, at least fifteen (15) calendar days before such record date, to each Holder and the Trustee a notice stating such record date, such payment date and the amount of such payment or nature of such delivery, as applicable.</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7.12. U</w:t>
      </w:r>
      <w:r>
        <w:rPr>
          <w:rFonts w:ascii="Times New Roman" w:cs="Times New Roman" w:eastAsia="Times New Roman" w:hAnsi="Times New Roman"/>
          <w:sz w:val="14"/>
          <w:szCs w:val="14"/>
          <w:b w:val="1"/>
          <w:bCs w:val="1"/>
          <w:color w:val="auto"/>
        </w:rPr>
        <w:t>NDERTAKING FOR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OSTS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In any suit for the enforcement of any right or remedy under this Indenture or the Notes or in any suit against the Trustee for any action taken or omitted by it as Trustee, a court, in its discretion, may (A) require the filing by any litigant party in such suit of an undertaking to pay the costs of such suit; and (B) assess reasonable costs (including reasonable attorneys’ fees) against any litigant party in such suit, having due regard to the merits and good faith of the claims or defenses made by such litigant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b w:val="1"/>
          <w:bCs w:val="1"/>
          <w:color w:val="auto"/>
        </w:rPr>
        <w:t>Section 7.12</w:t>
      </w:r>
      <w:r>
        <w:rPr>
          <w:rFonts w:ascii="Times New Roman" w:cs="Times New Roman" w:eastAsia="Times New Roman" w:hAnsi="Times New Roman"/>
          <w:sz w:val="18"/>
          <w:szCs w:val="18"/>
          <w:color w:val="auto"/>
        </w:rPr>
        <w:t xml:space="preserve"> does not apply to any suit by the Trustee, any suit by a Holder pursuant to </w:t>
      </w:r>
      <w:r>
        <w:rPr>
          <w:rFonts w:ascii="Times New Roman" w:cs="Times New Roman" w:eastAsia="Times New Roman" w:hAnsi="Times New Roman"/>
          <w:sz w:val="18"/>
          <w:szCs w:val="18"/>
          <w:b w:val="1"/>
          <w:bCs w:val="1"/>
          <w:color w:val="auto"/>
        </w:rPr>
        <w:t>Section 7.08</w:t>
      </w:r>
      <w:r>
        <w:rPr>
          <w:rFonts w:ascii="Times New Roman" w:cs="Times New Roman" w:eastAsia="Times New Roman" w:hAnsi="Times New Roman"/>
          <w:sz w:val="18"/>
          <w:szCs w:val="18"/>
          <w:color w:val="auto"/>
        </w:rPr>
        <w:t xml:space="preserve"> or any suit by one or more Holders of more than ten percent (10%) in aggregate principal amount of the Notes then outstanding.</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- 69 -</w:t>
      </w:r>
    </w:p>
    <w:p>
      <w:pPr>
        <w:sectPr>
          <w:pgSz w:w="11900" w:h="16838" w:orient="portrait"/>
          <w:cols w:equalWidth="0" w:num="1">
            <w:col w:w="11020"/>
          </w:cols>
          <w:pgMar w:left="440" w:top="270" w:right="439" w:bottom="1440" w:gutter="0" w:footer="0" w:header="0"/>
        </w:sectPr>
      </w:pPr>
    </w:p>
    <w:bookmarkStart w:id="82" w:name="page83"/>
    <w:bookmarkEnd w:id="82"/>
    <w:p>
      <w:pPr>
        <w:ind w:left="310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8. AMENDMENTS, SUPPLEMENTS AND WAIVERS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8.01. W</w:t>
      </w:r>
      <w:r>
        <w:rPr>
          <w:rFonts w:ascii="Times New Roman" w:cs="Times New Roman" w:eastAsia="Times New Roman" w:hAnsi="Times New Roman"/>
          <w:sz w:val="14"/>
          <w:szCs w:val="14"/>
          <w:b w:val="1"/>
          <w:bCs w:val="1"/>
          <w:color w:val="auto"/>
        </w:rPr>
        <w:t>ITHOUT 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ONSENT OF</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4"/>
          <w:szCs w:val="14"/>
          <w:b w:val="1"/>
          <w:bCs w:val="1"/>
          <w:color w:val="auto"/>
        </w:rPr>
        <w:t>OLDERS</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ind w:left="4" w:firstLine="440"/>
        <w:spacing w:after="0" w:line="286" w:lineRule="auto"/>
        <w:rPr>
          <w:sz w:val="20"/>
          <w:szCs w:val="20"/>
          <w:color w:val="auto"/>
        </w:rPr>
      </w:pPr>
      <w:r>
        <w:rPr>
          <w:rFonts w:ascii="Times New Roman" w:cs="Times New Roman" w:eastAsia="Times New Roman" w:hAnsi="Times New Roman"/>
          <w:sz w:val="18"/>
          <w:szCs w:val="18"/>
          <w:color w:val="auto"/>
        </w:rPr>
        <w:t xml:space="preserve">Notwithstanding anything to the contrary in </w:t>
      </w:r>
      <w:r>
        <w:rPr>
          <w:rFonts w:ascii="Times New Roman" w:cs="Times New Roman" w:eastAsia="Times New Roman" w:hAnsi="Times New Roman"/>
          <w:sz w:val="18"/>
          <w:szCs w:val="18"/>
          <w:b w:val="1"/>
          <w:bCs w:val="1"/>
          <w:color w:val="auto"/>
        </w:rPr>
        <w:t>Section 8.02</w:t>
      </w:r>
      <w:r>
        <w:rPr>
          <w:rFonts w:ascii="Times New Roman" w:cs="Times New Roman" w:eastAsia="Times New Roman" w:hAnsi="Times New Roman"/>
          <w:sz w:val="18"/>
          <w:szCs w:val="18"/>
          <w:color w:val="auto"/>
        </w:rPr>
        <w:t>, the Company, the Guarantors and the Trustee may amend or supplement this Indenture, the Notes or the Guarantees without the consent of any Holder to:</w:t>
      </w:r>
    </w:p>
    <w:p>
      <w:pPr>
        <w:spacing w:after="0" w:line="159" w:lineRule="exact"/>
        <w:rPr>
          <w:sz w:val="20"/>
          <w:szCs w:val="20"/>
          <w:color w:val="auto"/>
        </w:rPr>
      </w:pPr>
    </w:p>
    <w:p>
      <w:pPr>
        <w:ind w:left="304" w:hanging="304"/>
        <w:spacing w:after="0"/>
        <w:tabs>
          <w:tab w:leader="none" w:pos="304"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cure any ambiguity or correct any omission, defect or inconsistency in this Indenture or the Notes;</w:t>
      </w:r>
    </w:p>
    <w:p>
      <w:pPr>
        <w:spacing w:after="0" w:line="225" w:lineRule="exact"/>
        <w:rPr>
          <w:rFonts w:ascii="Times New Roman" w:cs="Times New Roman" w:eastAsia="Times New Roman" w:hAnsi="Times New Roman"/>
          <w:sz w:val="18"/>
          <w:szCs w:val="18"/>
          <w:color w:val="auto"/>
        </w:rPr>
      </w:pPr>
    </w:p>
    <w:p>
      <w:pPr>
        <w:ind w:left="284" w:hanging="284"/>
        <w:spacing w:after="0"/>
        <w:tabs>
          <w:tab w:leader="none" w:pos="284"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additional guarantees with respect to the Company’s obligations under this Indenture or the Notes;</w:t>
      </w:r>
    </w:p>
    <w:p>
      <w:pPr>
        <w:spacing w:after="0" w:line="225" w:lineRule="exact"/>
        <w:rPr>
          <w:rFonts w:ascii="Times New Roman" w:cs="Times New Roman" w:eastAsia="Times New Roman" w:hAnsi="Times New Roman"/>
          <w:sz w:val="18"/>
          <w:szCs w:val="18"/>
          <w:color w:val="auto"/>
        </w:rPr>
      </w:pPr>
    </w:p>
    <w:p>
      <w:pPr>
        <w:ind w:left="284" w:hanging="284"/>
        <w:spacing w:after="0"/>
        <w:tabs>
          <w:tab w:leader="none" w:pos="284"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the Notes or the Guarantees;</w:t>
      </w:r>
    </w:p>
    <w:p>
      <w:pPr>
        <w:spacing w:after="0" w:line="225" w:lineRule="exact"/>
        <w:rPr>
          <w:rFonts w:ascii="Times New Roman" w:cs="Times New Roman" w:eastAsia="Times New Roman" w:hAnsi="Times New Roman"/>
          <w:sz w:val="18"/>
          <w:szCs w:val="18"/>
          <w:color w:val="auto"/>
        </w:rPr>
      </w:pPr>
    </w:p>
    <w:p>
      <w:pPr>
        <w:ind w:left="4" w:right="40" w:hanging="4"/>
        <w:spacing w:after="0" w:line="282" w:lineRule="auto"/>
        <w:tabs>
          <w:tab w:leader="none" w:pos="299"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to the Company’s or the Guarantors’ covenants or Events of Default for the benefit of the Holders or surrender any right or power conferred on the Company or any Guarantor;</w:t>
      </w:r>
    </w:p>
    <w:p>
      <w:pPr>
        <w:spacing w:after="0" w:line="161" w:lineRule="exact"/>
        <w:rPr>
          <w:rFonts w:ascii="Times New Roman" w:cs="Times New Roman" w:eastAsia="Times New Roman" w:hAnsi="Times New Roman"/>
          <w:sz w:val="18"/>
          <w:szCs w:val="18"/>
          <w:color w:val="auto"/>
        </w:rPr>
      </w:pPr>
    </w:p>
    <w:p>
      <w:pPr>
        <w:ind w:left="4" w:right="140" w:hanging="4"/>
        <w:spacing w:after="0" w:line="282" w:lineRule="auto"/>
        <w:tabs>
          <w:tab w:leader="none" w:pos="279"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provide for the assumption of the Company’s or a Guarantor’s obligations under this Indenture and the Notes pursuant to, and in compliance with, </w:t>
      </w:r>
      <w:r>
        <w:rPr>
          <w:rFonts w:ascii="Times New Roman" w:cs="Times New Roman" w:eastAsia="Times New Roman" w:hAnsi="Times New Roman"/>
          <w:sz w:val="18"/>
          <w:szCs w:val="18"/>
          <w:b w:val="1"/>
          <w:bCs w:val="1"/>
          <w:color w:val="auto"/>
        </w:rPr>
        <w:t>Article 6</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Section 9.05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Section 9.06</w:t>
      </w:r>
      <w:r>
        <w:rPr>
          <w:rFonts w:ascii="Times New Roman" w:cs="Times New Roman" w:eastAsia="Times New Roman" w:hAnsi="Times New Roman"/>
          <w:sz w:val="18"/>
          <w:szCs w:val="18"/>
          <w:color w:val="auto"/>
        </w:rPr>
        <w:t>, as applicable;</w:t>
      </w:r>
    </w:p>
    <w:p>
      <w:pPr>
        <w:spacing w:after="0" w:line="157"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enter into supplemental indentures pursuant to, and in accordance with, </w:t>
      </w:r>
      <w:r>
        <w:rPr>
          <w:rFonts w:ascii="Times New Roman" w:cs="Times New Roman" w:eastAsia="Times New Roman" w:hAnsi="Times New Roman"/>
          <w:sz w:val="18"/>
          <w:szCs w:val="18"/>
          <w:b w:val="1"/>
          <w:bCs w:val="1"/>
          <w:color w:val="auto"/>
        </w:rPr>
        <w:t>Section 5.09</w:t>
      </w:r>
      <w:r>
        <w:rPr>
          <w:rFonts w:ascii="Times New Roman" w:cs="Times New Roman" w:eastAsia="Times New Roman" w:hAnsi="Times New Roman"/>
          <w:sz w:val="18"/>
          <w:szCs w:val="18"/>
          <w:color w:val="auto"/>
        </w:rPr>
        <w:t xml:space="preserve"> in connection with a Common Stock Change Event;</w:t>
      </w:r>
    </w:p>
    <w:p>
      <w:pPr>
        <w:spacing w:after="0" w:line="227" w:lineRule="exact"/>
        <w:rPr>
          <w:rFonts w:ascii="Times New Roman" w:cs="Times New Roman" w:eastAsia="Times New Roman" w:hAnsi="Times New Roman"/>
          <w:sz w:val="18"/>
          <w:szCs w:val="18"/>
          <w:color w:val="auto"/>
        </w:rPr>
      </w:pPr>
    </w:p>
    <w:p>
      <w:pPr>
        <w:ind w:left="4" w:right="160" w:hanging="4"/>
        <w:spacing w:after="0" w:line="261" w:lineRule="auto"/>
        <w:tabs>
          <w:tab w:leader="none" w:pos="299"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irrevocably elect or eliminate any Settlement Method or Specified Dollar Amount;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 no such election or elimination will affect any Settlement Method theretofore elected (or deemed to be elected) with respect to any Note pursuant to </w:t>
      </w:r>
      <w:r>
        <w:rPr>
          <w:rFonts w:ascii="Times New Roman" w:cs="Times New Roman" w:eastAsia="Times New Roman" w:hAnsi="Times New Roman"/>
          <w:sz w:val="18"/>
          <w:szCs w:val="18"/>
          <w:b w:val="1"/>
          <w:bCs w:val="1"/>
          <w:color w:val="auto"/>
        </w:rPr>
        <w:t>Section 5.03(A)</w:t>
      </w:r>
      <w:r>
        <w:rPr>
          <w:rFonts w:ascii="Times New Roman" w:cs="Times New Roman" w:eastAsia="Times New Roman" w:hAnsi="Times New Roman"/>
          <w:sz w:val="18"/>
          <w:szCs w:val="18"/>
          <w:color w:val="auto"/>
        </w:rPr>
        <w:t>; and (ii) such irrevocable election or elimination can in no event result in a Specified Dollar Amount of less than $1,000 per $1,000 principal amount of Notes applying to the Exchange of any Note;</w:t>
      </w:r>
    </w:p>
    <w:p>
      <w:pPr>
        <w:spacing w:after="0" w:line="181" w:lineRule="exact"/>
        <w:rPr>
          <w:rFonts w:ascii="Times New Roman" w:cs="Times New Roman" w:eastAsia="Times New Roman" w:hAnsi="Times New Roman"/>
          <w:sz w:val="18"/>
          <w:szCs w:val="18"/>
          <w:color w:val="auto"/>
        </w:rPr>
      </w:pPr>
    </w:p>
    <w:p>
      <w:pPr>
        <w:ind w:left="304" w:hanging="304"/>
        <w:spacing w:after="0"/>
        <w:tabs>
          <w:tab w:leader="none" w:pos="304"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or provide for the acceptance of the appointment, under this Indenture, of a successor Trustee;</w:t>
      </w:r>
    </w:p>
    <w:p>
      <w:pPr>
        <w:spacing w:after="0" w:line="225" w:lineRule="exact"/>
        <w:rPr>
          <w:rFonts w:ascii="Times New Roman" w:cs="Times New Roman" w:eastAsia="Times New Roman" w:hAnsi="Times New Roman"/>
          <w:sz w:val="18"/>
          <w:szCs w:val="18"/>
          <w:color w:val="auto"/>
        </w:rPr>
      </w:pPr>
    </w:p>
    <w:p>
      <w:pPr>
        <w:ind w:left="4" w:right="160" w:hanging="4"/>
        <w:spacing w:after="0" w:line="282" w:lineRule="auto"/>
        <w:tabs>
          <w:tab w:leader="none" w:pos="229"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 the provisions of this Indenture and the Notes to the “Description of Notes” section of the Company’s preliminary offering memorandum, dated May 20, 2024, as supplemented by the related pricing term sheet, dated May 20, 2024, in each case, as it relates to the Notes;</w:t>
      </w:r>
    </w:p>
    <w:p>
      <w:pPr>
        <w:spacing w:after="0" w:line="157"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provide for or confirm the issuance of additional Notes pursuant to </w:t>
      </w:r>
      <w:r>
        <w:rPr>
          <w:rFonts w:ascii="Times New Roman" w:cs="Times New Roman" w:eastAsia="Times New Roman" w:hAnsi="Times New Roman"/>
          <w:sz w:val="18"/>
          <w:szCs w:val="18"/>
          <w:b w:val="1"/>
          <w:bCs w:val="1"/>
          <w:color w:val="auto"/>
        </w:rPr>
        <w:t>Section 2.03(B</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4" w:right="440" w:hanging="4"/>
        <w:spacing w:after="0" w:line="282" w:lineRule="auto"/>
        <w:tabs>
          <w:tab w:leader="none" w:pos="299"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any requirement of the SEC in connection with any qualification of this Indenture or any supplemental indenture under the Trust Indenture Act, as then in effect; or</w:t>
      </w:r>
    </w:p>
    <w:p>
      <w:pPr>
        <w:spacing w:after="0" w:line="161" w:lineRule="exact"/>
        <w:rPr>
          <w:rFonts w:ascii="Times New Roman" w:cs="Times New Roman" w:eastAsia="Times New Roman" w:hAnsi="Times New Roman"/>
          <w:sz w:val="18"/>
          <w:szCs w:val="18"/>
          <w:color w:val="auto"/>
        </w:rPr>
      </w:pPr>
    </w:p>
    <w:p>
      <w:pPr>
        <w:ind w:left="4" w:right="40" w:hanging="4"/>
        <w:spacing w:after="0" w:line="282" w:lineRule="auto"/>
        <w:tabs>
          <w:tab w:leader="none" w:pos="279"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other change to this Indenture or the Notes that does not, individually or in the aggregate with all other such changes, adversely affect the rights of the Holders, as such, in any material respect, as determined by the Company in good faith.</w:t>
      </w:r>
    </w:p>
    <w:p>
      <w:pPr>
        <w:spacing w:after="0" w:line="94"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70 -</w:t>
      </w:r>
    </w:p>
    <w:p>
      <w:pPr>
        <w:sectPr>
          <w:pgSz w:w="11900" w:h="16838" w:orient="portrait"/>
          <w:cols w:equalWidth="0" w:num="1">
            <w:col w:w="10944"/>
          </w:cols>
          <w:pgMar w:left="436" w:top="266" w:right="519" w:bottom="1440" w:gutter="0" w:footer="0" w:header="0"/>
        </w:sectPr>
      </w:pPr>
    </w:p>
    <w:bookmarkStart w:id="83" w:name="page84"/>
    <w:bookmarkEnd w:id="83"/>
    <w:p>
      <w:pPr>
        <w:ind w:left="4" w:right="6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At the written request of any Holder of a Note or owner of a beneficial interest in a Global Note, the Company will provide a copy of the “Description of Notes” section and pricing term sheet referred to in </w:t>
      </w:r>
      <w:r>
        <w:rPr>
          <w:rFonts w:ascii="Times New Roman" w:cs="Times New Roman" w:eastAsia="Times New Roman" w:hAnsi="Times New Roman"/>
          <w:sz w:val="18"/>
          <w:szCs w:val="18"/>
          <w:b w:val="1"/>
          <w:bCs w:val="1"/>
          <w:color w:val="auto"/>
        </w:rPr>
        <w:t>Section 8.01(I</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8.02. W</w:t>
      </w:r>
      <w:r>
        <w:rPr>
          <w:rFonts w:ascii="Times New Roman" w:cs="Times New Roman" w:eastAsia="Times New Roman" w:hAnsi="Times New Roman"/>
          <w:sz w:val="14"/>
          <w:szCs w:val="14"/>
          <w:b w:val="1"/>
          <w:bCs w:val="1"/>
          <w:color w:val="auto"/>
        </w:rPr>
        <w:t>ITH 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ONSENT OF</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4"/>
          <w:szCs w:val="14"/>
          <w:b w:val="1"/>
          <w:bCs w:val="1"/>
          <w:color w:val="auto"/>
        </w:rPr>
        <w:t>OLDERS</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ind w:left="4" w:hanging="4"/>
        <w:spacing w:after="0" w:line="257" w:lineRule="auto"/>
        <w:tabs>
          <w:tab w:leader="none" w:pos="299"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Sections 8.01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7.05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7.08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immediately following sentence, the Company, the Guarantors and the Trustee may,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consent of the Holders of a majority in aggregate principal amount of the Notes then outstanding (including, without limitation, consents obtained in connection with a purchase of, or tender offer or exchange offer for, Notes), amend or supplement this Indenture, the Notes or the Guarantees or waive compliance with any provision of this Indenture, the Notes or the Guarantees. Notwithstanding anything to the contrary in the foregoing sentence, but subject to </w:t>
      </w:r>
      <w:r>
        <w:rPr>
          <w:rFonts w:ascii="Times New Roman" w:cs="Times New Roman" w:eastAsia="Times New Roman" w:hAnsi="Times New Roman"/>
          <w:sz w:val="18"/>
          <w:szCs w:val="18"/>
          <w:b w:val="1"/>
          <w:bCs w:val="1"/>
          <w:color w:val="auto"/>
        </w:rPr>
        <w:t>Section 8.01</w:t>
      </w:r>
      <w:r>
        <w:rPr>
          <w:rFonts w:ascii="Times New Roman" w:cs="Times New Roman" w:eastAsia="Times New Roman" w:hAnsi="Times New Roman"/>
          <w:sz w:val="18"/>
          <w:szCs w:val="18"/>
          <w:color w:val="auto"/>
        </w:rPr>
        <w:t>, without the consent of each affected Holder, no amendment or supplement to this Indenture, the Notes or the Guarantees, or waiver of any provision of this Indenture, the Notes or the Guarantees, may:</w:t>
      </w:r>
    </w:p>
    <w:p>
      <w:pPr>
        <w:spacing w:after="0" w:line="186" w:lineRule="exact"/>
        <w:rPr>
          <w:sz w:val="20"/>
          <w:szCs w:val="20"/>
          <w:color w:val="auto"/>
        </w:rPr>
      </w:pPr>
    </w:p>
    <w:p>
      <w:pPr>
        <w:ind w:left="224" w:hanging="224"/>
        <w:spacing w:after="0"/>
        <w:tabs>
          <w:tab w:leader="none" w:pos="224"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or change the stated maturity, of any Note;</w:t>
      </w:r>
    </w:p>
    <w:p>
      <w:pPr>
        <w:spacing w:after="0" w:line="225" w:lineRule="exact"/>
        <w:rPr>
          <w:rFonts w:ascii="Times New Roman" w:cs="Times New Roman" w:eastAsia="Times New Roman" w:hAnsi="Times New Roman"/>
          <w:sz w:val="18"/>
          <w:szCs w:val="18"/>
          <w:color w:val="auto"/>
        </w:rPr>
      </w:pPr>
    </w:p>
    <w:p>
      <w:pPr>
        <w:ind w:left="4" w:right="180" w:hanging="4"/>
        <w:spacing w:after="0" w:line="282" w:lineRule="auto"/>
        <w:tabs>
          <w:tab w:leader="none" w:pos="269"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Redemption Price or the Fundamental Change Repurchase Price for any Note or change the times at which, or the circumstances under which, the Notes may or will be redeemed or repurchased by the Company;</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or extend the time for the payment, of interest on any Note;</w:t>
      </w:r>
    </w:p>
    <w:p>
      <w:pPr>
        <w:spacing w:after="0" w:line="225" w:lineRule="exact"/>
        <w:rPr>
          <w:rFonts w:ascii="Times New Roman" w:cs="Times New Roman" w:eastAsia="Times New Roman" w:hAnsi="Times New Roman"/>
          <w:sz w:val="18"/>
          <w:szCs w:val="18"/>
          <w:color w:val="auto"/>
        </w:rPr>
      </w:pPr>
    </w:p>
    <w:p>
      <w:pPr>
        <w:ind w:left="304" w:hanging="304"/>
        <w:spacing w:after="0"/>
        <w:tabs>
          <w:tab w:leader="none" w:pos="304"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that adversely affects the Exchange rights of any Note;</w:t>
      </w:r>
    </w:p>
    <w:p>
      <w:pPr>
        <w:spacing w:after="0" w:line="221"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impair the rights of any Holder set forth in </w:t>
      </w:r>
      <w:r>
        <w:rPr>
          <w:rFonts w:ascii="Times New Roman" w:cs="Times New Roman" w:eastAsia="Times New Roman" w:hAnsi="Times New Roman"/>
          <w:sz w:val="18"/>
          <w:szCs w:val="18"/>
          <w:b w:val="1"/>
          <w:bCs w:val="1"/>
          <w:color w:val="auto"/>
        </w:rPr>
        <w:t>Section 7.08</w:t>
      </w:r>
      <w:r>
        <w:rPr>
          <w:rFonts w:ascii="Times New Roman" w:cs="Times New Roman" w:eastAsia="Times New Roman" w:hAnsi="Times New Roman"/>
          <w:sz w:val="18"/>
          <w:szCs w:val="18"/>
          <w:color w:val="auto"/>
        </w:rPr>
        <w:t xml:space="preserve"> (as such section is in effect on the Issue Date);</w:t>
      </w:r>
    </w:p>
    <w:p>
      <w:pPr>
        <w:spacing w:after="0" w:line="229" w:lineRule="exact"/>
        <w:rPr>
          <w:rFonts w:ascii="Times New Roman" w:cs="Times New Roman" w:eastAsia="Times New Roman" w:hAnsi="Times New Roman"/>
          <w:sz w:val="18"/>
          <w:szCs w:val="18"/>
          <w:color w:val="auto"/>
        </w:rPr>
      </w:pPr>
    </w:p>
    <w:p>
      <w:pPr>
        <w:ind w:left="304" w:hanging="304"/>
        <w:spacing w:after="0"/>
        <w:tabs>
          <w:tab w:leader="none" w:pos="304"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ranking of the Notes or the Guarantees;</w:t>
      </w:r>
    </w:p>
    <w:p>
      <w:pPr>
        <w:spacing w:after="0" w:line="225" w:lineRule="exact"/>
        <w:rPr>
          <w:rFonts w:ascii="Times New Roman" w:cs="Times New Roman" w:eastAsia="Times New Roman" w:hAnsi="Times New Roman"/>
          <w:sz w:val="18"/>
          <w:szCs w:val="18"/>
          <w:color w:val="auto"/>
        </w:rPr>
      </w:pPr>
    </w:p>
    <w:p>
      <w:pPr>
        <w:ind w:left="4" w:right="300" w:hanging="4"/>
        <w:spacing w:after="0" w:line="266" w:lineRule="auto"/>
        <w:tabs>
          <w:tab w:leader="none" w:pos="359"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or amend the terms and conditions of the obligations of any Guarantor, as a guarantor of the Notes, in any manner that is adverse to the rights of the Holders, as such, other than (x) any elimination of a Guarantee in accordance with this Indenture; or (y) to give effect to any Holdings Business Combination Event or any Subsidiary Guarantor Business Combination Event, in each case, in accordance with this Indenture;</w:t>
      </w:r>
    </w:p>
    <w:p>
      <w:pPr>
        <w:spacing w:after="0" w:line="175" w:lineRule="exact"/>
        <w:rPr>
          <w:rFonts w:ascii="Times New Roman" w:cs="Times New Roman" w:eastAsia="Times New Roman" w:hAnsi="Times New Roman"/>
          <w:sz w:val="18"/>
          <w:szCs w:val="18"/>
          <w:color w:val="auto"/>
        </w:rPr>
      </w:pPr>
    </w:p>
    <w:p>
      <w:pPr>
        <w:ind w:left="404" w:hanging="404"/>
        <w:spacing w:after="0"/>
        <w:tabs>
          <w:tab w:leader="none" w:pos="404"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Note payable in money, or at a place of payment, other than that stated in this Indenture or the Note;</w:t>
      </w:r>
    </w:p>
    <w:p>
      <w:pPr>
        <w:spacing w:after="0" w:line="225" w:lineRule="exact"/>
        <w:rPr>
          <w:rFonts w:ascii="Times New Roman" w:cs="Times New Roman" w:eastAsia="Times New Roman" w:hAnsi="Times New Roman"/>
          <w:sz w:val="18"/>
          <w:szCs w:val="18"/>
          <w:color w:val="auto"/>
        </w:rPr>
      </w:pPr>
    </w:p>
    <w:p>
      <w:pPr>
        <w:ind w:left="304" w:hanging="304"/>
        <w:spacing w:after="0"/>
        <w:tabs>
          <w:tab w:leader="none" w:pos="304"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Notes whose Holders must consent to any amendment, supplement, waiver or other modification; or</w:t>
      </w:r>
    </w:p>
    <w:p>
      <w:pPr>
        <w:spacing w:after="0" w:line="225" w:lineRule="exact"/>
        <w:rPr>
          <w:rFonts w:ascii="Times New Roman" w:cs="Times New Roman" w:eastAsia="Times New Roman" w:hAnsi="Times New Roman"/>
          <w:sz w:val="18"/>
          <w:szCs w:val="18"/>
          <w:color w:val="auto"/>
        </w:rPr>
      </w:pPr>
    </w:p>
    <w:p>
      <w:pPr>
        <w:ind w:left="4" w:right="80" w:hanging="4"/>
        <w:spacing w:after="0" w:line="282" w:lineRule="auto"/>
        <w:tabs>
          <w:tab w:leader="none" w:pos="259"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direct or indirect change to any amendment, supplement, waiver or modification provision of this Indenture or the Notes that requires the consent of each affected Holder.</w:t>
      </w:r>
    </w:p>
    <w:p>
      <w:pPr>
        <w:spacing w:after="0" w:line="94"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71 -</w:t>
      </w:r>
    </w:p>
    <w:p>
      <w:pPr>
        <w:sectPr>
          <w:pgSz w:w="11900" w:h="16838" w:orient="portrait"/>
          <w:cols w:equalWidth="0" w:num="1">
            <w:col w:w="10944"/>
          </w:cols>
          <w:pgMar w:left="436" w:top="270" w:right="519" w:bottom="1440" w:gutter="0" w:footer="0" w:header="0"/>
        </w:sectPr>
      </w:pPr>
    </w:p>
    <w:bookmarkStart w:id="84" w:name="page85"/>
    <w:bookmarkEnd w:id="84"/>
    <w:p>
      <w:pPr>
        <w:ind w:left="4" w:right="80" w:firstLine="440"/>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For the avoidance of doubt, pursuant to </w:t>
      </w:r>
      <w:r>
        <w:rPr>
          <w:rFonts w:ascii="Times New Roman" w:cs="Times New Roman" w:eastAsia="Times New Roman" w:hAnsi="Times New Roman"/>
          <w:sz w:val="18"/>
          <w:szCs w:val="18"/>
          <w:b w:val="1"/>
          <w:bCs w:val="1"/>
          <w:color w:val="auto"/>
        </w:rPr>
        <w:t>clauses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(iv</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b w:val="1"/>
          <w:bCs w:val="1"/>
          <w:color w:val="auto"/>
        </w:rPr>
        <w:t>Section 8.02(A</w:t>
      </w:r>
      <w:r>
        <w:rPr>
          <w:rFonts w:ascii="Times New Roman" w:cs="Times New Roman" w:eastAsia="Times New Roman" w:hAnsi="Times New Roman"/>
          <w:sz w:val="18"/>
          <w:szCs w:val="18"/>
          <w:color w:val="auto"/>
        </w:rPr>
        <w:t xml:space="preserve">) and except as provided in </w:t>
      </w:r>
      <w:r>
        <w:rPr>
          <w:rFonts w:ascii="Times New Roman" w:cs="Times New Roman" w:eastAsia="Times New Roman" w:hAnsi="Times New Roman"/>
          <w:sz w:val="18"/>
          <w:szCs w:val="18"/>
          <w:b w:val="1"/>
          <w:bCs w:val="1"/>
          <w:color w:val="auto"/>
        </w:rPr>
        <w:t>Section 8.01(G)</w:t>
      </w:r>
      <w:r>
        <w:rPr>
          <w:rFonts w:ascii="Times New Roman" w:cs="Times New Roman" w:eastAsia="Times New Roman" w:hAnsi="Times New Roman"/>
          <w:sz w:val="18"/>
          <w:szCs w:val="18"/>
          <w:color w:val="auto"/>
        </w:rPr>
        <w:t>, no amendment or supplement to this Indenture or the Notes, or waiver of any provision of this Indenture or the Notes, may change the amount or type of consideration due on any Note (whether on an Interest Payment Date, Redemption Date, Fundamental Change Repurchase Date or the Maturity Date or upon Exchange, or otherwise), or the date(s) or time(s) such consideration is payable or deliverable, as applicable, without the consent of each affected Holder.</w:t>
      </w:r>
    </w:p>
    <w:p>
      <w:pPr>
        <w:spacing w:after="0" w:line="179" w:lineRule="exact"/>
        <w:rPr>
          <w:sz w:val="20"/>
          <w:szCs w:val="20"/>
          <w:color w:val="auto"/>
        </w:rPr>
      </w:pPr>
    </w:p>
    <w:p>
      <w:pPr>
        <w:ind w:left="4" w:right="260" w:hanging="4"/>
        <w:spacing w:after="0" w:line="286" w:lineRule="auto"/>
        <w:tabs>
          <w:tab w:leader="none" w:pos="289"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Holders Need Not Approve the Particular Form of any Amendment</w:t>
      </w:r>
      <w:r>
        <w:rPr>
          <w:rFonts w:ascii="Times New Roman" w:cs="Times New Roman" w:eastAsia="Times New Roman" w:hAnsi="Times New Roman"/>
          <w:sz w:val="18"/>
          <w:szCs w:val="18"/>
          <w:color w:val="auto"/>
        </w:rPr>
        <w:t>. A consent of any Holder pursuant 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8.02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need approve only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substance, and not necessarily the particular form, of the proposed amendment, supplement or waiver.</w:t>
      </w:r>
    </w:p>
    <w:p>
      <w:pPr>
        <w:spacing w:after="0" w:line="2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8.03. N</w:t>
      </w:r>
      <w:r>
        <w:rPr>
          <w:rFonts w:ascii="Times New Roman" w:cs="Times New Roman" w:eastAsia="Times New Roman" w:hAnsi="Times New Roman"/>
          <w:sz w:val="14"/>
          <w:szCs w:val="14"/>
          <w:b w:val="1"/>
          <w:bCs w:val="1"/>
          <w:color w:val="auto"/>
        </w:rPr>
        <w:t>OTICE OF</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MENDMENTS</w:t>
      </w:r>
      <w:r>
        <w:rPr>
          <w:rFonts w:ascii="Times New Roman" w:cs="Times New Roman" w:eastAsia="Times New Roman" w:hAnsi="Times New Roman"/>
          <w:sz w:val="18"/>
          <w:szCs w:val="18"/>
          <w:b w:val="1"/>
          <w:bCs w:val="1"/>
          <w:color w:val="auto"/>
        </w:rPr>
        <w:t>, S</w:t>
      </w:r>
      <w:r>
        <w:rPr>
          <w:rFonts w:ascii="Times New Roman" w:cs="Times New Roman" w:eastAsia="Times New Roman" w:hAnsi="Times New Roman"/>
          <w:sz w:val="14"/>
          <w:szCs w:val="14"/>
          <w:b w:val="1"/>
          <w:bCs w:val="1"/>
          <w:color w:val="auto"/>
        </w:rPr>
        <w:t>UPPLEMENTS AND</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AIVERS</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ind w:left="4" w:right="140" w:firstLine="440"/>
        <w:spacing w:after="0" w:line="278" w:lineRule="auto"/>
        <w:rPr>
          <w:sz w:val="20"/>
          <w:szCs w:val="20"/>
          <w:color w:val="auto"/>
        </w:rPr>
      </w:pPr>
      <w:r>
        <w:rPr>
          <w:rFonts w:ascii="Times New Roman" w:cs="Times New Roman" w:eastAsia="Times New Roman" w:hAnsi="Times New Roman"/>
          <w:sz w:val="17"/>
          <w:szCs w:val="17"/>
          <w:color w:val="auto"/>
        </w:rPr>
        <w:t xml:space="preserve">As soon as reasonably practicable after any amendment, supplement or waiver pursuant to </w:t>
      </w:r>
      <w:r>
        <w:rPr>
          <w:rFonts w:ascii="Times New Roman" w:cs="Times New Roman" w:eastAsia="Times New Roman" w:hAnsi="Times New Roman"/>
          <w:sz w:val="17"/>
          <w:szCs w:val="17"/>
          <w:b w:val="1"/>
          <w:bCs w:val="1"/>
          <w:color w:val="auto"/>
        </w:rPr>
        <w:t>Section 8.01</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b w:val="1"/>
          <w:bCs w:val="1"/>
          <w:color w:val="auto"/>
        </w:rPr>
        <w:t>8.02</w:t>
      </w:r>
      <w:r>
        <w:rPr>
          <w:rFonts w:ascii="Times New Roman" w:cs="Times New Roman" w:eastAsia="Times New Roman" w:hAnsi="Times New Roman"/>
          <w:sz w:val="17"/>
          <w:szCs w:val="17"/>
          <w:color w:val="auto"/>
        </w:rPr>
        <w:t xml:space="preserve"> becomes effective, the Company will send to the Holders and the Trustee notice that (A) describes the substance of such amendment, supplement or waiver in reasonable detail and</w:t>
      </w:r>
    </w:p>
    <w:p>
      <w:pPr>
        <w:spacing w:after="0" w:line="1" w:lineRule="exact"/>
        <w:rPr>
          <w:sz w:val="20"/>
          <w:szCs w:val="20"/>
          <w:color w:val="auto"/>
        </w:rPr>
      </w:pPr>
    </w:p>
    <w:p>
      <w:pPr>
        <w:jc w:val="both"/>
        <w:ind w:left="4" w:right="60" w:hanging="4"/>
        <w:spacing w:after="0" w:line="277" w:lineRule="auto"/>
        <w:tabs>
          <w:tab w:leader="none" w:pos="289" w:val="left"/>
        </w:tabs>
        <w:numPr>
          <w:ilvl w:val="0"/>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states the effective date thereof;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the Company will not be required to provide such notice to the Holders if such amendment, supplement or waiver is included in a periodic report filed by the Company with the SEC within four (4) Business Days of its effectiveness. The failure to send, or the existence of any defect in, such notice will not impair or affect the validity of such amendment, supplement or waiver.</w:t>
      </w:r>
    </w:p>
    <w:p>
      <w:pPr>
        <w:spacing w:after="0" w:line="27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8.04. R</w:t>
      </w:r>
      <w:r>
        <w:rPr>
          <w:rFonts w:ascii="Times New Roman" w:cs="Times New Roman" w:eastAsia="Times New Roman" w:hAnsi="Times New Roman"/>
          <w:sz w:val="14"/>
          <w:szCs w:val="14"/>
          <w:b w:val="1"/>
          <w:bCs w:val="1"/>
          <w:color w:val="auto"/>
        </w:rPr>
        <w:t>EVOCATION</w:t>
      </w:r>
      <w:r>
        <w:rPr>
          <w:rFonts w:ascii="Times New Roman" w:cs="Times New Roman" w:eastAsia="Times New Roman" w:hAnsi="Times New Roman"/>
          <w:sz w:val="18"/>
          <w:szCs w:val="18"/>
          <w:b w:val="1"/>
          <w:bCs w:val="1"/>
          <w:color w:val="auto"/>
        </w:rPr>
        <w:t>, E</w:t>
      </w:r>
      <w:r>
        <w:rPr>
          <w:rFonts w:ascii="Times New Roman" w:cs="Times New Roman" w:eastAsia="Times New Roman" w:hAnsi="Times New Roman"/>
          <w:sz w:val="14"/>
          <w:szCs w:val="14"/>
          <w:b w:val="1"/>
          <w:bCs w:val="1"/>
          <w:color w:val="auto"/>
        </w:rPr>
        <w:t>FFECT AND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OLICITATION OF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ONSENTS</w:t>
      </w:r>
      <w:r>
        <w:rPr>
          <w:rFonts w:ascii="Times New Roman" w:cs="Times New Roman" w:eastAsia="Times New Roman" w:hAnsi="Times New Roman"/>
          <w:sz w:val="18"/>
          <w:szCs w:val="18"/>
          <w:b w:val="1"/>
          <w:bCs w:val="1"/>
          <w:color w:val="auto"/>
        </w:rPr>
        <w:t>; S</w:t>
      </w:r>
      <w:r>
        <w:rPr>
          <w:rFonts w:ascii="Times New Roman" w:cs="Times New Roman" w:eastAsia="Times New Roman" w:hAnsi="Times New Roman"/>
          <w:sz w:val="14"/>
          <w:szCs w:val="14"/>
          <w:b w:val="1"/>
          <w:bCs w:val="1"/>
          <w:color w:val="auto"/>
        </w:rPr>
        <w:t>PECIAL</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ECORD</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ATES</w:t>
      </w:r>
      <w:r>
        <w:rPr>
          <w:rFonts w:ascii="Times New Roman" w:cs="Times New Roman" w:eastAsia="Times New Roman" w:hAnsi="Times New Roman"/>
          <w:sz w:val="18"/>
          <w:szCs w:val="18"/>
          <w:b w:val="1"/>
          <w:bCs w:val="1"/>
          <w:color w:val="auto"/>
        </w:rPr>
        <w:t>; E</w:t>
      </w:r>
      <w:r>
        <w:rPr>
          <w:rFonts w:ascii="Times New Roman" w:cs="Times New Roman" w:eastAsia="Times New Roman" w:hAnsi="Times New Roman"/>
          <w:sz w:val="14"/>
          <w:szCs w:val="14"/>
          <w:b w:val="1"/>
          <w:bCs w:val="1"/>
          <w:color w:val="auto"/>
        </w:rPr>
        <w:t>TC</w:t>
      </w:r>
      <w:r>
        <w:rPr>
          <w:rFonts w:ascii="Times New Roman" w:cs="Times New Roman" w:eastAsia="Times New Roman" w:hAnsi="Times New Roman"/>
          <w:sz w:val="18"/>
          <w:szCs w:val="18"/>
          <w:b w:val="1"/>
          <w:bCs w:val="1"/>
          <w:color w:val="auto"/>
        </w:rPr>
        <w:t>.</w:t>
      </w:r>
    </w:p>
    <w:p>
      <w:pPr>
        <w:spacing w:after="0" w:line="119" w:lineRule="exact"/>
        <w:rPr>
          <w:sz w:val="20"/>
          <w:szCs w:val="20"/>
          <w:color w:val="auto"/>
        </w:rPr>
      </w:pPr>
    </w:p>
    <w:p>
      <w:pPr>
        <w:jc w:val="both"/>
        <w:ind w:left="4" w:right="100" w:hanging="4"/>
        <w:spacing w:after="0" w:line="261" w:lineRule="auto"/>
        <w:tabs>
          <w:tab w:leader="none" w:pos="299"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Revocation and Effect of Consents</w:t>
      </w:r>
      <w:r>
        <w:rPr>
          <w:rFonts w:ascii="Times New Roman" w:cs="Times New Roman" w:eastAsia="Times New Roman" w:hAnsi="Times New Roman"/>
          <w:sz w:val="18"/>
          <w:szCs w:val="18"/>
          <w:color w:val="auto"/>
        </w:rPr>
        <w:t>. The consent of a Holder of a Note to an amendment, supplement or waiver will bind (and constitute the consent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 each subsequent Holder of any Note to the extent the same evidences any portion of the same indebtedness as the consenting Holder’s Note, subject to the right of any Holder of a Note to revoke (if not prohibited pursuant to </w:t>
      </w:r>
      <w:r>
        <w:rPr>
          <w:rFonts w:ascii="Times New Roman" w:cs="Times New Roman" w:eastAsia="Times New Roman" w:hAnsi="Times New Roman"/>
          <w:sz w:val="18"/>
          <w:szCs w:val="18"/>
          <w:b w:val="1"/>
          <w:bCs w:val="1"/>
          <w:color w:val="auto"/>
        </w:rPr>
        <w:t>Section 8.04(B</w:t>
      </w:r>
      <w:r>
        <w:rPr>
          <w:rFonts w:ascii="Times New Roman" w:cs="Times New Roman" w:eastAsia="Times New Roman" w:hAnsi="Times New Roman"/>
          <w:sz w:val="18"/>
          <w:szCs w:val="18"/>
          <w:color w:val="auto"/>
        </w:rPr>
        <w:t>)) any such consent with respect to such Note by delivering notice of revocation to the Trustee before the time such amendment, supplement or waiver becomes effective.</w:t>
      </w:r>
    </w:p>
    <w:p>
      <w:pPr>
        <w:spacing w:after="0" w:line="179" w:lineRule="exact"/>
        <w:rPr>
          <w:rFonts w:ascii="Times New Roman" w:cs="Times New Roman" w:eastAsia="Times New Roman" w:hAnsi="Times New Roman"/>
          <w:sz w:val="18"/>
          <w:szCs w:val="18"/>
          <w:color w:val="auto"/>
        </w:rPr>
      </w:pPr>
    </w:p>
    <w:p>
      <w:pPr>
        <w:ind w:left="4" w:hanging="4"/>
        <w:spacing w:after="0" w:line="257" w:lineRule="auto"/>
        <w:tabs>
          <w:tab w:leader="none" w:pos="289"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Special Record Dates</w:t>
      </w:r>
      <w:r>
        <w:rPr>
          <w:rFonts w:ascii="Times New Roman" w:cs="Times New Roman" w:eastAsia="Times New Roman" w:hAnsi="Times New Roman"/>
          <w:sz w:val="18"/>
          <w:szCs w:val="18"/>
          <w:color w:val="auto"/>
        </w:rPr>
        <w:t>. The Company may, but is not required to, fix a record date for the purpose of determining the Holders entitled to consent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take any other action in connection with any amendment, supplement or waiver pursuant to this </w:t>
      </w:r>
      <w:r>
        <w:rPr>
          <w:rFonts w:ascii="Times New Roman" w:cs="Times New Roman" w:eastAsia="Times New Roman" w:hAnsi="Times New Roman"/>
          <w:sz w:val="18"/>
          <w:szCs w:val="18"/>
          <w:b w:val="1"/>
          <w:bCs w:val="1"/>
          <w:color w:val="auto"/>
        </w:rPr>
        <w:t>Article 8</w:t>
      </w:r>
      <w:r>
        <w:rPr>
          <w:rFonts w:ascii="Times New Roman" w:cs="Times New Roman" w:eastAsia="Times New Roman" w:hAnsi="Times New Roman"/>
          <w:sz w:val="18"/>
          <w:szCs w:val="18"/>
          <w:color w:val="auto"/>
        </w:rPr>
        <w:t xml:space="preserve">. If a record date is fixed, then, notwithstanding anything to the contrary in </w:t>
      </w:r>
      <w:r>
        <w:rPr>
          <w:rFonts w:ascii="Times New Roman" w:cs="Times New Roman" w:eastAsia="Times New Roman" w:hAnsi="Times New Roman"/>
          <w:sz w:val="18"/>
          <w:szCs w:val="18"/>
          <w:b w:val="1"/>
          <w:bCs w:val="1"/>
          <w:color w:val="auto"/>
        </w:rPr>
        <w:t>Section 8.04(A</w:t>
      </w:r>
      <w:r>
        <w:rPr>
          <w:rFonts w:ascii="Times New Roman" w:cs="Times New Roman" w:eastAsia="Times New Roman" w:hAnsi="Times New Roman"/>
          <w:sz w:val="18"/>
          <w:szCs w:val="18"/>
          <w:color w:val="auto"/>
        </w:rPr>
        <w:t xml:space="preserve">), only Persons who are Holders as of such record date (or their duly designated proxies) will be entitled to give such consent, to revoke any consent previously given or to take any such action, regardless of whether such Persons continue to be Holders after such record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such consent will be valid or effective for more than one hundred and twenty (120) calendar days after such record date.</w:t>
      </w:r>
    </w:p>
    <w:p>
      <w:pPr>
        <w:spacing w:after="0" w:line="182" w:lineRule="exact"/>
        <w:rPr>
          <w:rFonts w:ascii="Times New Roman" w:cs="Times New Roman" w:eastAsia="Times New Roman" w:hAnsi="Times New Roman"/>
          <w:sz w:val="18"/>
          <w:szCs w:val="18"/>
          <w:color w:val="auto"/>
        </w:rPr>
      </w:pPr>
    </w:p>
    <w:p>
      <w:pPr>
        <w:ind w:left="4" w:right="460" w:hanging="4"/>
        <w:spacing w:after="0" w:line="284" w:lineRule="auto"/>
        <w:tabs>
          <w:tab w:leader="none" w:pos="289"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Solicitation of Consents</w:t>
      </w:r>
      <w:r>
        <w:rPr>
          <w:rFonts w:ascii="Times New Roman" w:cs="Times New Roman" w:eastAsia="Times New Roman" w:hAnsi="Times New Roman"/>
          <w:sz w:val="18"/>
          <w:szCs w:val="18"/>
          <w:color w:val="auto"/>
        </w:rPr>
        <w:t>. For the avoidance of doubt, each reference in this Indenture or the Notes to the consent of a Holder will be deemed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 any such consent obtained in connection with a repurchase of, or tender or exchange offer for, any Notes.</w:t>
      </w:r>
    </w:p>
    <w:p>
      <w:pPr>
        <w:spacing w:after="0" w:line="156" w:lineRule="exact"/>
        <w:rPr>
          <w:rFonts w:ascii="Times New Roman" w:cs="Times New Roman" w:eastAsia="Times New Roman" w:hAnsi="Times New Roman"/>
          <w:sz w:val="18"/>
          <w:szCs w:val="18"/>
          <w:color w:val="auto"/>
        </w:rPr>
      </w:pPr>
    </w:p>
    <w:p>
      <w:pPr>
        <w:ind w:left="4" w:right="60" w:hanging="4"/>
        <w:spacing w:after="0" w:line="317" w:lineRule="auto"/>
        <w:tabs>
          <w:tab w:leader="none" w:pos="299" w:val="left"/>
        </w:tabs>
        <w:numPr>
          <w:ilvl w:val="0"/>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Effectiveness and Binding Effect</w:t>
      </w:r>
      <w:r>
        <w:rPr>
          <w:rFonts w:ascii="Times New Roman" w:cs="Times New Roman" w:eastAsia="Times New Roman" w:hAnsi="Times New Roman"/>
          <w:sz w:val="17"/>
          <w:szCs w:val="17"/>
          <w:color w:val="auto"/>
        </w:rPr>
        <w:t>. Each amendment, supplement or waiver pursuant to this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b w:val="1"/>
          <w:bCs w:val="1"/>
          <w:color w:val="auto"/>
        </w:rPr>
        <w:t>Article 8</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will become effective in accordance with its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terms and, when it becomes effective with respect to any Note (or any portion thereof), will thereafter bind every Holder of such Note (or such portion).</w:t>
      </w:r>
    </w:p>
    <w:p>
      <w:pPr>
        <w:spacing w:after="0" w:line="68" w:lineRule="exact"/>
        <w:rPr>
          <w:rFonts w:ascii="Times New Roman" w:cs="Times New Roman" w:eastAsia="Times New Roman" w:hAnsi="Times New Roman"/>
          <w:sz w:val="17"/>
          <w:szCs w:val="17"/>
          <w:color w:val="auto"/>
        </w:rPr>
      </w:pPr>
    </w:p>
    <w:p>
      <w:pPr>
        <w:ind w:left="5424" w:hanging="111"/>
        <w:spacing w:after="0"/>
        <w:tabs>
          <w:tab w:leader="none" w:pos="5424"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72 -</w:t>
      </w:r>
    </w:p>
    <w:p>
      <w:pPr>
        <w:sectPr>
          <w:pgSz w:w="11900" w:h="16838" w:orient="portrait"/>
          <w:cols w:equalWidth="0" w:num="1">
            <w:col w:w="11004"/>
          </w:cols>
          <w:pgMar w:left="436" w:top="266" w:right="459" w:bottom="1440" w:gutter="0" w:footer="0" w:header="0"/>
        </w:sectPr>
      </w:pPr>
    </w:p>
    <w:bookmarkStart w:id="85" w:name="page86"/>
    <w:bookmarkEnd w:id="85"/>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8.05. N</w:t>
      </w:r>
      <w:r>
        <w:rPr>
          <w:rFonts w:ascii="Times New Roman" w:cs="Times New Roman" w:eastAsia="Times New Roman" w:hAnsi="Times New Roman"/>
          <w:sz w:val="14"/>
          <w:szCs w:val="14"/>
          <w:b w:val="1"/>
          <w:bCs w:val="1"/>
          <w:color w:val="auto"/>
        </w:rPr>
        <w:t>OTATIONS AND</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XCHANGES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 w:firstLine="440"/>
        <w:spacing w:after="0" w:line="277" w:lineRule="auto"/>
        <w:rPr>
          <w:sz w:val="20"/>
          <w:szCs w:val="20"/>
          <w:color w:val="auto"/>
        </w:rPr>
      </w:pPr>
      <w:r>
        <w:rPr>
          <w:rFonts w:ascii="Times New Roman" w:cs="Times New Roman" w:eastAsia="Times New Roman" w:hAnsi="Times New Roman"/>
          <w:sz w:val="17"/>
          <w:szCs w:val="17"/>
          <w:color w:val="auto"/>
        </w:rPr>
        <w:t xml:space="preserve">If any amendment, supplement or waiver changes the terms of a Note or a Guarantee, then the Trustee or the Company may, in its discretion, require the Holder of such Note to deliver such Note to the Trustee so that the Trustee may place an appropriate notation prepared by the Company on such Note and return such Note to such Holder. Alternatively, at its discretion, the Company may, in exchange for such Note, issue, execute and deliver, and the Trustee will authenticate, in each case in accordance with </w:t>
      </w:r>
      <w:r>
        <w:rPr>
          <w:rFonts w:ascii="Times New Roman" w:cs="Times New Roman" w:eastAsia="Times New Roman" w:hAnsi="Times New Roman"/>
          <w:sz w:val="17"/>
          <w:szCs w:val="17"/>
          <w:b w:val="1"/>
          <w:bCs w:val="1"/>
          <w:color w:val="auto"/>
        </w:rPr>
        <w:t>Section 2.02</w:t>
      </w:r>
      <w:r>
        <w:rPr>
          <w:rFonts w:ascii="Times New Roman" w:cs="Times New Roman" w:eastAsia="Times New Roman" w:hAnsi="Times New Roman"/>
          <w:sz w:val="17"/>
          <w:szCs w:val="17"/>
          <w:color w:val="auto"/>
        </w:rPr>
        <w:t xml:space="preserve">, a new Note that reflects the changed terms. The failure to make any appropriate notation or issue a new Note pursuant to this </w:t>
      </w:r>
      <w:r>
        <w:rPr>
          <w:rFonts w:ascii="Times New Roman" w:cs="Times New Roman" w:eastAsia="Times New Roman" w:hAnsi="Times New Roman"/>
          <w:sz w:val="17"/>
          <w:szCs w:val="17"/>
          <w:b w:val="1"/>
          <w:bCs w:val="1"/>
          <w:color w:val="auto"/>
        </w:rPr>
        <w:t>Section 8.05</w:t>
      </w:r>
      <w:r>
        <w:rPr>
          <w:rFonts w:ascii="Times New Roman" w:cs="Times New Roman" w:eastAsia="Times New Roman" w:hAnsi="Times New Roman"/>
          <w:sz w:val="17"/>
          <w:szCs w:val="17"/>
          <w:color w:val="auto"/>
        </w:rPr>
        <w:t xml:space="preserve"> will not impair or affect the validity of such amendment, supplement or waiver.</w:t>
      </w:r>
    </w:p>
    <w:p>
      <w:pPr>
        <w:spacing w:after="0" w:line="27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8.06. T</w:t>
      </w:r>
      <w:r>
        <w:rPr>
          <w:rFonts w:ascii="Times New Roman" w:cs="Times New Roman" w:eastAsia="Times New Roman" w:hAnsi="Times New Roman"/>
          <w:sz w:val="14"/>
          <w:szCs w:val="14"/>
          <w:b w:val="1"/>
          <w:bCs w:val="1"/>
          <w:color w:val="auto"/>
        </w:rPr>
        <w:t>RUSTEE TO</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XECUTE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UPPLEMENTAL</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NDENTURES</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ind w:left="4"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The Trustee will execute and deliver any amendment or supplemental indenture authorized pursuant to this </w:t>
      </w:r>
      <w:r>
        <w:rPr>
          <w:rFonts w:ascii="Times New Roman" w:cs="Times New Roman" w:eastAsia="Times New Roman" w:hAnsi="Times New Roman"/>
          <w:sz w:val="18"/>
          <w:szCs w:val="18"/>
          <w:b w:val="1"/>
          <w:bCs w:val="1"/>
          <w:color w:val="auto"/>
        </w:rPr>
        <w:t>Article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Trustee need not (but may, in its sole and absolute discretion) execute or deliver any such amendment or supplemental indenture that the Trustee concludes adversely affects the Trustee’s rights, duties, liabilities or immunities. In executing any amendment or supplemental indenture, the Trustee will be entitled to receive, and (subject to </w:t>
      </w:r>
      <w:r>
        <w:rPr>
          <w:rFonts w:ascii="Times New Roman" w:cs="Times New Roman" w:eastAsia="Times New Roman" w:hAnsi="Times New Roman"/>
          <w:sz w:val="18"/>
          <w:szCs w:val="18"/>
          <w:b w:val="1"/>
          <w:bCs w:val="1"/>
          <w:color w:val="auto"/>
        </w:rPr>
        <w:t>Sections 11.01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11.02</w:t>
      </w:r>
      <w:r>
        <w:rPr>
          <w:rFonts w:ascii="Times New Roman" w:cs="Times New Roman" w:eastAsia="Times New Roman" w:hAnsi="Times New Roman"/>
          <w:sz w:val="18"/>
          <w:szCs w:val="18"/>
          <w:color w:val="auto"/>
        </w:rPr>
        <w:t>) will be fully protected in relying on, an Officer’s Certificate and an Opinion of Counsel stating that (A) the execution and delivery of such amendment or supplemental indenture is authorized or permitted by this Indenture; and</w:t>
      </w:r>
    </w:p>
    <w:p>
      <w:pPr>
        <w:spacing w:after="0" w:line="3" w:lineRule="exact"/>
        <w:rPr>
          <w:sz w:val="20"/>
          <w:szCs w:val="20"/>
          <w:color w:val="auto"/>
        </w:rPr>
      </w:pPr>
    </w:p>
    <w:p>
      <w:pPr>
        <w:ind w:left="4" w:right="600" w:hanging="4"/>
        <w:spacing w:after="0" w:line="260" w:lineRule="auto"/>
        <w:tabs>
          <w:tab w:leader="none" w:pos="289"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Opinion of Counsel, such amendment or supplemental indenture is valid, binding and enforceable against the Company in accordance with its terms.</w:t>
      </w:r>
    </w:p>
    <w:p>
      <w:pPr>
        <w:spacing w:after="0" w:line="393"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b w:val="1"/>
          <w:bCs w:val="1"/>
          <w:color w:val="auto"/>
        </w:rPr>
        <w:t>Article 9. GUARANTEE</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9.01. G</w:t>
      </w:r>
      <w:r>
        <w:rPr>
          <w:rFonts w:ascii="Times New Roman" w:cs="Times New Roman" w:eastAsia="Times New Roman" w:hAnsi="Times New Roman"/>
          <w:sz w:val="14"/>
          <w:szCs w:val="14"/>
          <w:b w:val="1"/>
          <w:bCs w:val="1"/>
          <w:color w:val="auto"/>
        </w:rPr>
        <w:t>UARANTEE</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ind w:left="4" w:right="140" w:hanging="4"/>
        <w:spacing w:after="0" w:line="257" w:lineRule="auto"/>
        <w:tabs>
          <w:tab w:leader="none" w:pos="299"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 By its execution of this Indenture (or any amended or supplemental indenture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8.01(B</w:t>
      </w:r>
      <w:r>
        <w:rPr>
          <w:rFonts w:ascii="Times New Roman" w:cs="Times New Roman" w:eastAsia="Times New Roman" w:hAnsi="Times New Roman"/>
          <w:sz w:val="18"/>
          <w:szCs w:val="18"/>
          <w:color w:val="auto"/>
        </w:rPr>
        <w:t>)), each Guarantor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acknowledges and agrees that it receives substantial benefits from the Company and that such Guarantor is providing its Guarantee for good and valuable consideration, including such substantial benefits. Subject to this </w:t>
      </w:r>
      <w:r>
        <w:rPr>
          <w:rFonts w:ascii="Times New Roman" w:cs="Times New Roman" w:eastAsia="Times New Roman" w:hAnsi="Times New Roman"/>
          <w:sz w:val="18"/>
          <w:szCs w:val="18"/>
          <w:b w:val="1"/>
          <w:bCs w:val="1"/>
          <w:color w:val="auto"/>
        </w:rPr>
        <w:t>Article 9</w:t>
      </w:r>
      <w:r>
        <w:rPr>
          <w:rFonts w:ascii="Times New Roman" w:cs="Times New Roman" w:eastAsia="Times New Roman" w:hAnsi="Times New Roman"/>
          <w:sz w:val="18"/>
          <w:szCs w:val="18"/>
          <w:color w:val="auto"/>
        </w:rPr>
        <w:t>, each Guarantor hereby fully, irrevocably and unconditionally guarantees, jointly and severally, on a senior unsubordinated basis, to each Holder of a Note authenticated and delivered by the Trustee and to the Trustee and its successors and assigns, regardless of the validity or enforceability of this Indenture, the Notes or the obligations of the Company under this Indenture or the Notes, that:</w:t>
      </w:r>
    </w:p>
    <w:p>
      <w:pPr>
        <w:spacing w:after="0" w:line="186" w:lineRule="exact"/>
        <w:rPr>
          <w:sz w:val="20"/>
          <w:szCs w:val="20"/>
          <w:color w:val="auto"/>
        </w:rPr>
      </w:pPr>
    </w:p>
    <w:p>
      <w:pPr>
        <w:ind w:left="224" w:hanging="224"/>
        <w:spacing w:after="0"/>
        <w:tabs>
          <w:tab w:leader="none" w:pos="224"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of, any interest on, and any Exchange Consideration for, the Notes will be promptly paid in full when due, whether at maturity, by</w:t>
      </w:r>
    </w:p>
    <w:p>
      <w:pPr>
        <w:spacing w:after="0" w:line="27" w:lineRule="exact"/>
        <w:rPr>
          <w:rFonts w:ascii="Times New Roman" w:cs="Times New Roman" w:eastAsia="Times New Roman" w:hAnsi="Times New Roman"/>
          <w:sz w:val="18"/>
          <w:szCs w:val="18"/>
          <w:color w:val="auto"/>
        </w:rPr>
      </w:pPr>
    </w:p>
    <w:p>
      <w:pPr>
        <w:ind w:left="4" w:right="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acceleration, on a Fundamental Change Repurchase Date, upon Redemption or otherwise, and interest on the overdue principal of, any interest on, or any Exchange Consideration for, the Notes, if lawful, and all other obligations of the Company to the Holders or the Trustee under this Indenture or the Notes, will be promptly paid or delivered in full or performed, as applicable, in each case in accordance with this Indenture and the Notes; and</w:t>
      </w:r>
    </w:p>
    <w:p>
      <w:pPr>
        <w:spacing w:after="0" w:line="118"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73 -</w:t>
      </w:r>
    </w:p>
    <w:p>
      <w:pPr>
        <w:sectPr>
          <w:pgSz w:w="11900" w:h="16838" w:orient="portrait"/>
          <w:cols w:equalWidth="0" w:num="1">
            <w:col w:w="10944"/>
          </w:cols>
          <w:pgMar w:left="436" w:top="266" w:right="519" w:bottom="1440" w:gutter="0" w:footer="0" w:header="0"/>
        </w:sectPr>
      </w:pPr>
    </w:p>
    <w:bookmarkStart w:id="86" w:name="page87"/>
    <w:bookmarkEnd w:id="86"/>
    <w:p>
      <w:pPr>
        <w:ind w:left="264" w:hanging="264"/>
        <w:spacing w:after="0"/>
        <w:tabs>
          <w:tab w:leader="none" w:pos="264"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case of any extension of time of payment or renewal of any Notes or any of such other obligations, that the same will be promptly paid in full</w:t>
      </w:r>
    </w:p>
    <w:p>
      <w:pPr>
        <w:spacing w:after="0" w:line="27" w:lineRule="exact"/>
        <w:rPr>
          <w:rFonts w:ascii="Times New Roman" w:cs="Times New Roman" w:eastAsia="Times New Roman" w:hAnsi="Times New Roman"/>
          <w:sz w:val="18"/>
          <w:szCs w:val="18"/>
          <w:color w:val="auto"/>
        </w:rPr>
      </w:pPr>
    </w:p>
    <w:p>
      <w:pPr>
        <w:ind w:left="4" w:right="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due or performed in accordance with the terms of the extension or renewal, whether at stated maturity, by acceleration, on a Fundamental Change Repurchase Date, upon Redemption or otherwise,</w:t>
      </w:r>
    </w:p>
    <w:p>
      <w:pPr>
        <w:spacing w:after="0" w:line="17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(collectively, the “</w:t>
      </w:r>
      <w:r>
        <w:rPr>
          <w:rFonts w:ascii="Times New Roman" w:cs="Times New Roman" w:eastAsia="Times New Roman" w:hAnsi="Times New Roman"/>
          <w:sz w:val="18"/>
          <w:szCs w:val="18"/>
          <w:b w:val="1"/>
          <w:bCs w:val="1"/>
          <w:color w:val="auto"/>
        </w:rPr>
        <w:t>Guaranteed Obligations</w:t>
      </w:r>
      <w:r>
        <w:rPr>
          <w:rFonts w:ascii="Times New Roman" w:cs="Times New Roman" w:eastAsia="Times New Roman" w:hAnsi="Times New Roman"/>
          <w:sz w:val="18"/>
          <w:szCs w:val="18"/>
          <w:color w:val="auto"/>
        </w:rPr>
        <w:t xml:space="preserve">”), in each case subject to </w:t>
      </w:r>
      <w:r>
        <w:rPr>
          <w:rFonts w:ascii="Times New Roman" w:cs="Times New Roman" w:eastAsia="Times New Roman" w:hAnsi="Times New Roman"/>
          <w:sz w:val="18"/>
          <w:szCs w:val="18"/>
          <w:b w:val="1"/>
          <w:bCs w:val="1"/>
          <w:color w:val="auto"/>
        </w:rPr>
        <w:t>Section 9.02</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4" w:right="40" w:firstLine="440"/>
        <w:spacing w:after="0" w:line="266" w:lineRule="auto"/>
        <w:rPr>
          <w:sz w:val="20"/>
          <w:szCs w:val="20"/>
          <w:color w:val="auto"/>
        </w:rPr>
      </w:pPr>
      <w:r>
        <w:rPr>
          <w:rFonts w:ascii="Times New Roman" w:cs="Times New Roman" w:eastAsia="Times New Roman" w:hAnsi="Times New Roman"/>
          <w:sz w:val="18"/>
          <w:szCs w:val="18"/>
          <w:color w:val="auto"/>
        </w:rPr>
        <w:t>Upon the failure of any payment when due of any amount so guaranteed, upon the failure of any performance so guaranteed, for whatever reason, or upon the express request of the Company to any Guarantor, such Guarantor will be obligated to pay or perform, as applicable, the same immediately. Each Guarantor agrees that this is a guarantee of payment and not a guarantee of collection.</w:t>
      </w:r>
    </w:p>
    <w:p>
      <w:pPr>
        <w:spacing w:after="0" w:line="174" w:lineRule="exact"/>
        <w:rPr>
          <w:sz w:val="20"/>
          <w:szCs w:val="20"/>
          <w:color w:val="auto"/>
        </w:rPr>
      </w:pPr>
    </w:p>
    <w:p>
      <w:pPr>
        <w:ind w:left="4" w:right="40" w:hanging="4"/>
        <w:spacing w:after="0" w:line="253" w:lineRule="auto"/>
        <w:tabs>
          <w:tab w:leader="none" w:pos="289"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Guarantee Is Unconditional; Waiver of Diligence, Presentment, Etc</w:t>
      </w:r>
      <w:r>
        <w:rPr>
          <w:rFonts w:ascii="Times New Roman" w:cs="Times New Roman" w:eastAsia="Times New Roman" w:hAnsi="Times New Roman"/>
          <w:sz w:val="18"/>
          <w:szCs w:val="18"/>
          <w:color w:val="auto"/>
        </w:rPr>
        <w:t>. Each Guarantor agrees that its Guarantee of the Guaranteed Obligations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unconditional, regardless of the validity or enforceability of this Indenture, the Notes or the obligations of the Company under this Indenture or the Notes, the absence of any action to enforce the same, any waiver or consent by any Holder with respect to any provisions of this Indenture or the Notes, the recovery of any judgment against the Company, any action to enforce the same or any other circumstance that might otherwise constitute a legal or equitable discharge or defense of a Guarantor. Each Guarantor agrees that in the event of a Default in any obligation of the Company under this Indenture or the Notes, including any payment of the principal of or interest on, or any Exchange Consideration for the Notes when due, whether at maturity, by acceleration, on a Fundamental Change Repurchase Date, upon Redemption or otherwise, legal proceedings may be instituted directly against such Guarantor to enforce its Guarantee without first proceeding against the Company. Each Guarantor waives diligence, presentment, demand of payment, filing of claims with a court in the event of insolvency or bankruptcy of the Company, any right to require a proceeding first against the Company, protest, notice and all demands whatsoever, and covenants that its Guarantee will not be discharged except by complete performance of the obligations contained in this Indenture and the Notes.</w:t>
      </w:r>
    </w:p>
    <w:p>
      <w:pPr>
        <w:spacing w:after="0" w:line="191" w:lineRule="exact"/>
        <w:rPr>
          <w:rFonts w:ascii="Times New Roman" w:cs="Times New Roman" w:eastAsia="Times New Roman" w:hAnsi="Times New Roman"/>
          <w:sz w:val="18"/>
          <w:szCs w:val="18"/>
          <w:color w:val="auto"/>
        </w:rPr>
      </w:pPr>
    </w:p>
    <w:p>
      <w:pPr>
        <w:ind w:left="4" w:hanging="4"/>
        <w:spacing w:after="0" w:line="261" w:lineRule="auto"/>
        <w:tabs>
          <w:tab w:leader="none" w:pos="289"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Reinstatement of Guarantee Upon Return of Payments</w:t>
      </w:r>
      <w:r>
        <w:rPr>
          <w:rFonts w:ascii="Times New Roman" w:cs="Times New Roman" w:eastAsia="Times New Roman" w:hAnsi="Times New Roman"/>
          <w:sz w:val="18"/>
          <w:szCs w:val="18"/>
          <w:color w:val="auto"/>
        </w:rPr>
        <w:t>. If any Holder or the Trustee is required by any court or otherwise to return to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Guarantor or any custodian, trustee, liquidator or other similar official acting in relation to either the Company or such Guarantor, any consideration paid or delivered by the Company or such Guarantor to such Holder or the Trustee, then such Guarantee, to the extent theretofore discharged, will be reinstated in full force and effect.</w:t>
      </w:r>
    </w:p>
    <w:p>
      <w:pPr>
        <w:spacing w:after="0" w:line="179" w:lineRule="exact"/>
        <w:rPr>
          <w:rFonts w:ascii="Times New Roman" w:cs="Times New Roman" w:eastAsia="Times New Roman" w:hAnsi="Times New Roman"/>
          <w:sz w:val="18"/>
          <w:szCs w:val="18"/>
          <w:color w:val="auto"/>
        </w:rPr>
      </w:pPr>
    </w:p>
    <w:p>
      <w:pPr>
        <w:ind w:left="4" w:right="20" w:hanging="4"/>
        <w:spacing w:after="0" w:line="257" w:lineRule="auto"/>
        <w:tabs>
          <w:tab w:leader="none" w:pos="299"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Subrogation</w:t>
      </w:r>
      <w:r>
        <w:rPr>
          <w:rFonts w:ascii="Times New Roman" w:cs="Times New Roman" w:eastAsia="Times New Roman" w:hAnsi="Times New Roman"/>
          <w:sz w:val="18"/>
          <w:szCs w:val="18"/>
          <w:color w:val="auto"/>
        </w:rPr>
        <w:t>. Each Guarantor agrees that any right of subrogation, reimbursement or contribution it may have in relation to the Holders or in respect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 any Guaranteed Obligations will be subordinated to, and will not be enforceable until payment in full of, all Guaranteed Obligations. Each Guarantor further agrees that, as between such Guarantor, on the one hand, and the Holders and the Trustee, on the other hand, (i) the maturity of the Guaranteed Obligations may be accelerated as provided in </w:t>
      </w:r>
      <w:r>
        <w:rPr>
          <w:rFonts w:ascii="Times New Roman" w:cs="Times New Roman" w:eastAsia="Times New Roman" w:hAnsi="Times New Roman"/>
          <w:sz w:val="18"/>
          <w:szCs w:val="18"/>
          <w:b w:val="1"/>
          <w:bCs w:val="1"/>
          <w:color w:val="auto"/>
        </w:rPr>
        <w:t>Article 7</w:t>
      </w:r>
      <w:r>
        <w:rPr>
          <w:rFonts w:ascii="Times New Roman" w:cs="Times New Roman" w:eastAsia="Times New Roman" w:hAnsi="Times New Roman"/>
          <w:sz w:val="18"/>
          <w:szCs w:val="18"/>
          <w:color w:val="auto"/>
        </w:rPr>
        <w:t xml:space="preserve">, notwithstanding any stay, injunction or other prohibition preventing such acceleration in respect of the Guaranteed Obligations; and (ii) if any Guaranteed Obligations are accelerated pursuant to </w:t>
      </w:r>
      <w:r>
        <w:rPr>
          <w:rFonts w:ascii="Times New Roman" w:cs="Times New Roman" w:eastAsia="Times New Roman" w:hAnsi="Times New Roman"/>
          <w:sz w:val="18"/>
          <w:szCs w:val="18"/>
          <w:b w:val="1"/>
          <w:bCs w:val="1"/>
          <w:color w:val="auto"/>
        </w:rPr>
        <w:t>Article 7</w:t>
      </w:r>
      <w:r>
        <w:rPr>
          <w:rFonts w:ascii="Times New Roman" w:cs="Times New Roman" w:eastAsia="Times New Roman" w:hAnsi="Times New Roman"/>
          <w:sz w:val="18"/>
          <w:szCs w:val="18"/>
          <w:color w:val="auto"/>
        </w:rPr>
        <w:t>, then such Guaranteed Obligations will, whether or not due and payable, immediately become due and payable by such Guarantor.</w:t>
      </w:r>
    </w:p>
    <w:p>
      <w:pPr>
        <w:spacing w:after="0" w:line="116"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74 -</w:t>
      </w:r>
    </w:p>
    <w:p>
      <w:pPr>
        <w:sectPr>
          <w:pgSz w:w="11900" w:h="16838" w:orient="portrait"/>
          <w:cols w:equalWidth="0" w:num="1">
            <w:col w:w="10964"/>
          </w:cols>
          <w:pgMar w:left="436" w:top="270" w:right="499" w:bottom="1440" w:gutter="0" w:footer="0" w:header="0"/>
        </w:sectPr>
      </w:pPr>
    </w:p>
    <w:bookmarkStart w:id="87" w:name="page88"/>
    <w:bookmarkEnd w:id="87"/>
    <w:p>
      <w:pPr>
        <w:ind w:left="4" w:right="360" w:hanging="4"/>
        <w:spacing w:after="0" w:line="284" w:lineRule="auto"/>
        <w:tabs>
          <w:tab w:leader="none" w:pos="279"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Exchange of Notes</w:t>
      </w:r>
      <w:r>
        <w:rPr>
          <w:rFonts w:ascii="Times New Roman" w:cs="Times New Roman" w:eastAsia="Times New Roman" w:hAnsi="Times New Roman"/>
          <w:sz w:val="18"/>
          <w:szCs w:val="18"/>
          <w:color w:val="auto"/>
        </w:rPr>
        <w:t>. The Guarantees shall not be Exchangeable and shall automatically terminate with respect to a given Note when such Note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Exchanged.</w:t>
      </w:r>
    </w:p>
    <w:p>
      <w:pPr>
        <w:spacing w:after="0" w:line="26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9.02. L</w:t>
      </w:r>
      <w:r>
        <w:rPr>
          <w:rFonts w:ascii="Times New Roman" w:cs="Times New Roman" w:eastAsia="Times New Roman" w:hAnsi="Times New Roman"/>
          <w:sz w:val="14"/>
          <w:szCs w:val="14"/>
          <w:b w:val="1"/>
          <w:bCs w:val="1"/>
          <w:color w:val="auto"/>
        </w:rPr>
        <w:t>IMITATION ON</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4"/>
          <w:szCs w:val="14"/>
          <w:b w:val="1"/>
          <w:bCs w:val="1"/>
          <w:color w:val="auto"/>
        </w:rPr>
        <w:t>UARANTOR</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IABILITY</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Each Guarantor, and, by its acceptance of any Note, each Holder, confirms that such Guarantor and the Holders intend that such Guarantee of such Guarantor not constitute a fraudulent transfer or conveyance for purposes of Bankruptcy Law, the Uniform Fraudulent Conveyance Act, the Uniform Fraudulent Transfer Act or any similar federal or state law to the extent applicable to such Guarantee. Each of the Trustee, the Holders and each Guarantor irrevocably agrees that the obligations of such Guarantor under its Guarantee will be limited to the maximum amount that will, after giving effect to such maximum amount and all other contingent and fixed liabilities of such Guarantor that are relevant under such laws, result in the obligations of such Guarantor under its Guarantee not constituting a fraudulent transfer or conveyance.</w:t>
      </w:r>
    </w:p>
    <w:p>
      <w:pPr>
        <w:spacing w:after="0" w:line="2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9.03. E</w:t>
      </w:r>
      <w:r>
        <w:rPr>
          <w:rFonts w:ascii="Times New Roman" w:cs="Times New Roman" w:eastAsia="Times New Roman" w:hAnsi="Times New Roman"/>
          <w:sz w:val="14"/>
          <w:szCs w:val="14"/>
          <w:b w:val="1"/>
          <w:bCs w:val="1"/>
          <w:color w:val="auto"/>
        </w:rPr>
        <w:t>XECUTION AND</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ELIVERY OF</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4"/>
          <w:szCs w:val="14"/>
          <w:b w:val="1"/>
          <w:bCs w:val="1"/>
          <w:color w:val="auto"/>
        </w:rPr>
        <w:t>UARANTEE</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ind w:left="4" w:right="60" w:firstLine="440"/>
        <w:spacing w:after="0" w:line="257" w:lineRule="auto"/>
        <w:rPr>
          <w:sz w:val="20"/>
          <w:szCs w:val="20"/>
          <w:color w:val="auto"/>
        </w:rPr>
      </w:pPr>
      <w:r>
        <w:rPr>
          <w:rFonts w:ascii="Times New Roman" w:cs="Times New Roman" w:eastAsia="Times New Roman" w:hAnsi="Times New Roman"/>
          <w:sz w:val="18"/>
          <w:szCs w:val="18"/>
          <w:color w:val="auto"/>
        </w:rPr>
        <w:t xml:space="preserve">The execution by a Guarantor of this Indenture (or an amended or supplemental indenture pursuant to </w:t>
      </w:r>
      <w:r>
        <w:rPr>
          <w:rFonts w:ascii="Times New Roman" w:cs="Times New Roman" w:eastAsia="Times New Roman" w:hAnsi="Times New Roman"/>
          <w:sz w:val="18"/>
          <w:szCs w:val="18"/>
          <w:b w:val="1"/>
          <w:bCs w:val="1"/>
          <w:color w:val="auto"/>
        </w:rPr>
        <w:t>Section 8.01(B</w:t>
      </w:r>
      <w:r>
        <w:rPr>
          <w:rFonts w:ascii="Times New Roman" w:cs="Times New Roman" w:eastAsia="Times New Roman" w:hAnsi="Times New Roman"/>
          <w:sz w:val="18"/>
          <w:szCs w:val="18"/>
          <w:color w:val="auto"/>
        </w:rPr>
        <w:t>)) evidences such Guarantee of such Guarantor, and the delivery of any Note by the Trustee after its authentication constitutes due delivery of the Guarantees on behalf of the Guarantors. A Guarantee’s validity will not be affected by the failure of any officer of a Guarantor executing this Indenture or any such amended or supplemental indenture on such Guarantor’s behalf to hold, at the time any Note is authenticated, the same or any other office at such Guarantor, and each Guarantee will be valid and enforceable even if no notation, certificate or other instrument is set upon or attached to, or otherwise executed and delivered to the Holder of, any Note.</w:t>
      </w:r>
    </w:p>
    <w:p>
      <w:pPr>
        <w:spacing w:after="0" w:line="29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9.04. A</w:t>
      </w:r>
      <w:r>
        <w:rPr>
          <w:rFonts w:ascii="Times New Roman" w:cs="Times New Roman" w:eastAsia="Times New Roman" w:hAnsi="Times New Roman"/>
          <w:sz w:val="14"/>
          <w:szCs w:val="14"/>
          <w:b w:val="1"/>
          <w:bCs w:val="1"/>
          <w:color w:val="auto"/>
        </w:rPr>
        <w:t>DDITIONAL</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UBSIDIARY</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4"/>
          <w:szCs w:val="14"/>
          <w:b w:val="1"/>
          <w:bCs w:val="1"/>
          <w:color w:val="auto"/>
        </w:rPr>
        <w:t>UARANTORS</w:t>
      </w:r>
    </w:p>
    <w:p>
      <w:pPr>
        <w:spacing w:after="0" w:line="121" w:lineRule="exact"/>
        <w:rPr>
          <w:sz w:val="20"/>
          <w:szCs w:val="20"/>
          <w:color w:val="auto"/>
        </w:rPr>
      </w:pPr>
    </w:p>
    <w:p>
      <w:pPr>
        <w:jc w:val="both"/>
        <w:ind w:left="4" w:right="60" w:hanging="4"/>
        <w:spacing w:after="0" w:line="266" w:lineRule="auto"/>
        <w:tabs>
          <w:tab w:leader="none" w:pos="299"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existing or newly acquired or created Domestic Subsidiary of the Company becomes a guarantor of any of the Existing Notes or any Covered Debt Security on or after the Issue Date, then such Domestic Subsidiary shall promptly execute a supplemental indenture pursuant to </w:t>
      </w:r>
      <w:r>
        <w:rPr>
          <w:rFonts w:ascii="Times New Roman" w:cs="Times New Roman" w:eastAsia="Times New Roman" w:hAnsi="Times New Roman"/>
          <w:sz w:val="18"/>
          <w:szCs w:val="18"/>
          <w:b w:val="1"/>
          <w:bCs w:val="1"/>
          <w:color w:val="auto"/>
        </w:rPr>
        <w:t>Section 8.01(B</w:t>
      </w:r>
      <w:r>
        <w:rPr>
          <w:rFonts w:ascii="Times New Roman" w:cs="Times New Roman" w:eastAsia="Times New Roman" w:hAnsi="Times New Roman"/>
          <w:sz w:val="18"/>
          <w:szCs w:val="18"/>
          <w:color w:val="auto"/>
        </w:rPr>
        <w:t>) to provide a Guarantee and become a Subsidiary Guarantor.</w:t>
      </w:r>
    </w:p>
    <w:p>
      <w:pPr>
        <w:spacing w:after="0" w:line="171" w:lineRule="exact"/>
        <w:rPr>
          <w:rFonts w:ascii="Times New Roman" w:cs="Times New Roman" w:eastAsia="Times New Roman" w:hAnsi="Times New Roman"/>
          <w:sz w:val="18"/>
          <w:szCs w:val="18"/>
          <w:color w:val="auto"/>
        </w:rPr>
      </w:pPr>
    </w:p>
    <w:p>
      <w:pPr>
        <w:ind w:left="4" w:hanging="4"/>
        <w:spacing w:after="0" w:line="268" w:lineRule="auto"/>
        <w:tabs>
          <w:tab w:leader="none" w:pos="289"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a Guarantor is released from its Guarantee pursuant to </w:t>
      </w:r>
      <w:r>
        <w:rPr>
          <w:rFonts w:ascii="Times New Roman" w:cs="Times New Roman" w:eastAsia="Times New Roman" w:hAnsi="Times New Roman"/>
          <w:sz w:val="18"/>
          <w:szCs w:val="18"/>
          <w:b w:val="1"/>
          <w:bCs w:val="1"/>
          <w:color w:val="auto"/>
        </w:rPr>
        <w:t>Section 9.08(C)</w:t>
      </w:r>
      <w:r>
        <w:rPr>
          <w:rFonts w:ascii="Times New Roman" w:cs="Times New Roman" w:eastAsia="Times New Roman" w:hAnsi="Times New Roman"/>
          <w:sz w:val="18"/>
          <w:szCs w:val="18"/>
          <w:color w:val="auto"/>
        </w:rPr>
        <w:t xml:space="preserve"> and thereafter becomes a guarantor under the Existing Notes or any Covered Debt Security, then such former Guarantor shall promptly execute a supplemental indenture pursuant to </w:t>
      </w:r>
      <w:r>
        <w:rPr>
          <w:rFonts w:ascii="Times New Roman" w:cs="Times New Roman" w:eastAsia="Times New Roman" w:hAnsi="Times New Roman"/>
          <w:sz w:val="18"/>
          <w:szCs w:val="18"/>
          <w:b w:val="1"/>
          <w:bCs w:val="1"/>
          <w:color w:val="auto"/>
        </w:rPr>
        <w:t>Section 8.01(B</w:t>
      </w:r>
      <w:r>
        <w:rPr>
          <w:rFonts w:ascii="Times New Roman" w:cs="Times New Roman" w:eastAsia="Times New Roman" w:hAnsi="Times New Roman"/>
          <w:sz w:val="18"/>
          <w:szCs w:val="18"/>
          <w:color w:val="auto"/>
        </w:rPr>
        <w:t>) to provide a Guarantee and become a Subsidiary Guarantor.</w:t>
      </w:r>
    </w:p>
    <w:p>
      <w:pPr>
        <w:spacing w:after="0" w:line="27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9.05. W</w:t>
      </w:r>
      <w:r>
        <w:rPr>
          <w:rFonts w:ascii="Times New Roman" w:cs="Times New Roman" w:eastAsia="Times New Roman" w:hAnsi="Times New Roman"/>
          <w:sz w:val="14"/>
          <w:szCs w:val="14"/>
          <w:b w:val="1"/>
          <w:bCs w:val="1"/>
          <w:color w:val="auto"/>
        </w:rPr>
        <w:t>HEN</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4"/>
          <w:szCs w:val="14"/>
          <w:b w:val="1"/>
          <w:bCs w:val="1"/>
          <w:color w:val="auto"/>
        </w:rPr>
        <w:t>OLDINGS</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4"/>
          <w:szCs w:val="14"/>
          <w:b w:val="1"/>
          <w:bCs w:val="1"/>
          <w:color w:val="auto"/>
        </w:rPr>
        <w:t>AY</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4"/>
          <w:szCs w:val="14"/>
          <w:b w:val="1"/>
          <w:bCs w:val="1"/>
          <w:color w:val="auto"/>
        </w:rPr>
        <w:t>ERGE</w:t>
      </w:r>
      <w:r>
        <w:rPr>
          <w:rFonts w:ascii="Times New Roman" w:cs="Times New Roman" w:eastAsia="Times New Roman" w:hAnsi="Times New Roman"/>
          <w:sz w:val="18"/>
          <w:szCs w:val="18"/>
          <w:b w:val="1"/>
          <w:bCs w:val="1"/>
          <w:color w:val="auto"/>
        </w:rPr>
        <w:t>, E</w:t>
      </w:r>
      <w:r>
        <w:rPr>
          <w:rFonts w:ascii="Times New Roman" w:cs="Times New Roman" w:eastAsia="Times New Roman" w:hAnsi="Times New Roman"/>
          <w:sz w:val="14"/>
          <w:szCs w:val="14"/>
          <w:b w:val="1"/>
          <w:bCs w:val="1"/>
          <w:color w:val="auto"/>
        </w:rPr>
        <w:t>TC</w:t>
      </w:r>
      <w:r>
        <w:rPr>
          <w:rFonts w:ascii="Times New Roman" w:cs="Times New Roman" w:eastAsia="Times New Roman" w:hAnsi="Times New Roman"/>
          <w:sz w:val="18"/>
          <w:szCs w:val="18"/>
          <w:b w:val="1"/>
          <w:bCs w:val="1"/>
          <w:color w:val="auto"/>
        </w:rPr>
        <w:t>.</w:t>
      </w:r>
    </w:p>
    <w:p>
      <w:pPr>
        <w:spacing w:after="0" w:line="119" w:lineRule="exact"/>
        <w:rPr>
          <w:sz w:val="20"/>
          <w:szCs w:val="20"/>
          <w:color w:val="auto"/>
        </w:rPr>
      </w:pPr>
    </w:p>
    <w:p>
      <w:pPr>
        <w:ind w:left="4" w:right="40" w:hanging="4"/>
        <w:spacing w:after="0" w:line="267" w:lineRule="auto"/>
        <w:tabs>
          <w:tab w:leader="none" w:pos="299"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 Holdings will not consolidate with or merge with or into, or (directly, or indirectly through one or more of its Subsidiaries) sell, lease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transfer, in one transaction or a series of transactions, all or substantially all of the assets of Holdings and its Subsidiaries, taken as a whole, to another Person (a “</w:t>
      </w:r>
      <w:r>
        <w:rPr>
          <w:rFonts w:ascii="Times New Roman" w:cs="Times New Roman" w:eastAsia="Times New Roman" w:hAnsi="Times New Roman"/>
          <w:sz w:val="18"/>
          <w:szCs w:val="18"/>
          <w:b w:val="1"/>
          <w:bCs w:val="1"/>
          <w:color w:val="auto"/>
        </w:rPr>
        <w:t>Holdings Business Combination Event</w:t>
      </w:r>
      <w:r>
        <w:rPr>
          <w:rFonts w:ascii="Times New Roman" w:cs="Times New Roman" w:eastAsia="Times New Roman" w:hAnsi="Times New Roman"/>
          <w:sz w:val="18"/>
          <w:szCs w:val="18"/>
          <w:color w:val="auto"/>
        </w:rPr>
        <w:t>”), unless:</w:t>
      </w:r>
    </w:p>
    <w:p>
      <w:pPr>
        <w:spacing w:after="0" w:line="107"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75 -</w:t>
      </w:r>
    </w:p>
    <w:p>
      <w:pPr>
        <w:sectPr>
          <w:pgSz w:w="11900" w:h="16838" w:orient="portrait"/>
          <w:cols w:equalWidth="0" w:num="1">
            <w:col w:w="11004"/>
          </w:cols>
          <w:pgMar w:left="436" w:top="268" w:right="459" w:bottom="1440" w:gutter="0" w:footer="0" w:header="0"/>
        </w:sectPr>
      </w:pPr>
    </w:p>
    <w:bookmarkStart w:id="88" w:name="page89"/>
    <w:bookmarkEnd w:id="88"/>
    <w:p>
      <w:pPr>
        <w:ind w:left="4" w:right="100" w:hanging="4"/>
        <w:spacing w:after="0" w:line="261" w:lineRule="auto"/>
        <w:tabs>
          <w:tab w:leader="none" w:pos="219"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resulting, surviving or transferee Person either (x) is Holdings or (y) if not Holdings, is a Qualified Successor Entity (such Qualified Successor Entity, the “</w:t>
      </w:r>
      <w:r>
        <w:rPr>
          <w:rFonts w:ascii="Times New Roman" w:cs="Times New Roman" w:eastAsia="Times New Roman" w:hAnsi="Times New Roman"/>
          <w:sz w:val="18"/>
          <w:szCs w:val="18"/>
          <w:b w:val="1"/>
          <w:bCs w:val="1"/>
          <w:color w:val="auto"/>
        </w:rPr>
        <w:t>Holdings Successor Entity</w:t>
      </w:r>
      <w:r>
        <w:rPr>
          <w:rFonts w:ascii="Times New Roman" w:cs="Times New Roman" w:eastAsia="Times New Roman" w:hAnsi="Times New Roman"/>
          <w:sz w:val="18"/>
          <w:szCs w:val="18"/>
          <w:color w:val="auto"/>
        </w:rPr>
        <w:t xml:space="preserve">”) duly organized and existing under the laws of the United States of America, any State thereof or the District of Columbia that expressly assumes (by executing and delivering to the Trustee, at or before the effective time of such Holdings Business Combination Event, a supplemental indenture pursuant to </w:t>
      </w:r>
      <w:r>
        <w:rPr>
          <w:rFonts w:ascii="Times New Roman" w:cs="Times New Roman" w:eastAsia="Times New Roman" w:hAnsi="Times New Roman"/>
          <w:sz w:val="18"/>
          <w:szCs w:val="18"/>
          <w:b w:val="1"/>
          <w:bCs w:val="1"/>
          <w:color w:val="auto"/>
        </w:rPr>
        <w:t>Section 8.01(E</w:t>
      </w:r>
      <w:r>
        <w:rPr>
          <w:rFonts w:ascii="Times New Roman" w:cs="Times New Roman" w:eastAsia="Times New Roman" w:hAnsi="Times New Roman"/>
          <w:sz w:val="18"/>
          <w:szCs w:val="18"/>
          <w:color w:val="auto"/>
        </w:rPr>
        <w:t>)) all of Holdings’ obligations under this Indenture and the Notes; and</w:t>
      </w:r>
    </w:p>
    <w:p>
      <w:pPr>
        <w:spacing w:after="0" w:line="179"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Holdings Business Combination Event, no Default or Event of Default will have occurred and be continuing.</w:t>
      </w:r>
    </w:p>
    <w:p>
      <w:pPr>
        <w:spacing w:after="0" w:line="223" w:lineRule="exact"/>
        <w:rPr>
          <w:sz w:val="20"/>
          <w:szCs w:val="20"/>
          <w:color w:val="auto"/>
        </w:rPr>
      </w:pPr>
    </w:p>
    <w:p>
      <w:pPr>
        <w:ind w:left="4" w:right="460" w:hanging="4"/>
        <w:spacing w:after="0" w:line="261" w:lineRule="auto"/>
        <w:tabs>
          <w:tab w:leader="none" w:pos="289"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Delivery of Officer’s Certificate and Opinion of Counsel to the Trustee</w:t>
      </w:r>
      <w:r>
        <w:rPr>
          <w:rFonts w:ascii="Times New Roman" w:cs="Times New Roman" w:eastAsia="Times New Roman" w:hAnsi="Times New Roman"/>
          <w:sz w:val="18"/>
          <w:szCs w:val="18"/>
          <w:color w:val="auto"/>
        </w:rPr>
        <w:t>. At or before the effective time of any Holdings Business Combination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Event, the Company will deliver to the Trustee an Officer’s Certificate and Opinion of Counsel, each stating that (i) such Holdings Business Combination Event (and, if applicable, the related supplemental indenture) comply with </w:t>
      </w:r>
      <w:r>
        <w:rPr>
          <w:rFonts w:ascii="Times New Roman" w:cs="Times New Roman" w:eastAsia="Times New Roman" w:hAnsi="Times New Roman"/>
          <w:sz w:val="18"/>
          <w:szCs w:val="18"/>
          <w:b w:val="1"/>
          <w:bCs w:val="1"/>
          <w:color w:val="auto"/>
        </w:rPr>
        <w:t>Section 9.05(A)</w:t>
      </w:r>
      <w:r>
        <w:rPr>
          <w:rFonts w:ascii="Times New Roman" w:cs="Times New Roman" w:eastAsia="Times New Roman" w:hAnsi="Times New Roman"/>
          <w:sz w:val="18"/>
          <w:szCs w:val="18"/>
          <w:color w:val="auto"/>
        </w:rPr>
        <w:t>; and (ii) all conditions precedent to such Holdings Business Combination Event provided in this Indenture have been satisfied.</w:t>
      </w:r>
    </w:p>
    <w:p>
      <w:pPr>
        <w:spacing w:after="0" w:line="177" w:lineRule="exact"/>
        <w:rPr>
          <w:rFonts w:ascii="Times New Roman" w:cs="Times New Roman" w:eastAsia="Times New Roman" w:hAnsi="Times New Roman"/>
          <w:sz w:val="18"/>
          <w:szCs w:val="18"/>
          <w:color w:val="auto"/>
        </w:rPr>
      </w:pPr>
    </w:p>
    <w:p>
      <w:pPr>
        <w:ind w:left="4" w:right="160" w:hanging="4"/>
        <w:spacing w:after="0" w:line="262" w:lineRule="auto"/>
        <w:tabs>
          <w:tab w:leader="none" w:pos="289"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Holdings Successor Entity Substituted</w:t>
      </w:r>
      <w:r>
        <w:rPr>
          <w:rFonts w:ascii="Times New Roman" w:cs="Times New Roman" w:eastAsia="Times New Roman" w:hAnsi="Times New Roman"/>
          <w:sz w:val="18"/>
          <w:szCs w:val="18"/>
          <w:color w:val="auto"/>
        </w:rPr>
        <w:t>. At the effective time of any Holdings Business Combination Event that complies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9.05(A</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9.05(B)</w:t>
      </w:r>
      <w:r>
        <w:rPr>
          <w:rFonts w:ascii="Times New Roman" w:cs="Times New Roman" w:eastAsia="Times New Roman" w:hAnsi="Times New Roman"/>
          <w:sz w:val="18"/>
          <w:szCs w:val="18"/>
          <w:color w:val="auto"/>
        </w:rPr>
        <w:t>, the Holdings Successor Entity (if not Holdings) will succeed to, and may exercise every right and power of, Holdings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Indenture and the Notes with the same effect as if such Holdings Successor Entity had been named as Holdings in this Indenture and the Notes, and, except in the case of a lease, the predecessor Holdings will be discharged from its obligations under this Indenture, the Notes and its Guarantee.</w:t>
      </w:r>
    </w:p>
    <w:p>
      <w:pPr>
        <w:spacing w:after="0" w:line="176" w:lineRule="exact"/>
        <w:rPr>
          <w:rFonts w:ascii="Times New Roman" w:cs="Times New Roman" w:eastAsia="Times New Roman" w:hAnsi="Times New Roman"/>
          <w:sz w:val="18"/>
          <w:szCs w:val="18"/>
          <w:color w:val="auto"/>
        </w:rPr>
      </w:pPr>
    </w:p>
    <w:p>
      <w:pPr>
        <w:jc w:val="both"/>
        <w:ind w:left="4" w:right="60" w:hanging="4"/>
        <w:spacing w:after="0" w:line="268" w:lineRule="auto"/>
        <w:tabs>
          <w:tab w:leader="none" w:pos="299"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Exclusion for Asset Transfers to the Company or its Wholly Owned Subsidiaries</w:t>
      </w:r>
      <w:r>
        <w:rPr>
          <w:rFonts w:ascii="Times New Roman" w:cs="Times New Roman" w:eastAsia="Times New Roman" w:hAnsi="Times New Roman"/>
          <w:sz w:val="18"/>
          <w:szCs w:val="18"/>
          <w:color w:val="auto"/>
        </w:rPr>
        <w:t>. Notwithstanding anything to the contrary 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9.04</w:t>
      </w:r>
      <w:r>
        <w:rPr>
          <w:rFonts w:ascii="Times New Roman" w:cs="Times New Roman" w:eastAsia="Times New Roman" w:hAnsi="Times New Roman"/>
          <w:sz w:val="18"/>
          <w:szCs w:val="18"/>
          <w:color w:val="auto"/>
        </w:rPr>
        <w:t>,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 xml:space="preserve">Section 9.04 </w:t>
      </w:r>
      <w:r>
        <w:rPr>
          <w:rFonts w:ascii="Times New Roman" w:cs="Times New Roman" w:eastAsia="Times New Roman" w:hAnsi="Times New Roman"/>
          <w:sz w:val="18"/>
          <w:szCs w:val="18"/>
          <w:color w:val="auto"/>
        </w:rPr>
        <w:t>will not apply to any transfer of assets (not effected by merger or consolidation) between or among (x) Holdings; and (y) the Company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one or more of Holdings’ Wholly Owned Subsidiaries.</w:t>
      </w:r>
    </w:p>
    <w:p>
      <w:pPr>
        <w:spacing w:after="0" w:line="27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9.06. W</w:t>
      </w:r>
      <w:r>
        <w:rPr>
          <w:rFonts w:ascii="Times New Roman" w:cs="Times New Roman" w:eastAsia="Times New Roman" w:hAnsi="Times New Roman"/>
          <w:sz w:val="14"/>
          <w:szCs w:val="14"/>
          <w:b w:val="1"/>
          <w:bCs w:val="1"/>
          <w:color w:val="auto"/>
        </w:rPr>
        <w:t>HEN THE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UBSIDIARY</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4"/>
          <w:szCs w:val="14"/>
          <w:b w:val="1"/>
          <w:bCs w:val="1"/>
          <w:color w:val="auto"/>
        </w:rPr>
        <w:t>UARANTORS</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4"/>
          <w:szCs w:val="14"/>
          <w:b w:val="1"/>
          <w:bCs w:val="1"/>
          <w:color w:val="auto"/>
        </w:rPr>
        <w:t>AY</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4"/>
          <w:szCs w:val="14"/>
          <w:b w:val="1"/>
          <w:bCs w:val="1"/>
          <w:color w:val="auto"/>
        </w:rPr>
        <w:t>ERGE</w:t>
      </w:r>
      <w:r>
        <w:rPr>
          <w:rFonts w:ascii="Times New Roman" w:cs="Times New Roman" w:eastAsia="Times New Roman" w:hAnsi="Times New Roman"/>
          <w:sz w:val="18"/>
          <w:szCs w:val="18"/>
          <w:b w:val="1"/>
          <w:bCs w:val="1"/>
          <w:color w:val="auto"/>
        </w:rPr>
        <w:t>, E</w:t>
      </w:r>
      <w:r>
        <w:rPr>
          <w:rFonts w:ascii="Times New Roman" w:cs="Times New Roman" w:eastAsia="Times New Roman" w:hAnsi="Times New Roman"/>
          <w:sz w:val="14"/>
          <w:szCs w:val="14"/>
          <w:b w:val="1"/>
          <w:bCs w:val="1"/>
          <w:color w:val="auto"/>
        </w:rPr>
        <w:t>TC</w:t>
      </w:r>
      <w:r>
        <w:rPr>
          <w:rFonts w:ascii="Times New Roman" w:cs="Times New Roman" w:eastAsia="Times New Roman" w:hAnsi="Times New Roman"/>
          <w:sz w:val="18"/>
          <w:szCs w:val="18"/>
          <w:b w:val="1"/>
          <w:bCs w:val="1"/>
          <w:color w:val="auto"/>
        </w:rPr>
        <w:t>.</w:t>
      </w:r>
    </w:p>
    <w:p>
      <w:pPr>
        <w:spacing w:after="0" w:line="119" w:lineRule="exact"/>
        <w:rPr>
          <w:sz w:val="20"/>
          <w:szCs w:val="20"/>
          <w:color w:val="auto"/>
        </w:rPr>
      </w:pPr>
    </w:p>
    <w:p>
      <w:pPr>
        <w:ind w:left="4" w:right="20" w:hanging="4"/>
        <w:spacing w:after="0" w:line="261" w:lineRule="auto"/>
        <w:tabs>
          <w:tab w:leader="none" w:pos="299"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 No Subsidiary Guarantor will consolidate with or merge with or into, or (directly, or indirectly through one or more of its Subsidiaries)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sell, lease or otherwise transfer, in one transaction or a series of transactions, all or substantially all of the assets of such Subsidiary Guarantor and its Subsidiaries, taken as a whole, to another Person (other than a Guarantor or the Company) (a “</w:t>
      </w:r>
      <w:r>
        <w:rPr>
          <w:rFonts w:ascii="Times New Roman" w:cs="Times New Roman" w:eastAsia="Times New Roman" w:hAnsi="Times New Roman"/>
          <w:sz w:val="18"/>
          <w:szCs w:val="18"/>
          <w:b w:val="1"/>
          <w:bCs w:val="1"/>
          <w:color w:val="auto"/>
        </w:rPr>
        <w:t>Subsidiary Guarantor Business Combination Event</w:t>
      </w:r>
      <w:r>
        <w:rPr>
          <w:rFonts w:ascii="Times New Roman" w:cs="Times New Roman" w:eastAsia="Times New Roman" w:hAnsi="Times New Roman"/>
          <w:sz w:val="18"/>
          <w:szCs w:val="18"/>
          <w:color w:val="auto"/>
        </w:rPr>
        <w:t>”), unless:</w:t>
      </w:r>
    </w:p>
    <w:p>
      <w:pPr>
        <w:spacing w:after="0" w:line="182" w:lineRule="exact"/>
        <w:rPr>
          <w:sz w:val="20"/>
          <w:szCs w:val="20"/>
          <w:color w:val="auto"/>
        </w:rPr>
      </w:pPr>
    </w:p>
    <w:p>
      <w:pPr>
        <w:ind w:left="4" w:right="40" w:hanging="4"/>
        <w:spacing w:after="0" w:line="256" w:lineRule="auto"/>
        <w:tabs>
          <w:tab w:leader="none" w:pos="219"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resulting, surviving or transferee Person either (x) is such Subsidiary Guarantor or (y) if not such Subsidiary Guarantor, is a corporation, limited liability company, limited partnership or other similar entity (such corporation, limited liability company, limited partnership or other similar entity, the “</w:t>
      </w:r>
      <w:r>
        <w:rPr>
          <w:rFonts w:ascii="Times New Roman" w:cs="Times New Roman" w:eastAsia="Times New Roman" w:hAnsi="Times New Roman"/>
          <w:sz w:val="18"/>
          <w:szCs w:val="18"/>
          <w:b w:val="1"/>
          <w:bCs w:val="1"/>
          <w:color w:val="auto"/>
        </w:rPr>
        <w:t>Subsidiary Guarantor Successor Entity</w:t>
      </w:r>
      <w:r>
        <w:rPr>
          <w:rFonts w:ascii="Times New Roman" w:cs="Times New Roman" w:eastAsia="Times New Roman" w:hAnsi="Times New Roman"/>
          <w:sz w:val="18"/>
          <w:szCs w:val="18"/>
          <w:color w:val="auto"/>
        </w:rPr>
        <w:t xml:space="preserve">”) duly organized and existing under the laws of the United States of America, any State thereof or the District of Columbia that expressly assumes (by executing and delivering to the Trustee, at or before the effective time of such Subsidiary Guarantor Business Combination Event, a supplemental indenture pursuant to </w:t>
      </w:r>
      <w:r>
        <w:rPr>
          <w:rFonts w:ascii="Times New Roman" w:cs="Times New Roman" w:eastAsia="Times New Roman" w:hAnsi="Times New Roman"/>
          <w:sz w:val="18"/>
          <w:szCs w:val="18"/>
          <w:b w:val="1"/>
          <w:bCs w:val="1"/>
          <w:color w:val="auto"/>
        </w:rPr>
        <w:t>Section 8.01(E</w:t>
      </w:r>
      <w:r>
        <w:rPr>
          <w:rFonts w:ascii="Times New Roman" w:cs="Times New Roman" w:eastAsia="Times New Roman" w:hAnsi="Times New Roman"/>
          <w:sz w:val="18"/>
          <w:szCs w:val="18"/>
          <w:color w:val="auto"/>
        </w:rPr>
        <w:t>)) all of such Subsidiary Guarantor’s obligations under this Indenture and the Notes; and</w:t>
      </w:r>
    </w:p>
    <w:p>
      <w:pPr>
        <w:spacing w:after="0" w:line="187" w:lineRule="exact"/>
        <w:rPr>
          <w:rFonts w:ascii="Times New Roman" w:cs="Times New Roman" w:eastAsia="Times New Roman" w:hAnsi="Times New Roman"/>
          <w:sz w:val="18"/>
          <w:szCs w:val="18"/>
          <w:color w:val="auto"/>
        </w:rPr>
      </w:pPr>
    </w:p>
    <w:p>
      <w:pPr>
        <w:ind w:left="4" w:hanging="4"/>
        <w:spacing w:after="0" w:line="282" w:lineRule="auto"/>
        <w:tabs>
          <w:tab w:leader="none" w:pos="269"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Subsidiary Guarantor Business Combination Event, no Default or Event of Default will have occurred and be continuing.</w:t>
      </w:r>
    </w:p>
    <w:p>
      <w:pPr>
        <w:spacing w:after="0" w:line="94"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76 -</w:t>
      </w:r>
    </w:p>
    <w:p>
      <w:pPr>
        <w:sectPr>
          <w:pgSz w:w="11900" w:h="16838" w:orient="portrait"/>
          <w:cols w:equalWidth="0" w:num="1">
            <w:col w:w="10984"/>
          </w:cols>
          <w:pgMar w:left="436" w:top="270" w:right="479" w:bottom="1440" w:gutter="0" w:footer="0" w:header="0"/>
        </w:sectPr>
      </w:pPr>
    </w:p>
    <w:bookmarkStart w:id="89" w:name="page90"/>
    <w:bookmarkEnd w:id="89"/>
    <w:p>
      <w:pPr>
        <w:ind w:left="4" w:right="340" w:hanging="4"/>
        <w:spacing w:after="0" w:line="261" w:lineRule="auto"/>
        <w:tabs>
          <w:tab w:leader="none" w:pos="289"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Delivery of Officer’s Certificate and Opinion of Counsel to the Trustee</w:t>
      </w:r>
      <w:r>
        <w:rPr>
          <w:rFonts w:ascii="Times New Roman" w:cs="Times New Roman" w:eastAsia="Times New Roman" w:hAnsi="Times New Roman"/>
          <w:sz w:val="18"/>
          <w:szCs w:val="18"/>
          <w:color w:val="auto"/>
        </w:rPr>
        <w:t>. At or before the effective time of any Subsidiary Guarantor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Combination Event, the Company will deliver to the Trustee an Officer’s Certificate and Opinion of Counsel, each stating that (i) such Subsidiary Guarantor Business Combination Event (and, if applicable, the related supplemental indenture) comply with </w:t>
      </w:r>
      <w:r>
        <w:rPr>
          <w:rFonts w:ascii="Times New Roman" w:cs="Times New Roman" w:eastAsia="Times New Roman" w:hAnsi="Times New Roman"/>
          <w:sz w:val="18"/>
          <w:szCs w:val="18"/>
          <w:b w:val="1"/>
          <w:bCs w:val="1"/>
          <w:color w:val="auto"/>
        </w:rPr>
        <w:t>Section 9.06(A)</w:t>
      </w:r>
      <w:r>
        <w:rPr>
          <w:rFonts w:ascii="Times New Roman" w:cs="Times New Roman" w:eastAsia="Times New Roman" w:hAnsi="Times New Roman"/>
          <w:sz w:val="18"/>
          <w:szCs w:val="18"/>
          <w:color w:val="auto"/>
        </w:rPr>
        <w:t>; and (ii) all conditions precedent to such Subsidiary Guarantor Business Combination Event provided in this Indenture have been satisfied.</w:t>
      </w:r>
    </w:p>
    <w:p>
      <w:pPr>
        <w:spacing w:after="0" w:line="179" w:lineRule="exact"/>
        <w:rPr>
          <w:rFonts w:ascii="Times New Roman" w:cs="Times New Roman" w:eastAsia="Times New Roman" w:hAnsi="Times New Roman"/>
          <w:sz w:val="18"/>
          <w:szCs w:val="18"/>
          <w:color w:val="auto"/>
        </w:rPr>
      </w:pPr>
    </w:p>
    <w:p>
      <w:pPr>
        <w:ind w:left="4" w:hanging="4"/>
        <w:spacing w:after="0" w:line="258" w:lineRule="auto"/>
        <w:tabs>
          <w:tab w:leader="none" w:pos="289"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Subsidiary Guarantor Successor Entity Substituted. </w:t>
      </w:r>
      <w:r>
        <w:rPr>
          <w:rFonts w:ascii="Times New Roman" w:cs="Times New Roman" w:eastAsia="Times New Roman" w:hAnsi="Times New Roman"/>
          <w:sz w:val="18"/>
          <w:szCs w:val="18"/>
          <w:color w:val="auto"/>
        </w:rPr>
        <w:t>At the effective time of any Subsidiary Guarantor Business Combination Event that complies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with </w:t>
      </w:r>
      <w:r>
        <w:rPr>
          <w:rFonts w:ascii="Times New Roman" w:cs="Times New Roman" w:eastAsia="Times New Roman" w:hAnsi="Times New Roman"/>
          <w:sz w:val="18"/>
          <w:szCs w:val="18"/>
          <w:b w:val="1"/>
          <w:bCs w:val="1"/>
          <w:color w:val="auto"/>
        </w:rPr>
        <w:t>Section 9.06(A)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Section 9.06(B)</w:t>
      </w:r>
      <w:r>
        <w:rPr>
          <w:rFonts w:ascii="Times New Roman" w:cs="Times New Roman" w:eastAsia="Times New Roman" w:hAnsi="Times New Roman"/>
          <w:sz w:val="18"/>
          <w:szCs w:val="18"/>
          <w:color w:val="auto"/>
        </w:rPr>
        <w:t>, the Subsidiary Guarantor Successor Entity (if not the relevant Subsidiary Guarantor) will succeed to, and may exercise every right and power of, such Subsidiary Guarantor under this Indenture and the Notes with the same effect as if such Subsidiary Guarantor Successor Entity had been named as a Subsidiary Guarantor in this Indenture, the relevant Guarantee and the Notes, and, except in the case of a lease, the predecessor Subsidiary Guarantor will be discharged from its obligations under this Indenture, the Notes and the relevant Guarantee.</w:t>
      </w:r>
    </w:p>
    <w:p>
      <w:pPr>
        <w:spacing w:after="0" w:line="183" w:lineRule="exact"/>
        <w:rPr>
          <w:rFonts w:ascii="Times New Roman" w:cs="Times New Roman" w:eastAsia="Times New Roman" w:hAnsi="Times New Roman"/>
          <w:sz w:val="18"/>
          <w:szCs w:val="18"/>
          <w:color w:val="auto"/>
        </w:rPr>
      </w:pPr>
    </w:p>
    <w:p>
      <w:pPr>
        <w:ind w:left="4" w:right="100" w:hanging="4"/>
        <w:spacing w:after="0" w:line="290" w:lineRule="auto"/>
        <w:tabs>
          <w:tab w:leader="none" w:pos="299" w:val="left"/>
        </w:tabs>
        <w:numPr>
          <w:ilvl w:val="0"/>
          <w:numId w:val="1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Exclusion for Asset Transfers to the Company, Holdings or Their Respective Wholly Owned Subsidiaries</w:t>
      </w:r>
      <w:r>
        <w:rPr>
          <w:rFonts w:ascii="Times New Roman" w:cs="Times New Roman" w:eastAsia="Times New Roman" w:hAnsi="Times New Roman"/>
          <w:sz w:val="17"/>
          <w:szCs w:val="17"/>
          <w:color w:val="auto"/>
        </w:rPr>
        <w:t>. Notwithstanding anything to the contrary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in this </w:t>
      </w:r>
      <w:r>
        <w:rPr>
          <w:rFonts w:ascii="Times New Roman" w:cs="Times New Roman" w:eastAsia="Times New Roman" w:hAnsi="Times New Roman"/>
          <w:sz w:val="17"/>
          <w:szCs w:val="17"/>
          <w:b w:val="1"/>
          <w:bCs w:val="1"/>
          <w:color w:val="auto"/>
        </w:rPr>
        <w:t>Section 9.06</w:t>
      </w:r>
      <w:r>
        <w:rPr>
          <w:rFonts w:ascii="Times New Roman" w:cs="Times New Roman" w:eastAsia="Times New Roman" w:hAnsi="Times New Roman"/>
          <w:sz w:val="17"/>
          <w:szCs w:val="17"/>
          <w:color w:val="auto"/>
        </w:rPr>
        <w:t xml:space="preserve">, this </w:t>
      </w:r>
      <w:r>
        <w:rPr>
          <w:rFonts w:ascii="Times New Roman" w:cs="Times New Roman" w:eastAsia="Times New Roman" w:hAnsi="Times New Roman"/>
          <w:sz w:val="17"/>
          <w:szCs w:val="17"/>
          <w:b w:val="1"/>
          <w:bCs w:val="1"/>
          <w:color w:val="auto"/>
        </w:rPr>
        <w:t>Section 9.06</w:t>
      </w:r>
      <w:r>
        <w:rPr>
          <w:rFonts w:ascii="Times New Roman" w:cs="Times New Roman" w:eastAsia="Times New Roman" w:hAnsi="Times New Roman"/>
          <w:sz w:val="17"/>
          <w:szCs w:val="17"/>
          <w:color w:val="auto"/>
        </w:rPr>
        <w:t xml:space="preserve"> will not apply to any transfer of assets (not effected by merger or consolidation) between or among (x) such Subsidiary Guarantor; and (y) the Company, Holdings or any one or more of the Company’s or Holdings’ respective Wholly Owned Subsidiaries.</w:t>
      </w:r>
    </w:p>
    <w:p>
      <w:pPr>
        <w:spacing w:after="0" w:line="26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9.07. A</w:t>
      </w:r>
      <w:r>
        <w:rPr>
          <w:rFonts w:ascii="Times New Roman" w:cs="Times New Roman" w:eastAsia="Times New Roman" w:hAnsi="Times New Roman"/>
          <w:sz w:val="14"/>
          <w:szCs w:val="14"/>
          <w:b w:val="1"/>
          <w:bCs w:val="1"/>
          <w:color w:val="auto"/>
        </w:rPr>
        <w:t>PPLICATION OF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ERTAIN</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ROVISIONS TO THE</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4"/>
          <w:szCs w:val="14"/>
          <w:b w:val="1"/>
          <w:bCs w:val="1"/>
          <w:color w:val="auto"/>
        </w:rPr>
        <w:t>UARANTORS</w:t>
      </w:r>
      <w:r>
        <w:rPr>
          <w:rFonts w:ascii="Times New Roman" w:cs="Times New Roman" w:eastAsia="Times New Roman" w:hAnsi="Times New Roman"/>
          <w:sz w:val="18"/>
          <w:szCs w:val="18"/>
          <w:b w:val="1"/>
          <w:bCs w:val="1"/>
          <w:color w:val="auto"/>
        </w:rPr>
        <w:t>.</w:t>
      </w:r>
    </w:p>
    <w:p>
      <w:pPr>
        <w:spacing w:after="0" w:line="119" w:lineRule="exact"/>
        <w:rPr>
          <w:sz w:val="20"/>
          <w:szCs w:val="20"/>
          <w:color w:val="auto"/>
        </w:rPr>
      </w:pPr>
    </w:p>
    <w:p>
      <w:pPr>
        <w:ind w:left="4" w:right="100" w:hanging="4"/>
        <w:spacing w:after="0" w:line="261" w:lineRule="auto"/>
        <w:tabs>
          <w:tab w:leader="none" w:pos="299"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Officer’s Certificates and Opinions of Counsel</w:t>
      </w:r>
      <w:r>
        <w:rPr>
          <w:rFonts w:ascii="Times New Roman" w:cs="Times New Roman" w:eastAsia="Times New Roman" w:hAnsi="Times New Roman"/>
          <w:sz w:val="18"/>
          <w:szCs w:val="18"/>
          <w:color w:val="auto"/>
        </w:rPr>
        <w:t>. Upon any request or application by a Guarantor to the Trustee to take any action under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Indenture, the Trustee will be entitled to receive an Officer’s Certificate and an Opinion of Counsel pursuant to </w:t>
      </w:r>
      <w:r>
        <w:rPr>
          <w:rFonts w:ascii="Times New Roman" w:cs="Times New Roman" w:eastAsia="Times New Roman" w:hAnsi="Times New Roman"/>
          <w:sz w:val="18"/>
          <w:szCs w:val="18"/>
          <w:b w:val="1"/>
          <w:bCs w:val="1"/>
          <w:color w:val="auto"/>
        </w:rPr>
        <w:t>Section 12.02</w:t>
      </w:r>
      <w:r>
        <w:rPr>
          <w:rFonts w:ascii="Times New Roman" w:cs="Times New Roman" w:eastAsia="Times New Roman" w:hAnsi="Times New Roman"/>
          <w:sz w:val="18"/>
          <w:szCs w:val="18"/>
          <w:color w:val="auto"/>
        </w:rPr>
        <w:t xml:space="preserve"> with the same effect as if each reference to the Company in </w:t>
      </w:r>
      <w:r>
        <w:rPr>
          <w:rFonts w:ascii="Times New Roman" w:cs="Times New Roman" w:eastAsia="Times New Roman" w:hAnsi="Times New Roman"/>
          <w:sz w:val="18"/>
          <w:szCs w:val="18"/>
          <w:b w:val="1"/>
          <w:bCs w:val="1"/>
          <w:color w:val="auto"/>
        </w:rPr>
        <w:t>Section 12.02</w:t>
      </w:r>
      <w:r>
        <w:rPr>
          <w:rFonts w:ascii="Times New Roman" w:cs="Times New Roman" w:eastAsia="Times New Roman" w:hAnsi="Times New Roman"/>
          <w:sz w:val="18"/>
          <w:szCs w:val="18"/>
          <w:color w:val="auto"/>
        </w:rPr>
        <w:t xml:space="preserve"> or in the definitions of “Officer,” “Officer’s Certificate” or “Opinion of Counsel” were instead a reference to such Guarantor.</w:t>
      </w:r>
    </w:p>
    <w:p>
      <w:pPr>
        <w:spacing w:after="0" w:line="179" w:lineRule="exact"/>
        <w:rPr>
          <w:rFonts w:ascii="Times New Roman" w:cs="Times New Roman" w:eastAsia="Times New Roman" w:hAnsi="Times New Roman"/>
          <w:sz w:val="18"/>
          <w:szCs w:val="18"/>
          <w:color w:val="auto"/>
        </w:rPr>
      </w:pPr>
    </w:p>
    <w:p>
      <w:pPr>
        <w:ind w:left="4" w:right="380" w:hanging="4"/>
        <w:spacing w:after="0" w:line="284" w:lineRule="auto"/>
        <w:tabs>
          <w:tab w:leader="none" w:pos="289"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Company Order</w:t>
      </w:r>
      <w:r>
        <w:rPr>
          <w:rFonts w:ascii="Times New Roman" w:cs="Times New Roman" w:eastAsia="Times New Roman" w:hAnsi="Times New Roman"/>
          <w:sz w:val="18"/>
          <w:szCs w:val="18"/>
          <w:color w:val="auto"/>
        </w:rPr>
        <w:t>. A Company Order may be given by a Guarantor with the same effect as if each reference to the Company in the definitions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Order” or “Officer” were instead a reference to such Guarantor.</w:t>
      </w:r>
    </w:p>
    <w:p>
      <w:pPr>
        <w:spacing w:after="0" w:line="158" w:lineRule="exact"/>
        <w:rPr>
          <w:rFonts w:ascii="Times New Roman" w:cs="Times New Roman" w:eastAsia="Times New Roman" w:hAnsi="Times New Roman"/>
          <w:sz w:val="18"/>
          <w:szCs w:val="18"/>
          <w:color w:val="auto"/>
        </w:rPr>
      </w:pPr>
    </w:p>
    <w:p>
      <w:pPr>
        <w:ind w:left="4" w:right="140" w:hanging="4"/>
        <w:spacing w:after="0" w:line="284" w:lineRule="auto"/>
        <w:tabs>
          <w:tab w:leader="none" w:pos="289"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Notices and Demands</w:t>
      </w:r>
      <w:r>
        <w:rPr>
          <w:rFonts w:ascii="Times New Roman" w:cs="Times New Roman" w:eastAsia="Times New Roman" w:hAnsi="Times New Roman"/>
          <w:sz w:val="18"/>
          <w:szCs w:val="18"/>
          <w:color w:val="auto"/>
        </w:rPr>
        <w:t>. Any notice or demand that this Indenture requires or permits to be given by the Trustee, or by any Holders, to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instead be given to a Guarantor.</w:t>
      </w:r>
    </w:p>
    <w:p>
      <w:pPr>
        <w:spacing w:after="0" w:line="26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9.08. R</w:t>
      </w:r>
      <w:r>
        <w:rPr>
          <w:rFonts w:ascii="Times New Roman" w:cs="Times New Roman" w:eastAsia="Times New Roman" w:hAnsi="Times New Roman"/>
          <w:sz w:val="14"/>
          <w:szCs w:val="14"/>
          <w:b w:val="1"/>
          <w:bCs w:val="1"/>
          <w:color w:val="auto"/>
        </w:rPr>
        <w:t>ELEASE OF A</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4"/>
          <w:szCs w:val="14"/>
          <w:b w:val="1"/>
          <w:bCs w:val="1"/>
          <w:color w:val="auto"/>
        </w:rPr>
        <w:t>UARANTEE</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 w:right="220" w:firstLine="440"/>
        <w:spacing w:after="0" w:line="282" w:lineRule="auto"/>
        <w:rPr>
          <w:sz w:val="20"/>
          <w:szCs w:val="20"/>
          <w:color w:val="auto"/>
        </w:rPr>
      </w:pPr>
      <w:r>
        <w:rPr>
          <w:rFonts w:ascii="Times New Roman" w:cs="Times New Roman" w:eastAsia="Times New Roman" w:hAnsi="Times New Roman"/>
          <w:sz w:val="18"/>
          <w:szCs w:val="18"/>
          <w:color w:val="auto"/>
        </w:rPr>
        <w:t>A Guarantee of a Guarantor will be automatically released, and such Guarantor’s obligations under its Guarantee will be automatically released and discharged, and, in each case, be of no future force and effect, upon the occurrence of any of the following events:</w:t>
      </w:r>
    </w:p>
    <w:p>
      <w:pPr>
        <w:spacing w:after="0" w:line="158" w:lineRule="exact"/>
        <w:rPr>
          <w:sz w:val="20"/>
          <w:szCs w:val="20"/>
          <w:color w:val="auto"/>
        </w:rPr>
      </w:pPr>
    </w:p>
    <w:p>
      <w:pPr>
        <w:ind w:left="304" w:hanging="304"/>
        <w:spacing w:after="0"/>
        <w:tabs>
          <w:tab w:leader="none" w:pos="304"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obligations under this Indenture are discharged in accordance with </w:t>
      </w:r>
      <w:r>
        <w:rPr>
          <w:rFonts w:ascii="Times New Roman" w:cs="Times New Roman" w:eastAsia="Times New Roman" w:hAnsi="Times New Roman"/>
          <w:sz w:val="18"/>
          <w:szCs w:val="18"/>
          <w:b w:val="1"/>
          <w:bCs w:val="1"/>
          <w:color w:val="auto"/>
        </w:rPr>
        <w:t>Article 10</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77 -</w:t>
      </w:r>
    </w:p>
    <w:p>
      <w:pPr>
        <w:sectPr>
          <w:pgSz w:w="11900" w:h="16838" w:orient="portrait"/>
          <w:cols w:equalWidth="0" w:num="1">
            <w:col w:w="10984"/>
          </w:cols>
          <w:pgMar w:left="436" w:top="268" w:right="479" w:bottom="1440" w:gutter="0" w:footer="0" w:header="0"/>
        </w:sectPr>
      </w:pPr>
    </w:p>
    <w:bookmarkStart w:id="90" w:name="page91"/>
    <w:bookmarkEnd w:id="90"/>
    <w:p>
      <w:pPr>
        <w:ind w:left="284" w:hanging="284"/>
        <w:spacing w:after="0"/>
        <w:tabs>
          <w:tab w:leader="none" w:pos="284"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merger or consolidation of such Guarantor with the Company;</w:t>
      </w:r>
    </w:p>
    <w:p>
      <w:pPr>
        <w:spacing w:after="0" w:line="225" w:lineRule="exact"/>
        <w:rPr>
          <w:rFonts w:ascii="Times New Roman" w:cs="Times New Roman" w:eastAsia="Times New Roman" w:hAnsi="Times New Roman"/>
          <w:sz w:val="18"/>
          <w:szCs w:val="18"/>
          <w:color w:val="auto"/>
        </w:rPr>
      </w:pPr>
    </w:p>
    <w:p>
      <w:pPr>
        <w:ind w:left="4" w:right="160" w:hanging="4"/>
        <w:spacing w:after="0" w:line="282" w:lineRule="auto"/>
        <w:tabs>
          <w:tab w:leader="none" w:pos="289"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with respect to Holdings, the termination and release of all of the applicable and corresponding guarantees under the Existing Notes and any Covered Debt Securities; or</w:t>
      </w:r>
    </w:p>
    <w:p>
      <w:pPr>
        <w:spacing w:after="0" w:line="161" w:lineRule="exact"/>
        <w:rPr>
          <w:rFonts w:ascii="Times New Roman" w:cs="Times New Roman" w:eastAsia="Times New Roman" w:hAnsi="Times New Roman"/>
          <w:sz w:val="18"/>
          <w:szCs w:val="18"/>
          <w:color w:val="auto"/>
        </w:rPr>
      </w:pPr>
    </w:p>
    <w:p>
      <w:pPr>
        <w:ind w:left="4" w:right="180" w:hanging="4"/>
        <w:spacing w:after="0" w:line="282" w:lineRule="auto"/>
        <w:tabs>
          <w:tab w:leader="none" w:pos="299"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remaining obligations to make payments or deliver other Exchange Consideration with respect to all Notes are discharged in full after the same has become due.</w:t>
      </w:r>
    </w:p>
    <w:p>
      <w:pPr>
        <w:spacing w:after="0" w:line="15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For the avoidance of doubt, this </w:t>
      </w:r>
      <w:r>
        <w:rPr>
          <w:rFonts w:ascii="Times New Roman" w:cs="Times New Roman" w:eastAsia="Times New Roman" w:hAnsi="Times New Roman"/>
          <w:sz w:val="18"/>
          <w:szCs w:val="18"/>
          <w:b w:val="1"/>
          <w:bCs w:val="1"/>
          <w:color w:val="auto"/>
        </w:rPr>
        <w:t>Section 9.08</w:t>
      </w:r>
      <w:r>
        <w:rPr>
          <w:rFonts w:ascii="Times New Roman" w:cs="Times New Roman" w:eastAsia="Times New Roman" w:hAnsi="Times New Roman"/>
          <w:sz w:val="18"/>
          <w:szCs w:val="18"/>
          <w:color w:val="auto"/>
        </w:rPr>
        <w:t xml:space="preserve"> will not limit the operation of </w:t>
      </w:r>
      <w:r>
        <w:rPr>
          <w:rFonts w:ascii="Times New Roman" w:cs="Times New Roman" w:eastAsia="Times New Roman" w:hAnsi="Times New Roman"/>
          <w:sz w:val="18"/>
          <w:szCs w:val="18"/>
          <w:b w:val="1"/>
          <w:bCs w:val="1"/>
          <w:color w:val="auto"/>
        </w:rPr>
        <w:t>Section 5.09</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3644"/>
        <w:spacing w:after="0"/>
        <w:rPr>
          <w:sz w:val="20"/>
          <w:szCs w:val="20"/>
          <w:color w:val="auto"/>
        </w:rPr>
      </w:pPr>
      <w:r>
        <w:rPr>
          <w:rFonts w:ascii="Times New Roman" w:cs="Times New Roman" w:eastAsia="Times New Roman" w:hAnsi="Times New Roman"/>
          <w:sz w:val="18"/>
          <w:szCs w:val="18"/>
          <w:b w:val="1"/>
          <w:bCs w:val="1"/>
          <w:color w:val="auto"/>
        </w:rPr>
        <w:t>Article 10. SATISFACTION AND DISCHARGE</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10.01. T</w:t>
      </w:r>
      <w:r>
        <w:rPr>
          <w:rFonts w:ascii="Times New Roman" w:cs="Times New Roman" w:eastAsia="Times New Roman" w:hAnsi="Times New Roman"/>
          <w:sz w:val="14"/>
          <w:szCs w:val="14"/>
          <w:b w:val="1"/>
          <w:bCs w:val="1"/>
          <w:color w:val="auto"/>
        </w:rPr>
        <w:t>ERMINATION OF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OMPANY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4"/>
          <w:szCs w:val="14"/>
          <w:b w:val="1"/>
          <w:bCs w:val="1"/>
          <w:color w:val="auto"/>
        </w:rPr>
        <w:t>S</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BLIGATIONS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This Indenture will be discharged, and will cease to be of further effect as to all Notes issued under this Indenture, when:</w:t>
      </w:r>
    </w:p>
    <w:p>
      <w:pPr>
        <w:spacing w:after="0" w:line="221" w:lineRule="exact"/>
        <w:rPr>
          <w:sz w:val="20"/>
          <w:szCs w:val="20"/>
          <w:color w:val="auto"/>
        </w:rPr>
      </w:pPr>
    </w:p>
    <w:p>
      <w:pPr>
        <w:ind w:left="4" w:hanging="4"/>
        <w:spacing w:after="0" w:line="268" w:lineRule="auto"/>
        <w:tabs>
          <w:tab w:leader="none" w:pos="299"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Notes then outstanding (other than Notes replaced pursuant to </w:t>
      </w:r>
      <w:r>
        <w:rPr>
          <w:rFonts w:ascii="Times New Roman" w:cs="Times New Roman" w:eastAsia="Times New Roman" w:hAnsi="Times New Roman"/>
          <w:sz w:val="18"/>
          <w:szCs w:val="18"/>
          <w:b w:val="1"/>
          <w:bCs w:val="1"/>
          <w:color w:val="auto"/>
        </w:rPr>
        <w:t>Section 2.13</w:t>
      </w:r>
      <w:r>
        <w:rPr>
          <w:rFonts w:ascii="Times New Roman" w:cs="Times New Roman" w:eastAsia="Times New Roman" w:hAnsi="Times New Roman"/>
          <w:sz w:val="18"/>
          <w:szCs w:val="18"/>
          <w:color w:val="auto"/>
        </w:rPr>
        <w:t>) have (i) been delivered to the Trustee for cancellation; or (ii) become due and payable (whether on a Redemption Date, a Fundamental Change Repurchase Date, the Maturity Date, upon Exchange or otherwise) for an amount of cash or Exchange Consideration, as applicable, that has been fixed;</w:t>
      </w:r>
    </w:p>
    <w:p>
      <w:pPr>
        <w:spacing w:after="0" w:line="174" w:lineRule="exact"/>
        <w:rPr>
          <w:rFonts w:ascii="Times New Roman" w:cs="Times New Roman" w:eastAsia="Times New Roman" w:hAnsi="Times New Roman"/>
          <w:sz w:val="18"/>
          <w:szCs w:val="18"/>
          <w:color w:val="auto"/>
        </w:rPr>
      </w:pPr>
    </w:p>
    <w:p>
      <w:pPr>
        <w:jc w:val="both"/>
        <w:ind w:left="4" w:right="100" w:hanging="4"/>
        <w:spacing w:after="0" w:line="261" w:lineRule="auto"/>
        <w:tabs>
          <w:tab w:leader="none" w:pos="289"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has caused there to be irrevocably deposited with the Trustee, or with the Paying Agent (or, with respect to Exchange Consideration, the Exchange Agent), in each case for the benefit of the Holders, or has otherwise caused there to be delivered to the Holders, cash (or, with respect to Notes to be Exchanged, Exchange Consideration) sufficient to satisfy all amounts or other property due on all Notes then outstanding (other than Notes replaced pursuant to </w:t>
      </w:r>
      <w:r>
        <w:rPr>
          <w:rFonts w:ascii="Times New Roman" w:cs="Times New Roman" w:eastAsia="Times New Roman" w:hAnsi="Times New Roman"/>
          <w:sz w:val="18"/>
          <w:szCs w:val="18"/>
          <w:b w:val="1"/>
          <w:bCs w:val="1"/>
          <w:color w:val="auto"/>
        </w:rPr>
        <w:t>Section 2.13</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284" w:hanging="284"/>
        <w:spacing w:after="0"/>
        <w:tabs>
          <w:tab w:leader="none" w:pos="284"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paid all other amounts payable by it under this Indenture; and</w:t>
      </w:r>
    </w:p>
    <w:p>
      <w:pPr>
        <w:spacing w:after="0" w:line="225" w:lineRule="exact"/>
        <w:rPr>
          <w:rFonts w:ascii="Times New Roman" w:cs="Times New Roman" w:eastAsia="Times New Roman" w:hAnsi="Times New Roman"/>
          <w:sz w:val="18"/>
          <w:szCs w:val="18"/>
          <w:color w:val="auto"/>
        </w:rPr>
      </w:pPr>
    </w:p>
    <w:p>
      <w:pPr>
        <w:ind w:left="4" w:right="520" w:hanging="4"/>
        <w:spacing w:after="0" w:line="282" w:lineRule="auto"/>
        <w:tabs>
          <w:tab w:leader="none" w:pos="299"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delivered to the Trustee an Officer’s Certificate and an Opinion of Counsel, each stating that the conditions precedent to the discharge of this Indenture have been satisfied;</w:t>
      </w:r>
    </w:p>
    <w:p>
      <w:pPr>
        <w:spacing w:after="0" w:line="158" w:lineRule="exact"/>
        <w:rPr>
          <w:sz w:val="20"/>
          <w:szCs w:val="20"/>
          <w:color w:val="auto"/>
        </w:rPr>
      </w:pPr>
    </w:p>
    <w:p>
      <w:pPr>
        <w:ind w:left="4" w:right="340"/>
        <w:spacing w:after="0" w:line="268"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Article 11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12.01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survive such discharge and, until no Notes remain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2.15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obligations of the Trustee, the Paying Agent and the Exchange Agent with respect to money or other property deposited with them will survive such discharge.</w:t>
      </w:r>
    </w:p>
    <w:p>
      <w:pPr>
        <w:spacing w:after="0" w:line="17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At the Company’s request, the Trustee will acknowledge the satisfaction and discharge of this Indenture.</w:t>
      </w:r>
    </w:p>
    <w:p>
      <w:pPr>
        <w:spacing w:after="0" w:line="158" w:lineRule="exact"/>
        <w:rPr>
          <w:sz w:val="20"/>
          <w:szCs w:val="20"/>
          <w:color w:val="auto"/>
        </w:rPr>
      </w:pPr>
    </w:p>
    <w:p>
      <w:pPr>
        <w:ind w:left="5304"/>
        <w:spacing w:after="0"/>
        <w:rPr>
          <w:sz w:val="20"/>
          <w:szCs w:val="20"/>
          <w:color w:val="auto"/>
        </w:rPr>
      </w:pPr>
      <w:r>
        <w:rPr>
          <w:rFonts w:ascii="Times New Roman" w:cs="Times New Roman" w:eastAsia="Times New Roman" w:hAnsi="Times New Roman"/>
          <w:sz w:val="18"/>
          <w:szCs w:val="18"/>
          <w:color w:val="auto"/>
        </w:rPr>
        <w:t>- 78 -</w:t>
      </w:r>
    </w:p>
    <w:p>
      <w:pPr>
        <w:sectPr>
          <w:pgSz w:w="11900" w:h="16838" w:orient="portrait"/>
          <w:cols w:equalWidth="0" w:num="1">
            <w:col w:w="11004"/>
          </w:cols>
          <w:pgMar w:left="436" w:top="270" w:right="459" w:bottom="1440" w:gutter="0" w:footer="0" w:header="0"/>
        </w:sectPr>
      </w:pPr>
    </w:p>
    <w:bookmarkStart w:id="91" w:name="page92"/>
    <w:bookmarkEnd w:id="91"/>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10.02. R</w:t>
      </w:r>
      <w:r>
        <w:rPr>
          <w:rFonts w:ascii="Times New Roman" w:cs="Times New Roman" w:eastAsia="Times New Roman" w:hAnsi="Times New Roman"/>
          <w:sz w:val="14"/>
          <w:szCs w:val="14"/>
          <w:b w:val="1"/>
          <w:bCs w:val="1"/>
          <w:color w:val="auto"/>
        </w:rPr>
        <w:t>EPAYMENT TO</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OMPANY</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Subject to applicable unclaimed property law, the Trustee, the Paying Agent and the Exchange Agent will promptly notify the Company if there exists (and, at the Company’s request, promptly deliver to the Company) any cash, Exchange Consideration or other property held by any of them for payment or delivery on the Notes that remain unclaimed two (2) years after the date on which such payment or delivery was due. After such delivery to the Company, the Trustee, the Paying Agent and the Exchange Agent will have no further liability to any Holder with respect to such cash, Exchange Consideration or other property, and Holders entitled to the payment or delivery of such cash, Exchange Consideration or other property must look to the Company for payment as a general creditor of the Company.</w:t>
      </w:r>
    </w:p>
    <w:p>
      <w:pPr>
        <w:spacing w:after="0" w:line="2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10.03. R</w:t>
      </w:r>
      <w:r>
        <w:rPr>
          <w:rFonts w:ascii="Times New Roman" w:cs="Times New Roman" w:eastAsia="Times New Roman" w:hAnsi="Times New Roman"/>
          <w:sz w:val="14"/>
          <w:szCs w:val="14"/>
          <w:b w:val="1"/>
          <w:bCs w:val="1"/>
          <w:color w:val="auto"/>
        </w:rPr>
        <w:t>EINSTATEMENT</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ind w:left="4" w:right="20" w:firstLine="440"/>
        <w:spacing w:after="0" w:line="259" w:lineRule="auto"/>
        <w:rPr>
          <w:sz w:val="20"/>
          <w:szCs w:val="20"/>
          <w:color w:val="auto"/>
        </w:rPr>
      </w:pPr>
      <w:r>
        <w:rPr>
          <w:rFonts w:ascii="Times New Roman" w:cs="Times New Roman" w:eastAsia="Times New Roman" w:hAnsi="Times New Roman"/>
          <w:sz w:val="18"/>
          <w:szCs w:val="18"/>
          <w:color w:val="auto"/>
        </w:rPr>
        <w:t xml:space="preserve">If the Trustee, the Paying Agent or the Exchange Agent is unable to apply any cash or other property deposited with it pursuant to </w:t>
      </w:r>
      <w:r>
        <w:rPr>
          <w:rFonts w:ascii="Times New Roman" w:cs="Times New Roman" w:eastAsia="Times New Roman" w:hAnsi="Times New Roman"/>
          <w:sz w:val="18"/>
          <w:szCs w:val="18"/>
          <w:b w:val="1"/>
          <w:bCs w:val="1"/>
          <w:color w:val="auto"/>
        </w:rPr>
        <w:t>Section 10.01</w:t>
      </w:r>
      <w:r>
        <w:rPr>
          <w:rFonts w:ascii="Times New Roman" w:cs="Times New Roman" w:eastAsia="Times New Roman" w:hAnsi="Times New Roman"/>
          <w:sz w:val="18"/>
          <w:szCs w:val="18"/>
          <w:color w:val="auto"/>
        </w:rPr>
        <w:t xml:space="preserve"> because of any legal proceeding or any order or judgment of any court or other governmental authority that enjoins, restrains or otherwise prohibits such application, then the discharge of this Indenture pursuant to </w:t>
      </w:r>
      <w:r>
        <w:rPr>
          <w:rFonts w:ascii="Times New Roman" w:cs="Times New Roman" w:eastAsia="Times New Roman" w:hAnsi="Times New Roman"/>
          <w:sz w:val="18"/>
          <w:szCs w:val="18"/>
          <w:b w:val="1"/>
          <w:bCs w:val="1"/>
          <w:color w:val="auto"/>
        </w:rPr>
        <w:t>Section 10.01</w:t>
      </w:r>
      <w:r>
        <w:rPr>
          <w:rFonts w:ascii="Times New Roman" w:cs="Times New Roman" w:eastAsia="Times New Roman" w:hAnsi="Times New Roman"/>
          <w:sz w:val="18"/>
          <w:szCs w:val="18"/>
          <w:color w:val="auto"/>
        </w:rPr>
        <w:t xml:space="preserve"> will be rescinded;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the Company thereafter pays or delivers any cash or other property due on the Notes to the Holders thereof, then the Company will be subrogated to the rights of such Holders to receive such cash or other property from the cash or other property, if any, held by the Trustee, the Paying Agent or the Exchange Agent, as applicable.</w:t>
      </w:r>
    </w:p>
    <w:p>
      <w:pPr>
        <w:spacing w:after="0" w:line="39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11. TRUSTEE</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11.01. D</w:t>
      </w:r>
      <w:r>
        <w:rPr>
          <w:rFonts w:ascii="Times New Roman" w:cs="Times New Roman" w:eastAsia="Times New Roman" w:hAnsi="Times New Roman"/>
          <w:sz w:val="14"/>
          <w:szCs w:val="14"/>
          <w:b w:val="1"/>
          <w:bCs w:val="1"/>
          <w:color w:val="auto"/>
        </w:rPr>
        <w:t>UTIES OF THE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RUSTEE</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both"/>
        <w:ind w:left="4" w:right="120" w:hanging="4"/>
        <w:spacing w:after="0" w:line="261" w:lineRule="auto"/>
        <w:tabs>
          <w:tab w:leader="none" w:pos="299"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 Event of Default has occurred and is continuing, and a Responsible Officer of the Trustee has written notice or actual knowledge of the same, then, without limiting the generality of </w:t>
      </w:r>
      <w:r>
        <w:rPr>
          <w:rFonts w:ascii="Times New Roman" w:cs="Times New Roman" w:eastAsia="Times New Roman" w:hAnsi="Times New Roman"/>
          <w:sz w:val="18"/>
          <w:szCs w:val="18"/>
          <w:b w:val="1"/>
          <w:bCs w:val="1"/>
          <w:color w:val="auto"/>
        </w:rPr>
        <w:t>Section 11.02(F</w:t>
      </w:r>
      <w:r>
        <w:rPr>
          <w:rFonts w:ascii="Times New Roman" w:cs="Times New Roman" w:eastAsia="Times New Roman" w:hAnsi="Times New Roman"/>
          <w:sz w:val="18"/>
          <w:szCs w:val="18"/>
          <w:color w:val="auto"/>
        </w:rPr>
        <w:t>), the Trustee will exercise such of the rights and powers vested in it by this Indenture, and use the same degree of care and skill in its exercise, as a prudent person would exercise or use under the circumstances in the conduct of such person’s own affairs.</w:t>
      </w:r>
    </w:p>
    <w:p>
      <w:pPr>
        <w:spacing w:after="0" w:line="179" w:lineRule="exact"/>
        <w:rPr>
          <w:rFonts w:ascii="Times New Roman" w:cs="Times New Roman" w:eastAsia="Times New Roman" w:hAnsi="Times New Roman"/>
          <w:sz w:val="18"/>
          <w:szCs w:val="18"/>
          <w:color w:val="auto"/>
        </w:rPr>
      </w:pPr>
    </w:p>
    <w:p>
      <w:pPr>
        <w:ind w:left="284" w:hanging="284"/>
        <w:spacing w:after="0"/>
        <w:tabs>
          <w:tab w:leader="none" w:pos="284"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during the continuance of an Event of Default:</w:t>
      </w:r>
    </w:p>
    <w:p>
      <w:pPr>
        <w:spacing w:after="0" w:line="225" w:lineRule="exact"/>
        <w:rPr>
          <w:sz w:val="20"/>
          <w:szCs w:val="20"/>
          <w:color w:val="auto"/>
        </w:rPr>
      </w:pPr>
    </w:p>
    <w:p>
      <w:pPr>
        <w:ind w:left="4" w:right="60" w:hanging="4"/>
        <w:spacing w:after="0" w:line="312" w:lineRule="auto"/>
        <w:tabs>
          <w:tab w:leader="none" w:pos="219" w:val="left"/>
        </w:tabs>
        <w:numPr>
          <w:ilvl w:val="0"/>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duties of the Trustee will be determined solely by the express provisions of this Indenture, and the Trustee need perform only those duties that are specifically set forth in this Indenture and no others, and no implied covenants or obligations will be read into this Indenture against the Trustee; and</w:t>
      </w:r>
    </w:p>
    <w:p>
      <w:pPr>
        <w:spacing w:after="0" w:line="139" w:lineRule="exact"/>
        <w:rPr>
          <w:rFonts w:ascii="Times New Roman" w:cs="Times New Roman" w:eastAsia="Times New Roman" w:hAnsi="Times New Roman"/>
          <w:sz w:val="17"/>
          <w:szCs w:val="17"/>
          <w:color w:val="auto"/>
        </w:rPr>
      </w:pPr>
    </w:p>
    <w:p>
      <w:pPr>
        <w:jc w:val="both"/>
        <w:ind w:left="4" w:right="20" w:hanging="4"/>
        <w:spacing w:after="0" w:line="261" w:lineRule="auto"/>
        <w:tabs>
          <w:tab w:leader="none" w:pos="269"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absence of bad faith or willful misconduct on its part, the Trustee may, without investigation, conclusively rely, as to the truth of the statements and the correctness of the opinions expressed therein, upon Officer’s Certificates or Opinions of Counsel that are provided to the Trustee and conform to the requirements of this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Trustee will examine the certificates and opinions to determine whether or not they conform to the requirements of this Indenture.</w:t>
      </w:r>
    </w:p>
    <w:p>
      <w:pPr>
        <w:spacing w:after="0" w:line="180" w:lineRule="exact"/>
        <w:rPr>
          <w:sz w:val="20"/>
          <w:szCs w:val="20"/>
          <w:color w:val="auto"/>
        </w:rPr>
      </w:pPr>
    </w:p>
    <w:p>
      <w:pPr>
        <w:ind w:left="284" w:hanging="284"/>
        <w:spacing w:after="0"/>
        <w:tabs>
          <w:tab w:leader="none" w:pos="284"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not be relieved from liabilities for its negligence or willful misconduct, except that:</w:t>
      </w:r>
    </w:p>
    <w:p>
      <w:pPr>
        <w:spacing w:after="0" w:line="221"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this paragraph will not limit the effect of </w:t>
      </w:r>
      <w:r>
        <w:rPr>
          <w:rFonts w:ascii="Times New Roman" w:cs="Times New Roman" w:eastAsia="Times New Roman" w:hAnsi="Times New Roman"/>
          <w:sz w:val="18"/>
          <w:szCs w:val="18"/>
          <w:b w:val="1"/>
          <w:bCs w:val="1"/>
          <w:color w:val="auto"/>
        </w:rPr>
        <w:t>Section 11.01(B</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 w:hanging="4"/>
        <w:spacing w:after="0" w:line="282" w:lineRule="auto"/>
        <w:tabs>
          <w:tab w:leader="none" w:pos="269"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will not be liable for any error of judgment made in good faith by a Responsible Officer, unless it is proved that the Trustee was negligent in ascertaining the pertinent facts; and</w:t>
      </w:r>
    </w:p>
    <w:p>
      <w:pPr>
        <w:spacing w:after="0" w:line="94"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79 -</w:t>
      </w:r>
    </w:p>
    <w:p>
      <w:pPr>
        <w:sectPr>
          <w:pgSz w:w="11900" w:h="16838" w:orient="portrait"/>
          <w:cols w:equalWidth="0" w:num="1">
            <w:col w:w="11024"/>
          </w:cols>
          <w:pgMar w:left="436" w:top="266" w:right="439" w:bottom="1440" w:gutter="0" w:footer="0" w:header="0"/>
        </w:sectPr>
      </w:pPr>
    </w:p>
    <w:bookmarkStart w:id="92" w:name="page93"/>
    <w:bookmarkEnd w:id="92"/>
    <w:p>
      <w:pPr>
        <w:ind w:left="4" w:right="140" w:hanging="4"/>
        <w:spacing w:after="0" w:line="282" w:lineRule="auto"/>
        <w:tabs>
          <w:tab w:leader="none" w:pos="319"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Trustee will not be liable with respect to any action it takes or omits to take in good faith in accordance with a direction received by it pursuant to </w:t>
      </w:r>
      <w:r>
        <w:rPr>
          <w:rFonts w:ascii="Times New Roman" w:cs="Times New Roman" w:eastAsia="Times New Roman" w:hAnsi="Times New Roman"/>
          <w:sz w:val="18"/>
          <w:szCs w:val="18"/>
          <w:b w:val="1"/>
          <w:bCs w:val="1"/>
          <w:color w:val="auto"/>
        </w:rPr>
        <w:t>Section 7.06</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304" w:hanging="304"/>
        <w:spacing w:after="0"/>
        <w:tabs>
          <w:tab w:leader="none" w:pos="304"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this Indenture will require the Trustee to expend or risk its own funds or incur any liability.</w:t>
      </w:r>
    </w:p>
    <w:p>
      <w:pPr>
        <w:spacing w:after="0" w:line="225" w:lineRule="exact"/>
        <w:rPr>
          <w:rFonts w:ascii="Times New Roman" w:cs="Times New Roman" w:eastAsia="Times New Roman" w:hAnsi="Times New Roman"/>
          <w:sz w:val="18"/>
          <w:szCs w:val="18"/>
          <w:color w:val="auto"/>
        </w:rPr>
      </w:pPr>
    </w:p>
    <w:p>
      <w:pPr>
        <w:ind w:left="4" w:right="60" w:hanging="4"/>
        <w:spacing w:after="0" w:line="282" w:lineRule="auto"/>
        <w:tabs>
          <w:tab w:leader="none" w:pos="279"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will not be liable for interest on any money received by it, except as the Trustee may agree in writing with the Company. Money held in trust by the Trustee need not be segregated from other funds, except to the extent required by law.</w:t>
      </w:r>
    </w:p>
    <w:p>
      <w:pPr>
        <w:spacing w:after="0" w:line="161"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will not be liable in its individual capacity for the obligations evidenced by the Notes.</w:t>
      </w:r>
    </w:p>
    <w:p>
      <w:pPr>
        <w:spacing w:after="0" w:line="225" w:lineRule="exact"/>
        <w:rPr>
          <w:rFonts w:ascii="Times New Roman" w:cs="Times New Roman" w:eastAsia="Times New Roman" w:hAnsi="Times New Roman"/>
          <w:sz w:val="18"/>
          <w:szCs w:val="18"/>
          <w:color w:val="auto"/>
        </w:rPr>
      </w:pPr>
    </w:p>
    <w:p>
      <w:pPr>
        <w:ind w:left="4" w:right="180" w:hanging="4"/>
        <w:spacing w:after="0" w:line="282" w:lineRule="auto"/>
        <w:tabs>
          <w:tab w:leader="none" w:pos="299"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provision of this Indenture that in any way relates to the Trustee (including any provision that affects the liability of, or affords protection to, the Trustee) is subject to this </w:t>
      </w:r>
      <w:r>
        <w:rPr>
          <w:rFonts w:ascii="Times New Roman" w:cs="Times New Roman" w:eastAsia="Times New Roman" w:hAnsi="Times New Roman"/>
          <w:sz w:val="18"/>
          <w:szCs w:val="18"/>
          <w:b w:val="1"/>
          <w:bCs w:val="1"/>
          <w:color w:val="auto"/>
        </w:rPr>
        <w:t>Section 11.01</w:t>
      </w:r>
      <w:r>
        <w:rPr>
          <w:rFonts w:ascii="Times New Roman" w:cs="Times New Roman" w:eastAsia="Times New Roman" w:hAnsi="Times New Roman"/>
          <w:sz w:val="18"/>
          <w:szCs w:val="18"/>
          <w:color w:val="auto"/>
        </w:rPr>
        <w:t>, regardless of whether such provision so expressly provides.</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11.02. R</w:t>
      </w:r>
      <w:r>
        <w:rPr>
          <w:rFonts w:ascii="Times New Roman" w:cs="Times New Roman" w:eastAsia="Times New Roman" w:hAnsi="Times New Roman"/>
          <w:sz w:val="14"/>
          <w:szCs w:val="14"/>
          <w:b w:val="1"/>
          <w:bCs w:val="1"/>
          <w:color w:val="auto"/>
        </w:rPr>
        <w:t>IGHTS OF THE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RUSTEE</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 w:right="340" w:hanging="4"/>
        <w:spacing w:after="0" w:line="282" w:lineRule="auto"/>
        <w:tabs>
          <w:tab w:leader="none" w:pos="299"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conclusively rely on any document that it believes to be genuine and signed or presented by the proper Person, and the Trustee need not investigate any fact or matter stated in such document.</w:t>
      </w:r>
    </w:p>
    <w:p>
      <w:pPr>
        <w:spacing w:after="0" w:line="161" w:lineRule="exact"/>
        <w:rPr>
          <w:rFonts w:ascii="Times New Roman" w:cs="Times New Roman" w:eastAsia="Times New Roman" w:hAnsi="Times New Roman"/>
          <w:sz w:val="18"/>
          <w:szCs w:val="18"/>
          <w:color w:val="auto"/>
        </w:rPr>
      </w:pPr>
    </w:p>
    <w:p>
      <w:pPr>
        <w:ind w:left="4" w:right="40" w:hanging="4"/>
        <w:spacing w:after="0" w:line="261" w:lineRule="auto"/>
        <w:tabs>
          <w:tab w:leader="none" w:pos="289"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Trustee acts or refrains from acting, it may require an Officer’s Certificate, an Opinion of Counsel or both. The Trustee will not be liable for any action it takes or omits to take in good faith in reliance on such Officer’s Certificate or Opinion of Counsel. The Trustee may consult with counsel; and the written advice of such counsel, or any Opinion of Counsel, will constitute full and complete authorization of the Trustee to take or omit to take any action in good faith in reliance thereon without liability.</w:t>
      </w:r>
    </w:p>
    <w:p>
      <w:pPr>
        <w:spacing w:after="0" w:line="179" w:lineRule="exact"/>
        <w:rPr>
          <w:rFonts w:ascii="Times New Roman" w:cs="Times New Roman" w:eastAsia="Times New Roman" w:hAnsi="Times New Roman"/>
          <w:sz w:val="18"/>
          <w:szCs w:val="18"/>
          <w:color w:val="auto"/>
        </w:rPr>
      </w:pPr>
    </w:p>
    <w:p>
      <w:pPr>
        <w:ind w:left="4" w:right="100" w:hanging="4"/>
        <w:spacing w:after="0" w:line="282" w:lineRule="auto"/>
        <w:tabs>
          <w:tab w:leader="none" w:pos="289"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act through its attorneys and agents and will not be responsible for the misconduct or negligence of any such agent appointed with due care.</w:t>
      </w:r>
    </w:p>
    <w:p>
      <w:pPr>
        <w:spacing w:after="0" w:line="161" w:lineRule="exact"/>
        <w:rPr>
          <w:rFonts w:ascii="Times New Roman" w:cs="Times New Roman" w:eastAsia="Times New Roman" w:hAnsi="Times New Roman"/>
          <w:sz w:val="18"/>
          <w:szCs w:val="18"/>
          <w:color w:val="auto"/>
        </w:rPr>
      </w:pPr>
    </w:p>
    <w:p>
      <w:pPr>
        <w:ind w:left="4" w:right="80" w:hanging="4"/>
        <w:spacing w:after="0" w:line="282" w:lineRule="auto"/>
        <w:tabs>
          <w:tab w:leader="none" w:pos="299"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will not be liable for any action it takes or omits to take in good faith and that it believes to be authorized or within the rights or powers vested in it by this Indenture.</w:t>
      </w:r>
    </w:p>
    <w:p>
      <w:pPr>
        <w:spacing w:after="0" w:line="161" w:lineRule="exact"/>
        <w:rPr>
          <w:rFonts w:ascii="Times New Roman" w:cs="Times New Roman" w:eastAsia="Times New Roman" w:hAnsi="Times New Roman"/>
          <w:sz w:val="18"/>
          <w:szCs w:val="18"/>
          <w:color w:val="auto"/>
        </w:rPr>
      </w:pPr>
    </w:p>
    <w:p>
      <w:pPr>
        <w:ind w:left="4" w:right="160" w:hanging="4"/>
        <w:spacing w:after="0" w:line="282" w:lineRule="auto"/>
        <w:tabs>
          <w:tab w:leader="none" w:pos="279"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specifically provided in this Indenture, any demand, request, direction or notice from the Company will be sufficient if signed by an Officer of the Company.</w:t>
      </w:r>
    </w:p>
    <w:p>
      <w:pPr>
        <w:spacing w:after="0" w:line="161" w:lineRule="exact"/>
        <w:rPr>
          <w:rFonts w:ascii="Times New Roman" w:cs="Times New Roman" w:eastAsia="Times New Roman" w:hAnsi="Times New Roman"/>
          <w:sz w:val="18"/>
          <w:szCs w:val="18"/>
          <w:color w:val="auto"/>
        </w:rPr>
      </w:pPr>
    </w:p>
    <w:p>
      <w:pPr>
        <w:ind w:left="4" w:hanging="4"/>
        <w:spacing w:after="0" w:line="266" w:lineRule="auto"/>
        <w:tabs>
          <w:tab w:leader="none" w:pos="269"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need not exercise any rights or powers vested in it by this Indenture at the request or direction of any Holder unless such Holder has offered (and, if requested, provided) the Trustee security or indemnity satisfactory to the Trustee against any loss, liability or expense that it may incur in complying with such request or direction.</w:t>
      </w:r>
    </w:p>
    <w:p>
      <w:pPr>
        <w:spacing w:after="0" w:line="175" w:lineRule="exact"/>
        <w:rPr>
          <w:rFonts w:ascii="Times New Roman" w:cs="Times New Roman" w:eastAsia="Times New Roman" w:hAnsi="Times New Roman"/>
          <w:sz w:val="18"/>
          <w:szCs w:val="18"/>
          <w:color w:val="auto"/>
        </w:rPr>
      </w:pPr>
    </w:p>
    <w:p>
      <w:pPr>
        <w:ind w:left="4" w:right="240" w:hanging="4"/>
        <w:spacing w:after="0" w:line="282" w:lineRule="auto"/>
        <w:tabs>
          <w:tab w:leader="none" w:pos="299"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will not be responsible or liable for any punitive, special, indirect or consequential loss or damage (including lost profits), even if the Trustee has been advised of the likelihood of such loss or damage and regardless of the form of action.</w:t>
      </w:r>
    </w:p>
    <w:p>
      <w:pPr>
        <w:spacing w:after="0" w:line="94"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80 -</w:t>
      </w:r>
    </w:p>
    <w:p>
      <w:pPr>
        <w:sectPr>
          <w:pgSz w:w="11900" w:h="16838" w:orient="portrait"/>
          <w:cols w:equalWidth="0" w:num="1">
            <w:col w:w="11004"/>
          </w:cols>
          <w:pgMar w:left="436" w:top="270" w:right="459" w:bottom="1440" w:gutter="0" w:footer="0" w:header="0"/>
        </w:sectPr>
      </w:pPr>
    </w:p>
    <w:bookmarkStart w:id="93" w:name="page94"/>
    <w:bookmarkEnd w:id="93"/>
    <w:p>
      <w:pPr>
        <w:ind w:left="304" w:hanging="304"/>
        <w:spacing w:after="0"/>
        <w:tabs>
          <w:tab w:leader="none" w:pos="304"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permissive rights of the Trustee set forth in this Indenture will not be construed as duties imposed on the Trustee.</w:t>
      </w:r>
    </w:p>
    <w:p>
      <w:pPr>
        <w:spacing w:after="0" w:line="225" w:lineRule="exact"/>
        <w:rPr>
          <w:rFonts w:ascii="Times New Roman" w:cs="Times New Roman" w:eastAsia="Times New Roman" w:hAnsi="Times New Roman"/>
          <w:sz w:val="18"/>
          <w:szCs w:val="18"/>
          <w:color w:val="auto"/>
        </w:rPr>
      </w:pPr>
    </w:p>
    <w:p>
      <w:pPr>
        <w:ind w:left="224" w:hanging="224"/>
        <w:spacing w:after="0"/>
        <w:tabs>
          <w:tab w:leader="none" w:pos="224"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will not be required to give any bond or surety in respect of the execution or performance of this Indenture or otherwise.</w:t>
      </w:r>
    </w:p>
    <w:p>
      <w:pPr>
        <w:spacing w:after="0" w:line="225" w:lineRule="exact"/>
        <w:rPr>
          <w:rFonts w:ascii="Times New Roman" w:cs="Times New Roman" w:eastAsia="Times New Roman" w:hAnsi="Times New Roman"/>
          <w:sz w:val="18"/>
          <w:szCs w:val="18"/>
          <w:color w:val="auto"/>
        </w:rPr>
      </w:pPr>
    </w:p>
    <w:p>
      <w:pPr>
        <w:ind w:left="4" w:right="140" w:hanging="4"/>
        <w:spacing w:after="0" w:line="282" w:lineRule="auto"/>
        <w:tabs>
          <w:tab w:leader="none" w:pos="239"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 Responsible Officer of the Trustee has received notice from the Company that Additional Interest or Special Interest is owing or accruing, on the Notes, the Trustee may assume that no Additional Interest or Special Interest, as applicable, is payable or accruing.</w:t>
      </w:r>
    </w:p>
    <w:p>
      <w:pPr>
        <w:spacing w:after="0" w:line="161" w:lineRule="exact"/>
        <w:rPr>
          <w:rFonts w:ascii="Times New Roman" w:cs="Times New Roman" w:eastAsia="Times New Roman" w:hAnsi="Times New Roman"/>
          <w:sz w:val="18"/>
          <w:szCs w:val="18"/>
          <w:color w:val="auto"/>
        </w:rPr>
      </w:pPr>
    </w:p>
    <w:p>
      <w:pPr>
        <w:ind w:left="4" w:right="200" w:hanging="4"/>
        <w:spacing w:after="0" w:line="282" w:lineRule="auto"/>
        <w:tabs>
          <w:tab w:leader="none" w:pos="299"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privileges, protections, immunities and benefits given to the Trustee, including its right to be indemnified, are extended to, and will be enforceable by, the Trustee in each of its capacities under this Indenture, including as Note Agent.</w:t>
      </w:r>
    </w:p>
    <w:p>
      <w:pPr>
        <w:spacing w:after="0" w:line="161" w:lineRule="exact"/>
        <w:rPr>
          <w:rFonts w:ascii="Times New Roman" w:cs="Times New Roman" w:eastAsia="Times New Roman" w:hAnsi="Times New Roman"/>
          <w:sz w:val="18"/>
          <w:szCs w:val="18"/>
          <w:color w:val="auto"/>
        </w:rPr>
      </w:pPr>
    </w:p>
    <w:p>
      <w:pPr>
        <w:ind w:left="284" w:hanging="284"/>
        <w:spacing w:after="0"/>
        <w:tabs>
          <w:tab w:leader="none" w:pos="284"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will not be charged with knowledge of any document or agreement other than this Indenture and the Notes.</w:t>
      </w:r>
    </w:p>
    <w:p>
      <w:pPr>
        <w:spacing w:after="0" w:line="225" w:lineRule="exact"/>
        <w:rPr>
          <w:rFonts w:ascii="Times New Roman" w:cs="Times New Roman" w:eastAsia="Times New Roman" w:hAnsi="Times New Roman"/>
          <w:sz w:val="18"/>
          <w:szCs w:val="18"/>
          <w:color w:val="auto"/>
        </w:rPr>
      </w:pPr>
    </w:p>
    <w:p>
      <w:pPr>
        <w:ind w:left="4" w:right="20" w:hanging="4"/>
        <w:spacing w:after="0" w:line="266" w:lineRule="auto"/>
        <w:tabs>
          <w:tab w:leader="none" w:pos="329"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Trustee nor any Note Agent will have any responsibility or liability to any person for any action taken or not taken by, or any records or any other aspect of the operations of, the Depositary (including the delivery of notices, or the making of payments, through the facilities of the Depositary) and may conclusively rely, without investigation, on any information provided by the Depositary.</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11.03. I</w:t>
      </w:r>
      <w:r>
        <w:rPr>
          <w:rFonts w:ascii="Times New Roman" w:cs="Times New Roman" w:eastAsia="Times New Roman" w:hAnsi="Times New Roman"/>
          <w:sz w:val="14"/>
          <w:szCs w:val="14"/>
          <w:b w:val="1"/>
          <w:bCs w:val="1"/>
          <w:color w:val="auto"/>
        </w:rPr>
        <w:t>NDIVIDUAL</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IGHTS OF THE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RUSTEE</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both"/>
        <w:ind w:left="4" w:firstLine="440"/>
        <w:spacing w:after="0" w:line="261" w:lineRule="auto"/>
        <w:rPr>
          <w:sz w:val="20"/>
          <w:szCs w:val="20"/>
          <w:color w:val="auto"/>
        </w:rPr>
      </w:pPr>
      <w:r>
        <w:rPr>
          <w:rFonts w:ascii="Times New Roman" w:cs="Times New Roman" w:eastAsia="Times New Roman" w:hAnsi="Times New Roman"/>
          <w:sz w:val="18"/>
          <w:szCs w:val="18"/>
          <w:color w:val="auto"/>
        </w:rPr>
        <w:t xml:space="preserve">The Trustee, in its individual or any other capacity, may become the owner or pledgee of any Note and may otherwise deal with the Company or any of its Affiliates with the same rights that it would have if it were not Trustee;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if the Trustee acquires a “conflicting interest” (within the meaning of Section 310(b) of the Trust Indenture Act), then it must eliminate such conflict within ninety (90) days or resign as Trustee. Each Note Agent will have the same rights and duties as the Trustee under this </w:t>
      </w:r>
      <w:r>
        <w:rPr>
          <w:rFonts w:ascii="Times New Roman" w:cs="Times New Roman" w:eastAsia="Times New Roman" w:hAnsi="Times New Roman"/>
          <w:sz w:val="18"/>
          <w:szCs w:val="18"/>
          <w:b w:val="1"/>
          <w:bCs w:val="1"/>
          <w:color w:val="auto"/>
        </w:rPr>
        <w:t>Section 11.03</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11.04. T</w:t>
      </w:r>
      <w:r>
        <w:rPr>
          <w:rFonts w:ascii="Times New Roman" w:cs="Times New Roman" w:eastAsia="Times New Roman" w:hAnsi="Times New Roman"/>
          <w:sz w:val="14"/>
          <w:szCs w:val="14"/>
          <w:b w:val="1"/>
          <w:bCs w:val="1"/>
          <w:color w:val="auto"/>
        </w:rPr>
        <w:t>RUSTEE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4"/>
          <w:szCs w:val="14"/>
          <w:b w:val="1"/>
          <w:bCs w:val="1"/>
          <w:color w:val="auto"/>
        </w:rPr>
        <w:t>S</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ISCLAIMER</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Trustee will not be (A) responsible for, and makes no representation as to, the validity or adequacy of this Indenture or the Notes;</w:t>
      </w:r>
    </w:p>
    <w:p>
      <w:pPr>
        <w:spacing w:after="0" w:line="27" w:lineRule="exact"/>
        <w:rPr>
          <w:sz w:val="20"/>
          <w:szCs w:val="20"/>
          <w:color w:val="auto"/>
        </w:rPr>
      </w:pPr>
    </w:p>
    <w:p>
      <w:pPr>
        <w:ind w:left="4" w:right="120" w:hanging="4"/>
        <w:spacing w:after="0" w:line="250" w:lineRule="auto"/>
        <w:tabs>
          <w:tab w:leader="none" w:pos="289"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accountable for the Company’s use of the proceeds from the Notes or any money paid to the Company or upon the Company’s direction under any provision of this Indenture; (C) responsible for the use or application of any money received by any Paying Agent other than the Trustee; and</w:t>
      </w:r>
    </w:p>
    <w:p>
      <w:pPr>
        <w:ind w:left="4" w:right="220" w:hanging="4"/>
        <w:spacing w:after="0" w:line="260" w:lineRule="auto"/>
        <w:tabs>
          <w:tab w:leader="none" w:pos="299"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responsible for any statement or recital in this Indenture, the Notes or any other document relating to the sale of the Notes or this Indenture, other than the Trustee’s certificate of authentication.</w:t>
      </w:r>
    </w:p>
    <w:p>
      <w:pPr>
        <w:spacing w:after="0" w:line="113"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81 -</w:t>
      </w:r>
    </w:p>
    <w:p>
      <w:pPr>
        <w:sectPr>
          <w:pgSz w:w="11900" w:h="16838" w:orient="portrait"/>
          <w:cols w:equalWidth="0" w:num="1">
            <w:col w:w="10964"/>
          </w:cols>
          <w:pgMar w:left="436" w:top="270" w:right="499" w:bottom="1440" w:gutter="0" w:footer="0" w:header="0"/>
        </w:sectPr>
      </w:pPr>
    </w:p>
    <w:bookmarkStart w:id="94" w:name="page95"/>
    <w:bookmarkEnd w:id="94"/>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11.05. N</w:t>
      </w:r>
      <w:r>
        <w:rPr>
          <w:rFonts w:ascii="Times New Roman" w:cs="Times New Roman" w:eastAsia="Times New Roman" w:hAnsi="Times New Roman"/>
          <w:sz w:val="14"/>
          <w:szCs w:val="14"/>
          <w:b w:val="1"/>
          <w:bCs w:val="1"/>
          <w:color w:val="auto"/>
        </w:rPr>
        <w:t>OTICE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EFAULTS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If a Default or Event of Default occurs and is continuing and is actually known to a Responsible Officer of the Trustee, then the Trustee will send Holders a notice of such Default or Event of Default within ninety (90) days after it occurs or, if it is not actually known to a Responsible Officer of the Trustee at such time, promptly (and in any event within ten (10) Business Days) after it becomes actually known to a Responsible Officer of the Trustee;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except in the case of a Default or Event of Default in the payment of the principal of, or interest on, or any Note, or a default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payment or delivery of consideration due upon Exchange, the Trustee may withhold such notice if and for so long as it in good faith determines that withholding such notice is in the interests of the Holders. The Trustee will not be deemed to have notice or be charged with knowledge of any Default or Event of Default unless written notice thereof has been received by a Responsible Officer, and such notice references the Notes and this Indenture and states on its face that a Default or Event of Default has occurred.</w:t>
      </w:r>
    </w:p>
    <w:p>
      <w:pPr>
        <w:spacing w:after="0" w:line="29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11.06. C</w:t>
      </w:r>
      <w:r>
        <w:rPr>
          <w:rFonts w:ascii="Times New Roman" w:cs="Times New Roman" w:eastAsia="Times New Roman" w:hAnsi="Times New Roman"/>
          <w:sz w:val="14"/>
          <w:szCs w:val="14"/>
          <w:b w:val="1"/>
          <w:bCs w:val="1"/>
          <w:color w:val="auto"/>
        </w:rPr>
        <w:t>OMPENSATION AND</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NDEMNITY</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 w:right="40" w:hanging="4"/>
        <w:spacing w:after="0" w:line="258" w:lineRule="auto"/>
        <w:tabs>
          <w:tab w:leader="none" w:pos="299"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from time to time, pay the Trustee reasonable compensation for its acceptance of this Indenture and services under this Indenture, as separately agreed by the Company and the Trustee. The Trustee’s compensation will not be limited by any law on compensation of a trustee of an express trust. In addition to the compensation for the Trustee’s services, the Company will reimburse the Trustee promptly upon request for all reasonable disbursements, advances and expenses incurred or made by it under this Indenture, including the reasonable compensation, disbursements and expenses of the Trustee’s agents and counsel.</w:t>
      </w:r>
    </w:p>
    <w:p>
      <w:pPr>
        <w:spacing w:after="0" w:line="183" w:lineRule="exact"/>
        <w:rPr>
          <w:rFonts w:ascii="Times New Roman" w:cs="Times New Roman" w:eastAsia="Times New Roman" w:hAnsi="Times New Roman"/>
          <w:sz w:val="18"/>
          <w:szCs w:val="18"/>
          <w:color w:val="auto"/>
        </w:rPr>
      </w:pPr>
    </w:p>
    <w:p>
      <w:pPr>
        <w:ind w:left="4" w:hanging="4"/>
        <w:spacing w:after="0" w:line="253" w:lineRule="auto"/>
        <w:tabs>
          <w:tab w:leader="none" w:pos="289"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will indemnify the Trustee (in each of its capacities under this Indenture) and its directors, officers, employees and agents, in their capacities as such, against any and all losses, liabilities or expenses incurred by it arising out of or in connection with the acceptance or administration of its duties under this Indenture, including the costs and expenses of enforcing this Indenture against the Company (including this </w:t>
      </w:r>
      <w:r>
        <w:rPr>
          <w:rFonts w:ascii="Times New Roman" w:cs="Times New Roman" w:eastAsia="Times New Roman" w:hAnsi="Times New Roman"/>
          <w:sz w:val="18"/>
          <w:szCs w:val="18"/>
          <w:b w:val="1"/>
          <w:bCs w:val="1"/>
          <w:color w:val="auto"/>
        </w:rPr>
        <w:t>Section 11.06</w:t>
      </w:r>
      <w:r>
        <w:rPr>
          <w:rFonts w:ascii="Times New Roman" w:cs="Times New Roman" w:eastAsia="Times New Roman" w:hAnsi="Times New Roman"/>
          <w:sz w:val="18"/>
          <w:szCs w:val="18"/>
          <w:color w:val="auto"/>
        </w:rPr>
        <w:t>) and defending itself against any claim (whether asserted by the Company, any Holder or any other Person) or liability in connection with the exercise or performance of any of its powers or duties under this Indenture, except to the extent any such loss, liability or expense is attributable (as determined by a final decision of a court of competent jurisdiction) to its negligence or willful misconduct. The Trustee will promptly notify the Company of any claim for which it may seek indemnity, but the Trustee’s failure to so notify the Company will not relieve the Company of its obligations under this</w:t>
      </w:r>
    </w:p>
    <w:p>
      <w:pPr>
        <w:spacing w:after="0" w:line="2" w:lineRule="exact"/>
        <w:rPr>
          <w:rFonts w:ascii="Times New Roman" w:cs="Times New Roman" w:eastAsia="Times New Roman" w:hAnsi="Times New Roman"/>
          <w:sz w:val="18"/>
          <w:szCs w:val="18"/>
          <w:color w:val="auto"/>
        </w:rPr>
      </w:pPr>
    </w:p>
    <w:p>
      <w:pPr>
        <w:ind w:left="4" w:right="10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Section 11.06(B</w:t>
      </w:r>
      <w:r>
        <w:rPr>
          <w:rFonts w:ascii="Times New Roman" w:cs="Times New Roman" w:eastAsia="Times New Roman" w:hAnsi="Times New Roman"/>
          <w:sz w:val="18"/>
          <w:szCs w:val="18"/>
          <w:color w:val="auto"/>
        </w:rPr>
        <w:t>), except to the extent the Company is materially prejudiced by such failure. The Company will defend such claim, and the Trustee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cooperate in such defense. If the Trustee is advised by counsel that it may have defenses available to it that are in conflict with the defenses available to the Company, or that there is an actual or potential conflict of interest, then the Trustee may retain separate counsel, and the Company will pay the reasonable fees and expenses of such counsel (including the reasonable fees and expenses of counsel to the Trustee incurred in evaluating whether such a conflict exists). The Company need not pay for any settlement of any such claim made without its consent, which consent will not be unreasonably withheld.</w:t>
      </w:r>
    </w:p>
    <w:p>
      <w:pPr>
        <w:spacing w:after="0" w:line="185" w:lineRule="exact"/>
        <w:rPr>
          <w:rFonts w:ascii="Times New Roman" w:cs="Times New Roman" w:eastAsia="Times New Roman" w:hAnsi="Times New Roman"/>
          <w:sz w:val="18"/>
          <w:szCs w:val="18"/>
          <w:color w:val="auto"/>
        </w:rPr>
      </w:pPr>
    </w:p>
    <w:p>
      <w:pPr>
        <w:ind w:left="284" w:hanging="284"/>
        <w:spacing w:after="0"/>
        <w:tabs>
          <w:tab w:leader="none" w:pos="284"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obligations of the Company under this </w:t>
      </w:r>
      <w:r>
        <w:rPr>
          <w:rFonts w:ascii="Times New Roman" w:cs="Times New Roman" w:eastAsia="Times New Roman" w:hAnsi="Times New Roman"/>
          <w:sz w:val="18"/>
          <w:szCs w:val="18"/>
          <w:b w:val="1"/>
          <w:bCs w:val="1"/>
          <w:color w:val="auto"/>
        </w:rPr>
        <w:t>Section 11.06</w:t>
      </w:r>
      <w:r>
        <w:rPr>
          <w:rFonts w:ascii="Times New Roman" w:cs="Times New Roman" w:eastAsia="Times New Roman" w:hAnsi="Times New Roman"/>
          <w:sz w:val="18"/>
          <w:szCs w:val="18"/>
          <w:color w:val="auto"/>
        </w:rPr>
        <w:t xml:space="preserve"> will survive the resignation or removal of the Trustee and the discharge of this Indenture.</w:t>
      </w:r>
    </w:p>
    <w:p>
      <w:pPr>
        <w:spacing w:after="0" w:line="200" w:lineRule="exact"/>
        <w:rPr>
          <w:rFonts w:ascii="Times New Roman" w:cs="Times New Roman" w:eastAsia="Times New Roman" w:hAnsi="Times New Roman"/>
          <w:sz w:val="18"/>
          <w:szCs w:val="18"/>
          <w:color w:val="auto"/>
        </w:rPr>
      </w:pPr>
    </w:p>
    <w:p>
      <w:pPr>
        <w:spacing w:after="0" w:line="204"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82 -</w:t>
      </w:r>
    </w:p>
    <w:p>
      <w:pPr>
        <w:sectPr>
          <w:pgSz w:w="11900" w:h="16838" w:orient="portrait"/>
          <w:cols w:equalWidth="0" w:num="1">
            <w:col w:w="11004"/>
          </w:cols>
          <w:pgMar w:left="436" w:top="266" w:right="459" w:bottom="1440" w:gutter="0" w:footer="0" w:header="0"/>
        </w:sectPr>
      </w:pPr>
    </w:p>
    <w:bookmarkStart w:id="95" w:name="page96"/>
    <w:bookmarkEnd w:id="95"/>
    <w:p>
      <w:pPr>
        <w:ind w:left="4" w:right="40" w:hanging="4"/>
        <w:spacing w:after="0" w:line="268" w:lineRule="auto"/>
        <w:tabs>
          <w:tab w:leader="none" w:pos="299"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To secure the Company’s payment obligations in this </w:t>
      </w:r>
      <w:r>
        <w:rPr>
          <w:rFonts w:ascii="Times New Roman" w:cs="Times New Roman" w:eastAsia="Times New Roman" w:hAnsi="Times New Roman"/>
          <w:sz w:val="18"/>
          <w:szCs w:val="18"/>
          <w:b w:val="1"/>
          <w:bCs w:val="1"/>
          <w:color w:val="auto"/>
        </w:rPr>
        <w:t>Section 11.06</w:t>
      </w:r>
      <w:r>
        <w:rPr>
          <w:rFonts w:ascii="Times New Roman" w:cs="Times New Roman" w:eastAsia="Times New Roman" w:hAnsi="Times New Roman"/>
          <w:sz w:val="18"/>
          <w:szCs w:val="18"/>
          <w:color w:val="auto"/>
        </w:rPr>
        <w:t>, the Trustee will have a lien prior to the Notes on all money or property held or collected by the Trustee, except that held in trust to pay principal of, or interest on, particular Notes, which lien will survive the discharge of this Indenture.</w:t>
      </w:r>
    </w:p>
    <w:p>
      <w:pPr>
        <w:spacing w:after="0" w:line="170" w:lineRule="exact"/>
        <w:rPr>
          <w:rFonts w:ascii="Times New Roman" w:cs="Times New Roman" w:eastAsia="Times New Roman" w:hAnsi="Times New Roman"/>
          <w:sz w:val="18"/>
          <w:szCs w:val="18"/>
          <w:color w:val="auto"/>
        </w:rPr>
      </w:pPr>
    </w:p>
    <w:p>
      <w:pPr>
        <w:ind w:left="4" w:right="400" w:hanging="4"/>
        <w:spacing w:after="0" w:line="268" w:lineRule="auto"/>
        <w:tabs>
          <w:tab w:leader="none" w:pos="279"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Trustee incurs expenses or renders services after an Event of Default pursuant to </w:t>
      </w:r>
      <w:r>
        <w:rPr>
          <w:rFonts w:ascii="Times New Roman" w:cs="Times New Roman" w:eastAsia="Times New Roman" w:hAnsi="Times New Roman"/>
          <w:sz w:val="18"/>
          <w:szCs w:val="18"/>
          <w:b w:val="1"/>
          <w:bCs w:val="1"/>
          <w:color w:val="auto"/>
        </w:rPr>
        <w:t>clause (ix</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Section 7.01(A</w:t>
      </w:r>
      <w:r>
        <w:rPr>
          <w:rFonts w:ascii="Times New Roman" w:cs="Times New Roman" w:eastAsia="Times New Roman" w:hAnsi="Times New Roman"/>
          <w:sz w:val="18"/>
          <w:szCs w:val="18"/>
          <w:color w:val="auto"/>
        </w:rPr>
        <w:t>) occurs, then such expenses and the compensation for such services (including the fees and expenses of its agents and counsel) are intended to constitute expenses of administration under any Bankruptcy Law.</w:t>
      </w:r>
    </w:p>
    <w:p>
      <w:pPr>
        <w:spacing w:after="0" w:line="27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11.07. R</w:t>
      </w:r>
      <w:r>
        <w:rPr>
          <w:rFonts w:ascii="Times New Roman" w:cs="Times New Roman" w:eastAsia="Times New Roman" w:hAnsi="Times New Roman"/>
          <w:sz w:val="14"/>
          <w:szCs w:val="14"/>
          <w:b w:val="1"/>
          <w:bCs w:val="1"/>
          <w:color w:val="auto"/>
        </w:rPr>
        <w:t>EPLACEMENT OF THE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RUSTEE</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ind w:left="4" w:hanging="4"/>
        <w:spacing w:after="0" w:line="286" w:lineRule="auto"/>
        <w:tabs>
          <w:tab w:leader="none" w:pos="299"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this </w:t>
      </w:r>
      <w:r>
        <w:rPr>
          <w:rFonts w:ascii="Times New Roman" w:cs="Times New Roman" w:eastAsia="Times New Roman" w:hAnsi="Times New Roman"/>
          <w:sz w:val="18"/>
          <w:szCs w:val="18"/>
          <w:b w:val="1"/>
          <w:bCs w:val="1"/>
          <w:color w:val="auto"/>
        </w:rPr>
        <w:t>Section 11.07</w:t>
      </w:r>
      <w:r>
        <w:rPr>
          <w:rFonts w:ascii="Times New Roman" w:cs="Times New Roman" w:eastAsia="Times New Roman" w:hAnsi="Times New Roman"/>
          <w:sz w:val="18"/>
          <w:szCs w:val="18"/>
          <w:color w:val="auto"/>
        </w:rPr>
        <w:t xml:space="preserve">, a resignation or removal of the Trustee, and the appointment of a successor Trustee, will become effective only upon such successor Trustee’s acceptance of appointment as provided in this </w:t>
      </w:r>
      <w:r>
        <w:rPr>
          <w:rFonts w:ascii="Times New Roman" w:cs="Times New Roman" w:eastAsia="Times New Roman" w:hAnsi="Times New Roman"/>
          <w:sz w:val="18"/>
          <w:szCs w:val="18"/>
          <w:b w:val="1"/>
          <w:bCs w:val="1"/>
          <w:color w:val="auto"/>
        </w:rPr>
        <w:t>Section 11.07</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auto"/>
        </w:rPr>
      </w:pPr>
    </w:p>
    <w:p>
      <w:pPr>
        <w:ind w:left="4" w:right="80" w:hanging="4"/>
        <w:spacing w:after="0" w:line="266" w:lineRule="auto"/>
        <w:tabs>
          <w:tab w:leader="none" w:pos="289"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resign at any time and be discharged from the trust created by this Indenture by so notifying the Company. The Holders of a majority in aggregate principal amount of the Notes then outstanding may remove the Trustee by so notifying the Trustee and the Company in writing. The Company may remove the Trustee if:</w:t>
      </w:r>
    </w:p>
    <w:p>
      <w:pPr>
        <w:spacing w:after="0" w:line="172" w:lineRule="exact"/>
        <w:rPr>
          <w:sz w:val="20"/>
          <w:szCs w:val="20"/>
          <w:color w:val="auto"/>
        </w:rPr>
      </w:pPr>
    </w:p>
    <w:p>
      <w:pPr>
        <w:ind w:left="224" w:hanging="224"/>
        <w:spacing w:after="0"/>
        <w:tabs>
          <w:tab w:leader="none" w:pos="224"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Trustee fails to comply with </w:t>
      </w:r>
      <w:r>
        <w:rPr>
          <w:rFonts w:ascii="Times New Roman" w:cs="Times New Roman" w:eastAsia="Times New Roman" w:hAnsi="Times New Roman"/>
          <w:sz w:val="18"/>
          <w:szCs w:val="18"/>
          <w:b w:val="1"/>
          <w:bCs w:val="1"/>
          <w:color w:val="auto"/>
        </w:rPr>
        <w:t>Section 11.09</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is adjudged to be bankrupt or insolvent or an order for relief is entered with respect to the Trustee under any Bankruptcy Law;</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custodian or public officer takes charge of the Trustee or its property; or</w:t>
      </w:r>
    </w:p>
    <w:p>
      <w:pPr>
        <w:spacing w:after="0" w:line="225" w:lineRule="exact"/>
        <w:rPr>
          <w:rFonts w:ascii="Times New Roman" w:cs="Times New Roman" w:eastAsia="Times New Roman" w:hAnsi="Times New Roman"/>
          <w:sz w:val="18"/>
          <w:szCs w:val="18"/>
          <w:color w:val="auto"/>
        </w:rPr>
      </w:pPr>
    </w:p>
    <w:p>
      <w:pPr>
        <w:ind w:left="304" w:hanging="304"/>
        <w:spacing w:after="0"/>
        <w:tabs>
          <w:tab w:leader="none" w:pos="304"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becomes incapable of acting.</w:t>
      </w:r>
    </w:p>
    <w:p>
      <w:pPr>
        <w:spacing w:after="0" w:line="225" w:lineRule="exact"/>
        <w:rPr>
          <w:sz w:val="20"/>
          <w:szCs w:val="20"/>
          <w:color w:val="auto"/>
        </w:rPr>
      </w:pPr>
    </w:p>
    <w:p>
      <w:pPr>
        <w:ind w:left="4" w:right="100" w:hanging="4"/>
        <w:spacing w:after="0" w:line="261" w:lineRule="auto"/>
        <w:tabs>
          <w:tab w:leader="none" w:pos="289"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Trustee resigns or is removed, or if a vacancy exists in the office of the Trustee for any reason, then (i) the Company will promptly appoint a successor Trustee complying with </w:t>
      </w:r>
      <w:r>
        <w:rPr>
          <w:rFonts w:ascii="Times New Roman" w:cs="Times New Roman" w:eastAsia="Times New Roman" w:hAnsi="Times New Roman"/>
          <w:sz w:val="18"/>
          <w:szCs w:val="18"/>
          <w:b w:val="1"/>
          <w:bCs w:val="1"/>
          <w:color w:val="auto"/>
        </w:rPr>
        <w:t>Section 11.09</w:t>
      </w:r>
      <w:r>
        <w:rPr>
          <w:rFonts w:ascii="Times New Roman" w:cs="Times New Roman" w:eastAsia="Times New Roman" w:hAnsi="Times New Roman"/>
          <w:sz w:val="18"/>
          <w:szCs w:val="18"/>
          <w:color w:val="auto"/>
        </w:rPr>
        <w:t xml:space="preserve">; and (ii) at any time within one (1) year after the successor Trustee takes office, the Holders of a majority in aggregate principal amount of the Notes then outstanding may appoint a successor Trustee complying with </w:t>
      </w:r>
      <w:r>
        <w:rPr>
          <w:rFonts w:ascii="Times New Roman" w:cs="Times New Roman" w:eastAsia="Times New Roman" w:hAnsi="Times New Roman"/>
          <w:sz w:val="18"/>
          <w:szCs w:val="18"/>
          <w:b w:val="1"/>
          <w:bCs w:val="1"/>
          <w:color w:val="auto"/>
        </w:rPr>
        <w:t>Section 11.09</w:t>
      </w:r>
      <w:r>
        <w:rPr>
          <w:rFonts w:ascii="Times New Roman" w:cs="Times New Roman" w:eastAsia="Times New Roman" w:hAnsi="Times New Roman"/>
          <w:sz w:val="18"/>
          <w:szCs w:val="18"/>
          <w:color w:val="auto"/>
        </w:rPr>
        <w:t xml:space="preserve"> to replace such successor Trustee appointed by the Company.</w:t>
      </w:r>
    </w:p>
    <w:p>
      <w:pPr>
        <w:spacing w:after="0" w:line="179" w:lineRule="exact"/>
        <w:rPr>
          <w:rFonts w:ascii="Times New Roman" w:cs="Times New Roman" w:eastAsia="Times New Roman" w:hAnsi="Times New Roman"/>
          <w:sz w:val="18"/>
          <w:szCs w:val="18"/>
          <w:color w:val="auto"/>
        </w:rPr>
      </w:pPr>
    </w:p>
    <w:p>
      <w:pPr>
        <w:ind w:left="4" w:right="60" w:hanging="4"/>
        <w:spacing w:after="0" w:line="266" w:lineRule="auto"/>
        <w:tabs>
          <w:tab w:leader="none" w:pos="299"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successor Trustee does not take office within sixty (60) days after the retiring Trustee resigns or is removed, then the retiring Trustee, the Company or the Holders of at least ten percent (10%) in aggregate principal amount of the Notes then outstanding may petition any court of competent jurisdiction for the appointment of a successor Trustee.</w:t>
      </w:r>
    </w:p>
    <w:p>
      <w:pPr>
        <w:spacing w:after="0" w:line="175" w:lineRule="exact"/>
        <w:rPr>
          <w:rFonts w:ascii="Times New Roman" w:cs="Times New Roman" w:eastAsia="Times New Roman" w:hAnsi="Times New Roman"/>
          <w:sz w:val="18"/>
          <w:szCs w:val="18"/>
          <w:color w:val="auto"/>
        </w:rPr>
      </w:pPr>
    </w:p>
    <w:p>
      <w:pPr>
        <w:ind w:left="284" w:hanging="284"/>
        <w:spacing w:after="0"/>
        <w:tabs>
          <w:tab w:leader="none" w:pos="284"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Trustee, after written request by a Holder of at least six (6) months (or such lesser period since the Issue Date), fails to comply with</w:t>
      </w:r>
    </w:p>
    <w:p>
      <w:pPr>
        <w:spacing w:after="0" w:line="27" w:lineRule="exact"/>
        <w:rPr>
          <w:sz w:val="20"/>
          <w:szCs w:val="20"/>
          <w:color w:val="auto"/>
        </w:rPr>
      </w:pPr>
    </w:p>
    <w:p>
      <w:pPr>
        <w:ind w:left="4" w:right="320"/>
        <w:spacing w:after="0" w:line="260" w:lineRule="auto"/>
        <w:rPr>
          <w:sz w:val="20"/>
          <w:szCs w:val="20"/>
          <w:color w:val="auto"/>
        </w:rPr>
      </w:pPr>
      <w:r>
        <w:rPr>
          <w:rFonts w:ascii="Times New Roman" w:cs="Times New Roman" w:eastAsia="Times New Roman" w:hAnsi="Times New Roman"/>
          <w:sz w:val="18"/>
          <w:szCs w:val="18"/>
          <w:b w:val="1"/>
          <w:bCs w:val="1"/>
          <w:color w:val="auto"/>
        </w:rPr>
        <w:t>Section 11.09</w:t>
      </w:r>
      <w:r>
        <w:rPr>
          <w:rFonts w:ascii="Times New Roman" w:cs="Times New Roman" w:eastAsia="Times New Roman" w:hAnsi="Times New Roman"/>
          <w:sz w:val="18"/>
          <w:szCs w:val="18"/>
          <w:color w:val="auto"/>
        </w:rPr>
        <w:t>, then such Holder may petition any court of competent jurisdiction for the removal of the Trustee and the appointment of a successor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Trustee.</w:t>
      </w:r>
    </w:p>
    <w:p>
      <w:pPr>
        <w:spacing w:after="0" w:line="181" w:lineRule="exact"/>
        <w:rPr>
          <w:sz w:val="20"/>
          <w:szCs w:val="20"/>
          <w:color w:val="auto"/>
        </w:rPr>
      </w:pPr>
    </w:p>
    <w:p>
      <w:pPr>
        <w:ind w:left="4" w:right="120" w:hanging="4"/>
        <w:spacing w:after="0" w:line="266" w:lineRule="auto"/>
        <w:tabs>
          <w:tab w:leader="none" w:pos="269"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successor Trustee will deliver a written acceptance of its appointment to the retiring Trustee and to the Company, upon which notice the resignation or removal of the retiring Trustee will become effective and the successor Trustee will have all the rights, powers and duties of the Trustee under this Indenture. The successor Trustee will send notice of its succession to Holders.</w:t>
      </w:r>
    </w:p>
    <w:p>
      <w:pPr>
        <w:spacing w:after="0" w:line="108"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83 -</w:t>
      </w:r>
    </w:p>
    <w:p>
      <w:pPr>
        <w:sectPr>
          <w:pgSz w:w="11900" w:h="16838" w:orient="portrait"/>
          <w:cols w:equalWidth="0" w:num="1">
            <w:col w:w="10924"/>
          </w:cols>
          <w:pgMar w:left="436" w:top="266" w:right="539" w:bottom="1440" w:gutter="0" w:footer="0" w:header="0"/>
        </w:sectPr>
      </w:pPr>
    </w:p>
    <w:bookmarkStart w:id="96" w:name="page97"/>
    <w:bookmarkEnd w:id="96"/>
    <w:p>
      <w:pPr>
        <w:ind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retiring Trustee will, upon payment of all amounts due to it under this Indenture, promptly transfer all property held by it as Trustee to the successor Trustee, which property will, for the avoidance of doubt, be subject to the lien provided for in </w:t>
      </w:r>
      <w:r>
        <w:rPr>
          <w:rFonts w:ascii="Times New Roman" w:cs="Times New Roman" w:eastAsia="Times New Roman" w:hAnsi="Times New Roman"/>
          <w:sz w:val="18"/>
          <w:szCs w:val="18"/>
          <w:b w:val="1"/>
          <w:bCs w:val="1"/>
          <w:color w:val="auto"/>
        </w:rPr>
        <w:t>Section 11.06(D</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11.08. S</w:t>
      </w:r>
      <w:r>
        <w:rPr>
          <w:rFonts w:ascii="Times New Roman" w:cs="Times New Roman" w:eastAsia="Times New Roman" w:hAnsi="Times New Roman"/>
          <w:sz w:val="14"/>
          <w:szCs w:val="14"/>
          <w:b w:val="1"/>
          <w:bCs w:val="1"/>
          <w:color w:val="auto"/>
        </w:rPr>
        <w:t>UCCESSOR</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RUSTEE BY</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4"/>
          <w:szCs w:val="14"/>
          <w:b w:val="1"/>
          <w:bCs w:val="1"/>
          <w:color w:val="auto"/>
        </w:rPr>
        <w:t>ERGER</w:t>
      </w:r>
      <w:r>
        <w:rPr>
          <w:rFonts w:ascii="Times New Roman" w:cs="Times New Roman" w:eastAsia="Times New Roman" w:hAnsi="Times New Roman"/>
          <w:sz w:val="18"/>
          <w:szCs w:val="18"/>
          <w:b w:val="1"/>
          <w:bCs w:val="1"/>
          <w:color w:val="auto"/>
        </w:rPr>
        <w:t>, E</w:t>
      </w:r>
      <w:r>
        <w:rPr>
          <w:rFonts w:ascii="Times New Roman" w:cs="Times New Roman" w:eastAsia="Times New Roman" w:hAnsi="Times New Roman"/>
          <w:sz w:val="14"/>
          <w:szCs w:val="14"/>
          <w:b w:val="1"/>
          <w:bCs w:val="1"/>
          <w:color w:val="auto"/>
        </w:rPr>
        <w:t>TC</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right="3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Any entity into which the Trustee may be merged or converted or with which it may be consolidated, or any entity resulting from any merger, conversion or consolidation to which the Trustee is a party, or any entity succeeding to all or substantially all of the corporate trust business of the Trustee, will (without the execution or filing of any paper or any further act on the part of any of the parties to this Indenture) be the successor of the Trustee under this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entity must be otherwise qualified and eligible under this </w:t>
      </w:r>
      <w:r>
        <w:rPr>
          <w:rFonts w:ascii="Times New Roman" w:cs="Times New Roman" w:eastAsia="Times New Roman" w:hAnsi="Times New Roman"/>
          <w:sz w:val="18"/>
          <w:szCs w:val="18"/>
          <w:b w:val="1"/>
          <w:bCs w:val="1"/>
          <w:color w:val="auto"/>
        </w:rPr>
        <w:t>Article 11</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11.09. E</w:t>
      </w:r>
      <w:r>
        <w:rPr>
          <w:rFonts w:ascii="Times New Roman" w:cs="Times New Roman" w:eastAsia="Times New Roman" w:hAnsi="Times New Roman"/>
          <w:sz w:val="14"/>
          <w:szCs w:val="14"/>
          <w:b w:val="1"/>
          <w:bCs w:val="1"/>
          <w:color w:val="auto"/>
        </w:rPr>
        <w:t>LIGIBILITY</w:t>
      </w:r>
      <w:r>
        <w:rPr>
          <w:rFonts w:ascii="Times New Roman" w:cs="Times New Roman" w:eastAsia="Times New Roman" w:hAnsi="Times New Roman"/>
          <w:sz w:val="18"/>
          <w:szCs w:val="18"/>
          <w:b w:val="1"/>
          <w:bCs w:val="1"/>
          <w:color w:val="auto"/>
        </w:rPr>
        <w:t>; D</w:t>
      </w:r>
      <w:r>
        <w:rPr>
          <w:rFonts w:ascii="Times New Roman" w:cs="Times New Roman" w:eastAsia="Times New Roman" w:hAnsi="Times New Roman"/>
          <w:sz w:val="14"/>
          <w:szCs w:val="14"/>
          <w:b w:val="1"/>
          <w:bCs w:val="1"/>
          <w:color w:val="auto"/>
        </w:rPr>
        <w:t>ISQUALIFICATION</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There will at all times be a Trustee under this Indenture that is a corporation organized and doing business under the laws of the United States of America or of any state thereof, that is authorized under such laws to exercise corporate trustee power, that is subject to supervision or examination by federal or state authorities and that has a combined capital and surplus of at least $100.0 million as set forth in its most recent published annual report of condition.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12. MISCELLANEOUS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12.01. N</w:t>
      </w:r>
      <w:r>
        <w:rPr>
          <w:rFonts w:ascii="Times New Roman" w:cs="Times New Roman" w:eastAsia="Times New Roman" w:hAnsi="Times New Roman"/>
          <w:sz w:val="14"/>
          <w:szCs w:val="14"/>
          <w:b w:val="1"/>
          <w:bCs w:val="1"/>
          <w:color w:val="auto"/>
        </w:rPr>
        <w:t>OTICES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Any notice or communication by the Company or Holdings or the Trustee to the other will be deemed to have been duly given if in writing and delivered in person or by first class mail (registered or certified, return receipt requested), facsimile transmission, electronic transmission or other similar means of unsecured electronic communication or overnight air courier guaranteeing next day delivery, or to the other’s address, which initially is as follows: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to the Company, Holdings or any Subsidiary Guarantor:</w:t>
      </w:r>
    </w:p>
    <w:p>
      <w:pPr>
        <w:spacing w:after="0" w:line="11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Spectrum Brands, Inc.</w:t>
      </w:r>
    </w:p>
    <w:p>
      <w:pPr>
        <w:spacing w:after="0" w:line="2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3001 Deming Way</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Middleton, Wisconsin 53562</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9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With a copy to:</w:t>
      </w:r>
    </w:p>
    <w:p>
      <w:pPr>
        <w:spacing w:after="0" w:line="11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Spectrum Brands, Inc.</w:t>
      </w:r>
    </w:p>
    <w:p>
      <w:pPr>
        <w:spacing w:after="0" w:line="2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3001 Deming Way</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Middleton, Wisconsin 53562</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Attention: Chief Financial Officer</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- 84 -</w:t>
      </w:r>
    </w:p>
    <w:p>
      <w:pPr>
        <w:sectPr>
          <w:pgSz w:w="11900" w:h="16838" w:orient="portrait"/>
          <w:cols w:equalWidth="0" w:num="1">
            <w:col w:w="11000"/>
          </w:cols>
          <w:pgMar w:left="440" w:top="270" w:right="459" w:bottom="1440" w:gutter="0" w:footer="0" w:header="0"/>
        </w:sectPr>
      </w:pPr>
    </w:p>
    <w:bookmarkStart w:id="97" w:name="page98"/>
    <w:bookmarkEnd w:id="9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to the Trustee:</w:t>
      </w:r>
    </w:p>
    <w:p>
      <w:pPr>
        <w:spacing w:after="0" w:line="11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U.S. Bank Trust Company, National Association</w:t>
      </w:r>
    </w:p>
    <w:p>
      <w:pPr>
        <w:spacing w:after="0" w:line="2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333 Commerce Street, Suite 900</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Nashville, Tennessee 37201</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Attention: Corporate Trust Services</w:t>
      </w:r>
    </w:p>
    <w:p>
      <w:pPr>
        <w:spacing w:after="0" w:line="99"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Notwithstanding anything to the contrary in the preceding paragraph, notices to the Trustee or any Note Agent must be in writing and will be deemed to have been given upon actual receipt by the Trustee or such Note Agent, as applicable.</w:t>
      </w:r>
    </w:p>
    <w:p>
      <w:pPr>
        <w:spacing w:after="0" w:line="162"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The Company, the Guarantors or the Trustee, by notice to the others, may designate additional or different addresses (including facsimile numbers and electronic addresses) for subsequent notices or communications.</w:t>
      </w:r>
    </w:p>
    <w:p>
      <w:pPr>
        <w:spacing w:after="0" w:line="16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The Trustee will not have any duty to confirm that the person sending any notice, instruction or other communication by electronic transmission (including by e-mail, facsimile transmission, web portal or other electronic methods) is, in fact, a person authorized to do so. Electronic signatures believed by the Trustee to comply with the ESIGN Act of 2000 or other applicable law (including electronic images of handwritten signatures and digital signatures provided by DocuSign, Orbit, Adobe Sign or any other digital signature provider acceptable to the Trustee) will be deemed original signatures for all purposes. Any Person that uses electronic signatures or electronic methods to send communications to the Trustee assumes all risks arising out of such use, including the risk of the Trustee acting on an unauthorized communication and the risk of interception or misuse by third parties. Notwithstanding anything to the contrary in this paragraph, the Trustee may, in any instance and in its sole discretion, require that an original document bearing a manual signature be delivered to the Trustee in lieu of, or in addition to, any such electronic communication.</w:t>
      </w:r>
    </w:p>
    <w:p>
      <w:pPr>
        <w:spacing w:after="0" w:line="192"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All notices and communications (other than those sent to Holders) will be deemed to have been duly given: (A) at the time delivered by hand, if personally delivered; (B) five (5) Business Days after being deposited in the mail, postage prepaid, if mailed; (C) when receipt acknowledged, if transmitted by facsimile, electronic transmission or other similar means of unsecured electronic communication; and (D) the next Business Day after timely delivery to the courier, if sent by overnight air courier guaranteeing next day delivery.</w:t>
      </w:r>
    </w:p>
    <w:p>
      <w:pPr>
        <w:spacing w:after="0" w:line="180" w:lineRule="exact"/>
        <w:rPr>
          <w:sz w:val="20"/>
          <w:szCs w:val="20"/>
          <w:color w:val="auto"/>
        </w:rPr>
      </w:pPr>
    </w:p>
    <w:p>
      <w:pPr>
        <w:ind w:firstLine="440"/>
        <w:spacing w:after="0" w:line="277" w:lineRule="auto"/>
        <w:rPr>
          <w:sz w:val="20"/>
          <w:szCs w:val="20"/>
          <w:color w:val="auto"/>
        </w:rPr>
      </w:pPr>
      <w:r>
        <w:rPr>
          <w:rFonts w:ascii="Times New Roman" w:cs="Times New Roman" w:eastAsia="Times New Roman" w:hAnsi="Times New Roman"/>
          <w:sz w:val="17"/>
          <w:szCs w:val="17"/>
          <w:color w:val="auto"/>
        </w:rPr>
        <w:t xml:space="preserve">All notices or communications required to be made to a Holder pursuant to this Indenture must be made in writing and will be deemed to be duly sent or given in writing if mailed by first class mail, certified or registered, return receipt requested, or by overnight air courier guaranteeing next day delivery, to its address shown on the Register;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a notice or communication to a Holder of a Global Note may, but need not, instead be sent pursuant to the Depositary Procedures (in which case, such notice will be deemed to be duly sent or given in writing). The failure to send a notice or communication to a Holder, or any defect in such notice or communication, will not affect its sufficiency with respect to any other Holder.</w:t>
      </w:r>
    </w:p>
    <w:p>
      <w:pPr>
        <w:spacing w:after="0" w:line="1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- 85 -</w:t>
      </w:r>
    </w:p>
    <w:p>
      <w:pPr>
        <w:sectPr>
          <w:pgSz w:w="11900" w:h="16838" w:orient="portrait"/>
          <w:cols w:equalWidth="0" w:num="1">
            <w:col w:w="10980"/>
          </w:cols>
          <w:pgMar w:left="440" w:top="270" w:right="479" w:bottom="1440" w:gutter="0" w:footer="0" w:header="0"/>
        </w:sectPr>
      </w:pPr>
    </w:p>
    <w:bookmarkStart w:id="98" w:name="page99"/>
    <w:bookmarkEnd w:id="98"/>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If the Trustee is then acting as the Depositary’s custodian for the Notes, then, at the reasonable request of the Company to the Trustee, the Trustee will cause any notice prepared by the Company to be sent to any Holder(s) pursuant to the Depositary Procedures,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such request is evidenced in a Company Order delivered, together with the text of such notice, to the Trustee at least two (2) Business Days before the date such notice is to be so sent. For the avoidance of doubt, such Company Order need not be accompanied by an Officer’s Certificate or Opinion of Counsel. The Trustee will not have any liability relating to the contents of any notice that it sends to any Holder pursuant to any such Company Order.</w:t>
      </w:r>
    </w:p>
    <w:p>
      <w:pPr>
        <w:spacing w:after="0" w:line="183" w:lineRule="exact"/>
        <w:rPr>
          <w:sz w:val="20"/>
          <w:szCs w:val="20"/>
          <w:color w:val="auto"/>
        </w:rPr>
      </w:pPr>
    </w:p>
    <w:p>
      <w:pPr>
        <w:ind w:left="4" w:right="440" w:firstLine="440"/>
        <w:spacing w:after="0" w:line="282" w:lineRule="auto"/>
        <w:rPr>
          <w:sz w:val="20"/>
          <w:szCs w:val="20"/>
          <w:color w:val="auto"/>
        </w:rPr>
      </w:pPr>
      <w:r>
        <w:rPr>
          <w:rFonts w:ascii="Times New Roman" w:cs="Times New Roman" w:eastAsia="Times New Roman" w:hAnsi="Times New Roman"/>
          <w:sz w:val="18"/>
          <w:szCs w:val="18"/>
          <w:color w:val="auto"/>
        </w:rPr>
        <w:t>If a notice or communication is mailed or sent in the manner provided above within the time prescribed, it will be deemed to have been duly given, whether or not the addressee receives it.</w:t>
      </w:r>
    </w:p>
    <w:p>
      <w:pPr>
        <w:spacing w:after="0" w:line="162" w:lineRule="exact"/>
        <w:rPr>
          <w:sz w:val="20"/>
          <w:szCs w:val="20"/>
          <w:color w:val="auto"/>
        </w:rPr>
      </w:pPr>
    </w:p>
    <w:p>
      <w:pPr>
        <w:ind w:left="4" w:right="340" w:firstLine="440"/>
        <w:spacing w:after="0" w:line="276" w:lineRule="auto"/>
        <w:rPr>
          <w:sz w:val="20"/>
          <w:szCs w:val="20"/>
          <w:color w:val="auto"/>
        </w:rPr>
      </w:pPr>
      <w:r>
        <w:rPr>
          <w:rFonts w:ascii="Times New Roman" w:cs="Times New Roman" w:eastAsia="Times New Roman" w:hAnsi="Times New Roman"/>
          <w:sz w:val="17"/>
          <w:szCs w:val="17"/>
          <w:color w:val="auto"/>
        </w:rPr>
        <w:t>Notwithstanding anything to the contrary in this Indenture or the Notes, (A) whenever any provision of this Indenture requires a party to send notice to another party, no such notice need be sent if the sending party and the recipient are the same Person acting in different capacities; and</w:t>
      </w:r>
    </w:p>
    <w:p>
      <w:pPr>
        <w:spacing w:after="0" w:line="1" w:lineRule="exact"/>
        <w:rPr>
          <w:sz w:val="20"/>
          <w:szCs w:val="20"/>
          <w:color w:val="auto"/>
        </w:rPr>
      </w:pPr>
    </w:p>
    <w:p>
      <w:pPr>
        <w:ind w:left="4" w:right="440" w:hanging="4"/>
        <w:spacing w:after="0" w:line="260" w:lineRule="auto"/>
        <w:tabs>
          <w:tab w:leader="none" w:pos="289"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any provision of this Indenture requires a party to send notice to more than one receiving party, and each receiving party is the same Person acting in different capacities, then only one such notice need be sent to such Person.</w:t>
      </w:r>
    </w:p>
    <w:p>
      <w:pPr>
        <w:spacing w:after="0" w:line="28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12.02. D</w:t>
      </w:r>
      <w:r>
        <w:rPr>
          <w:rFonts w:ascii="Times New Roman" w:cs="Times New Roman" w:eastAsia="Times New Roman" w:hAnsi="Times New Roman"/>
          <w:sz w:val="14"/>
          <w:szCs w:val="14"/>
          <w:b w:val="1"/>
          <w:bCs w:val="1"/>
          <w:color w:val="auto"/>
        </w:rPr>
        <w:t>ELIVERY OF</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FFICER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4"/>
          <w:szCs w:val="14"/>
          <w:b w:val="1"/>
          <w:bCs w:val="1"/>
          <w:color w:val="auto"/>
        </w:rPr>
        <w:t>S</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ERTIFICATE AND</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PINION OF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OUNSEL AS TO</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ONDITIONS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RECEDENT</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Upon any request or application by the Company to the Trustee to take any action under this Indenture (other than the initial authentication of</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Notes under this Indenture), the Company will furnish to the Trustee:</w:t>
      </w:r>
    </w:p>
    <w:p>
      <w:pPr>
        <w:spacing w:after="0" w:line="203" w:lineRule="exact"/>
        <w:rPr>
          <w:sz w:val="20"/>
          <w:szCs w:val="20"/>
          <w:color w:val="auto"/>
        </w:rPr>
      </w:pPr>
    </w:p>
    <w:p>
      <w:pPr>
        <w:ind w:left="4" w:right="600" w:hanging="4"/>
        <w:spacing w:after="0" w:line="286" w:lineRule="auto"/>
        <w:tabs>
          <w:tab w:leader="none" w:pos="299"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Officer’s Certificate that complies with </w:t>
      </w:r>
      <w:r>
        <w:rPr>
          <w:rFonts w:ascii="Times New Roman" w:cs="Times New Roman" w:eastAsia="Times New Roman" w:hAnsi="Times New Roman"/>
          <w:sz w:val="18"/>
          <w:szCs w:val="18"/>
          <w:b w:val="1"/>
          <w:bCs w:val="1"/>
          <w:color w:val="auto"/>
        </w:rPr>
        <w:t>Section 12.03</w:t>
      </w:r>
      <w:r>
        <w:rPr>
          <w:rFonts w:ascii="Times New Roman" w:cs="Times New Roman" w:eastAsia="Times New Roman" w:hAnsi="Times New Roman"/>
          <w:sz w:val="18"/>
          <w:szCs w:val="18"/>
          <w:color w:val="auto"/>
        </w:rPr>
        <w:t xml:space="preserve"> and states that, in the opinion of the signatory thereto, all conditions precedent and covenants, if any, provided for in this Indenture relating to such action have been satisfied; and</w:t>
      </w:r>
    </w:p>
    <w:p>
      <w:pPr>
        <w:spacing w:after="0" w:line="154" w:lineRule="exact"/>
        <w:rPr>
          <w:rFonts w:ascii="Times New Roman" w:cs="Times New Roman" w:eastAsia="Times New Roman" w:hAnsi="Times New Roman"/>
          <w:sz w:val="18"/>
          <w:szCs w:val="18"/>
          <w:color w:val="auto"/>
        </w:rPr>
      </w:pPr>
    </w:p>
    <w:p>
      <w:pPr>
        <w:ind w:left="4" w:hanging="4"/>
        <w:spacing w:after="0" w:line="286" w:lineRule="auto"/>
        <w:tabs>
          <w:tab w:leader="none" w:pos="289"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Opinion of Counsel that complies with </w:t>
      </w:r>
      <w:r>
        <w:rPr>
          <w:rFonts w:ascii="Times New Roman" w:cs="Times New Roman" w:eastAsia="Times New Roman" w:hAnsi="Times New Roman"/>
          <w:sz w:val="18"/>
          <w:szCs w:val="18"/>
          <w:b w:val="1"/>
          <w:bCs w:val="1"/>
          <w:color w:val="auto"/>
        </w:rPr>
        <w:t>Section 12.03</w:t>
      </w:r>
      <w:r>
        <w:rPr>
          <w:rFonts w:ascii="Times New Roman" w:cs="Times New Roman" w:eastAsia="Times New Roman" w:hAnsi="Times New Roman"/>
          <w:sz w:val="18"/>
          <w:szCs w:val="18"/>
          <w:color w:val="auto"/>
        </w:rPr>
        <w:t xml:space="preserve"> and states that, in the opinion of such counsel, all such conditions precedent and covenants, if any, have been satisfied.</w:t>
      </w:r>
    </w:p>
    <w:p>
      <w:pPr>
        <w:spacing w:after="0" w:line="2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12.03. S</w:t>
      </w:r>
      <w:r>
        <w:rPr>
          <w:rFonts w:ascii="Times New Roman" w:cs="Times New Roman" w:eastAsia="Times New Roman" w:hAnsi="Times New Roman"/>
          <w:sz w:val="14"/>
          <w:szCs w:val="14"/>
          <w:b w:val="1"/>
          <w:bCs w:val="1"/>
          <w:color w:val="auto"/>
        </w:rPr>
        <w:t>TATEMENTS</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EQUIRED IN</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FFICER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4"/>
          <w:szCs w:val="14"/>
          <w:b w:val="1"/>
          <w:bCs w:val="1"/>
          <w:color w:val="auto"/>
        </w:rPr>
        <w:t>S</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ERTIFICATE AND</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PINION OF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OUNSEL</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ind w:left="4" w:right="140" w:firstLine="440"/>
        <w:spacing w:after="0" w:line="286" w:lineRule="auto"/>
        <w:rPr>
          <w:sz w:val="20"/>
          <w:szCs w:val="20"/>
          <w:color w:val="auto"/>
        </w:rPr>
      </w:pPr>
      <w:r>
        <w:rPr>
          <w:rFonts w:ascii="Times New Roman" w:cs="Times New Roman" w:eastAsia="Times New Roman" w:hAnsi="Times New Roman"/>
          <w:sz w:val="18"/>
          <w:szCs w:val="18"/>
          <w:color w:val="auto"/>
        </w:rPr>
        <w:t xml:space="preserve">Each Officer’s Certificate (other than an Officer’s Certificate pursuant to </w:t>
      </w:r>
      <w:r>
        <w:rPr>
          <w:rFonts w:ascii="Times New Roman" w:cs="Times New Roman" w:eastAsia="Times New Roman" w:hAnsi="Times New Roman"/>
          <w:sz w:val="18"/>
          <w:szCs w:val="18"/>
          <w:b w:val="1"/>
          <w:bCs w:val="1"/>
          <w:color w:val="auto"/>
        </w:rPr>
        <w:t>Section 3.05</w:t>
      </w:r>
      <w:r>
        <w:rPr>
          <w:rFonts w:ascii="Times New Roman" w:cs="Times New Roman" w:eastAsia="Times New Roman" w:hAnsi="Times New Roman"/>
          <w:sz w:val="18"/>
          <w:szCs w:val="18"/>
          <w:color w:val="auto"/>
        </w:rPr>
        <w:t>) or Opinion of Counsel with respect to compliance with a covenant or condition provided for in this Indenture will include:</w:t>
      </w:r>
    </w:p>
    <w:p>
      <w:pPr>
        <w:spacing w:after="0" w:line="159" w:lineRule="exact"/>
        <w:rPr>
          <w:sz w:val="20"/>
          <w:szCs w:val="20"/>
          <w:color w:val="auto"/>
        </w:rPr>
      </w:pPr>
    </w:p>
    <w:p>
      <w:pPr>
        <w:ind w:left="304" w:hanging="304"/>
        <w:spacing w:after="0"/>
        <w:tabs>
          <w:tab w:leader="none" w:pos="304"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the signatory thereto has read such covenant or condition;</w:t>
      </w:r>
    </w:p>
    <w:p>
      <w:pPr>
        <w:spacing w:after="0" w:line="225" w:lineRule="exact"/>
        <w:rPr>
          <w:rFonts w:ascii="Times New Roman" w:cs="Times New Roman" w:eastAsia="Times New Roman" w:hAnsi="Times New Roman"/>
          <w:sz w:val="18"/>
          <w:szCs w:val="18"/>
          <w:color w:val="auto"/>
        </w:rPr>
      </w:pPr>
    </w:p>
    <w:p>
      <w:pPr>
        <w:ind w:left="284" w:hanging="284"/>
        <w:spacing w:after="0"/>
        <w:tabs>
          <w:tab w:leader="none" w:pos="284"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brief statement as to the nature and scope of the examination or investigation upon which the statements or opinions contained therein are based;</w:t>
      </w:r>
    </w:p>
    <w:p>
      <w:pPr>
        <w:spacing w:after="0" w:line="225" w:lineRule="exact"/>
        <w:rPr>
          <w:rFonts w:ascii="Times New Roman" w:cs="Times New Roman" w:eastAsia="Times New Roman" w:hAnsi="Times New Roman"/>
          <w:sz w:val="18"/>
          <w:szCs w:val="18"/>
          <w:color w:val="auto"/>
        </w:rPr>
      </w:pPr>
    </w:p>
    <w:p>
      <w:pPr>
        <w:ind w:left="4" w:right="80" w:hanging="4"/>
        <w:spacing w:after="0" w:line="282" w:lineRule="auto"/>
        <w:tabs>
          <w:tab w:leader="none" w:pos="289"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in the opinion of such signatory, he, she or it has made such examination or investigation as is necessary to enable him, her or it to express an informed opinion as to whether or not such covenant or condition has been satisfied; and</w:t>
      </w:r>
    </w:p>
    <w:p>
      <w:pPr>
        <w:spacing w:after="0" w:line="161" w:lineRule="exact"/>
        <w:rPr>
          <w:rFonts w:ascii="Times New Roman" w:cs="Times New Roman" w:eastAsia="Times New Roman" w:hAnsi="Times New Roman"/>
          <w:sz w:val="18"/>
          <w:szCs w:val="18"/>
          <w:color w:val="auto"/>
        </w:rPr>
      </w:pPr>
    </w:p>
    <w:p>
      <w:pPr>
        <w:ind w:left="304" w:hanging="304"/>
        <w:spacing w:after="0"/>
        <w:tabs>
          <w:tab w:leader="none" w:pos="304"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as to whether, in the opinion of such signatory, such covenant or condition has been satisfied.</w:t>
      </w:r>
    </w:p>
    <w:p>
      <w:pPr>
        <w:spacing w:after="0" w:line="157"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86 -</w:t>
      </w:r>
    </w:p>
    <w:p>
      <w:pPr>
        <w:sectPr>
          <w:pgSz w:w="11900" w:h="16838" w:orient="portrait"/>
          <w:cols w:equalWidth="0" w:num="1">
            <w:col w:w="10964"/>
          </w:cols>
          <w:pgMar w:left="436" w:top="270" w:right="49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12.04. R</w:t>
      </w:r>
      <w:r>
        <w:rPr>
          <w:rFonts w:ascii="Times New Roman" w:cs="Times New Roman" w:eastAsia="Times New Roman" w:hAnsi="Times New Roman"/>
          <w:sz w:val="14"/>
          <w:szCs w:val="14"/>
          <w:b w:val="1"/>
          <w:bCs w:val="1"/>
          <w:color w:val="auto"/>
        </w:rPr>
        <w:t>ULES BY THE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RUSTEE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4"/>
          <w:szCs w:val="14"/>
          <w:b w:val="1"/>
          <w:bCs w:val="1"/>
          <w:color w:val="auto"/>
        </w:rPr>
        <w:t>THE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EGISTRAR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4"/>
          <w:szCs w:val="14"/>
          <w:b w:val="1"/>
          <w:bCs w:val="1"/>
          <w:color w:val="auto"/>
        </w:rPr>
        <w:t>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AYING</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GENT AND THE</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XCHANGE</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GENT</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The Trustee may make reasonable rules for action by or at a meeting of Holders. Each of the Registrar, the Paying Agent and the Exchange Agent may make reasonable rules and set reasonable requirements for its functions.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12.05. N</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ERSONAL</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IABILITY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IRECTORS</w:t>
      </w:r>
      <w:r>
        <w:rPr>
          <w:rFonts w:ascii="Times New Roman" w:cs="Times New Roman" w:eastAsia="Times New Roman" w:hAnsi="Times New Roman"/>
          <w:sz w:val="18"/>
          <w:szCs w:val="18"/>
          <w:b w:val="1"/>
          <w:bCs w:val="1"/>
          <w:color w:val="auto"/>
        </w:rPr>
        <w:t>, O</w:t>
      </w:r>
      <w:r>
        <w:rPr>
          <w:rFonts w:ascii="Times New Roman" w:cs="Times New Roman" w:eastAsia="Times New Roman" w:hAnsi="Times New Roman"/>
          <w:sz w:val="14"/>
          <w:szCs w:val="14"/>
          <w:b w:val="1"/>
          <w:bCs w:val="1"/>
          <w:color w:val="auto"/>
        </w:rPr>
        <w:t>FFICERS</w:t>
      </w:r>
      <w:r>
        <w:rPr>
          <w:rFonts w:ascii="Times New Roman" w:cs="Times New Roman" w:eastAsia="Times New Roman" w:hAnsi="Times New Roman"/>
          <w:sz w:val="18"/>
          <w:szCs w:val="18"/>
          <w:b w:val="1"/>
          <w:bCs w:val="1"/>
          <w:color w:val="auto"/>
        </w:rPr>
        <w:t>, E</w:t>
      </w:r>
      <w:r>
        <w:rPr>
          <w:rFonts w:ascii="Times New Roman" w:cs="Times New Roman" w:eastAsia="Times New Roman" w:hAnsi="Times New Roman"/>
          <w:sz w:val="14"/>
          <w:szCs w:val="14"/>
          <w:b w:val="1"/>
          <w:bCs w:val="1"/>
          <w:color w:val="auto"/>
        </w:rPr>
        <w:t>MPLOYEES AND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TOCKHOLDERS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No past, present or future director, officer, employee, incorporator or stockholder of the Company or any Guarantor, as such, will have any liability for any obligations of the Company or any Guarantor under this Indenture, the Notes or the Guarantees or for any claim based on, in respect of, or by reason of, such obligations or their creation. By accepting any Note, each Holder waives and releases all such liability. Such waiver and release are part of the consideration for the issuance of the Notes.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12.06. G</w:t>
      </w:r>
      <w:r>
        <w:rPr>
          <w:rFonts w:ascii="Times New Roman" w:cs="Times New Roman" w:eastAsia="Times New Roman" w:hAnsi="Times New Roman"/>
          <w:sz w:val="14"/>
          <w:szCs w:val="14"/>
          <w:b w:val="1"/>
          <w:bCs w:val="1"/>
          <w:color w:val="auto"/>
        </w:rPr>
        <w:t>OVERNING</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AW</w:t>
      </w:r>
      <w:r>
        <w:rPr>
          <w:rFonts w:ascii="Times New Roman" w:cs="Times New Roman" w:eastAsia="Times New Roman" w:hAnsi="Times New Roman"/>
          <w:sz w:val="18"/>
          <w:szCs w:val="18"/>
          <w:b w:val="1"/>
          <w:bCs w:val="1"/>
          <w:color w:val="auto"/>
        </w:rPr>
        <w:t>; W</w:t>
      </w:r>
      <w:r>
        <w:rPr>
          <w:rFonts w:ascii="Times New Roman" w:cs="Times New Roman" w:eastAsia="Times New Roman" w:hAnsi="Times New Roman"/>
          <w:sz w:val="14"/>
          <w:szCs w:val="14"/>
          <w:b w:val="1"/>
          <w:bCs w:val="1"/>
          <w:color w:val="auto"/>
        </w:rPr>
        <w:t>AIVER OF</w:t>
      </w:r>
      <w:r>
        <w:rPr>
          <w:rFonts w:ascii="Times New Roman" w:cs="Times New Roman" w:eastAsia="Times New Roman" w:hAnsi="Times New Roman"/>
          <w:sz w:val="18"/>
          <w:szCs w:val="18"/>
          <w:b w:val="1"/>
          <w:bCs w:val="1"/>
          <w:color w:val="auto"/>
        </w:rPr>
        <w:t xml:space="preserve"> J</w:t>
      </w:r>
      <w:r>
        <w:rPr>
          <w:rFonts w:ascii="Times New Roman" w:cs="Times New Roman" w:eastAsia="Times New Roman" w:hAnsi="Times New Roman"/>
          <w:sz w:val="14"/>
          <w:szCs w:val="14"/>
          <w:b w:val="1"/>
          <w:bCs w:val="1"/>
          <w:color w:val="auto"/>
        </w:rPr>
        <w:t>URY</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RIAL</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right="180" w:firstLine="440"/>
        <w:spacing w:after="0" w:line="256" w:lineRule="auto"/>
        <w:rPr>
          <w:sz w:val="20"/>
          <w:szCs w:val="20"/>
          <w:color w:val="auto"/>
        </w:rPr>
      </w:pPr>
      <w:r>
        <w:rPr>
          <w:rFonts w:ascii="Times New Roman" w:cs="Times New Roman" w:eastAsia="Times New Roman" w:hAnsi="Times New Roman"/>
          <w:sz w:val="18"/>
          <w:szCs w:val="18"/>
          <w:color w:val="auto"/>
        </w:rPr>
        <w:t>THIS INDENTURE, THE GUARANTEES AND THE NOTES, AND ANY CLAIM, CONTROVERSY OR DISPUTE ARISING UNDER OR RELATED TO THIS INDENTURE, THE GUARANTEES OR THE NOTES, WILL BE GOVERNED BY AND CONSTRUED IN ACCORDANCE WITH THE LAWS OF THE STATE OF NEW YORK. EACH OF THE COMPANY, THE GUARANTORS AND THE TRUSTEE IRREVOCABLY WAIVES, TO THE FULLEST EXTENT PERMITTED BY APPLICABLE LAW, ANY AND ALL RIGHT TO TRIAL BY JURY IN ANY LEGAL PROCEEDING ARISING OUT OF OR RELATING TO THIS INDENTURE, THE NOTES, THE GUARANTEES OR THE TRANSACTIONS CONTEMPLATED BY THIS INDENTURE, THE NOTES OR THE GUARANTEES.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12.07. S</w:t>
      </w:r>
      <w:r>
        <w:rPr>
          <w:rFonts w:ascii="Times New Roman" w:cs="Times New Roman" w:eastAsia="Times New Roman" w:hAnsi="Times New Roman"/>
          <w:sz w:val="14"/>
          <w:szCs w:val="14"/>
          <w:b w:val="1"/>
          <w:bCs w:val="1"/>
          <w:color w:val="auto"/>
        </w:rPr>
        <w:t>UBMISSION TO</w:t>
      </w:r>
      <w:r>
        <w:rPr>
          <w:rFonts w:ascii="Times New Roman" w:cs="Times New Roman" w:eastAsia="Times New Roman" w:hAnsi="Times New Roman"/>
          <w:sz w:val="18"/>
          <w:szCs w:val="18"/>
          <w:b w:val="1"/>
          <w:bCs w:val="1"/>
          <w:color w:val="auto"/>
        </w:rPr>
        <w:t xml:space="preserve"> J</w:t>
      </w:r>
      <w:r>
        <w:rPr>
          <w:rFonts w:ascii="Times New Roman" w:cs="Times New Roman" w:eastAsia="Times New Roman" w:hAnsi="Times New Roman"/>
          <w:sz w:val="14"/>
          <w:szCs w:val="14"/>
          <w:b w:val="1"/>
          <w:bCs w:val="1"/>
          <w:color w:val="auto"/>
        </w:rPr>
        <w:t>URISDICTION</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right="120" w:firstLine="440"/>
        <w:spacing w:after="0" w:line="254" w:lineRule="auto"/>
        <w:rPr>
          <w:sz w:val="20"/>
          <w:szCs w:val="20"/>
          <w:color w:val="auto"/>
        </w:rPr>
      </w:pPr>
      <w:r>
        <w:rPr>
          <w:rFonts w:ascii="Times New Roman" w:cs="Times New Roman" w:eastAsia="Times New Roman" w:hAnsi="Times New Roman"/>
          <w:sz w:val="18"/>
          <w:szCs w:val="18"/>
          <w:color w:val="auto"/>
        </w:rPr>
        <w:t>Any legal suit, action or proceeding arising out of or based upon this Indenture or the transactions contemplated by this Indenture may be instituted in the federal courts of the United States of America located in the City of New York or the courts of the State of New York, in each case located in the City of New York (collectively, the “</w:t>
      </w:r>
      <w:r>
        <w:rPr>
          <w:rFonts w:ascii="Times New Roman" w:cs="Times New Roman" w:eastAsia="Times New Roman" w:hAnsi="Times New Roman"/>
          <w:sz w:val="18"/>
          <w:szCs w:val="18"/>
          <w:b w:val="1"/>
          <w:bCs w:val="1"/>
          <w:color w:val="auto"/>
        </w:rPr>
        <w:t>Specified Courts</w:t>
      </w:r>
      <w:r>
        <w:rPr>
          <w:rFonts w:ascii="Times New Roman" w:cs="Times New Roman" w:eastAsia="Times New Roman" w:hAnsi="Times New Roman"/>
          <w:sz w:val="18"/>
          <w:szCs w:val="18"/>
          <w:color w:val="auto"/>
        </w:rPr>
        <w:t xml:space="preserve">”), and each party irrevocably submits to the non-exclusive jurisdiction of such courts in any such suit, action or proceeding. Service of any process, summons, notice or document by mail (to the extent allowed under any applicable statute or rule of court) to such party’s address set forth in </w:t>
      </w:r>
      <w:r>
        <w:rPr>
          <w:rFonts w:ascii="Times New Roman" w:cs="Times New Roman" w:eastAsia="Times New Roman" w:hAnsi="Times New Roman"/>
          <w:sz w:val="18"/>
          <w:szCs w:val="18"/>
          <w:b w:val="1"/>
          <w:bCs w:val="1"/>
          <w:color w:val="auto"/>
        </w:rPr>
        <w:t>Section 12.01</w:t>
      </w:r>
      <w:r>
        <w:rPr>
          <w:rFonts w:ascii="Times New Roman" w:cs="Times New Roman" w:eastAsia="Times New Roman" w:hAnsi="Times New Roman"/>
          <w:sz w:val="18"/>
          <w:szCs w:val="18"/>
          <w:color w:val="auto"/>
        </w:rPr>
        <w:t xml:space="preserve"> will be effective service of process for any such suit, action or proceeding brought in any such court. Each of the Company, the Guarantors, the Trustee and each Holder (by its acceptance of any Note) irrevocably and unconditionally waives any objection to the laying of venue of any suit, action or other proceeding in the Specified Courts and irrevocably and unconditionally waives and agrees not to plead or claim any such suit, action or other proceeding has been brought in an inconvenient forum.</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- 87 -</w:t>
      </w:r>
    </w:p>
    <w:p>
      <w:pPr>
        <w:sectPr>
          <w:pgSz w:w="11900" w:h="16838" w:orient="portrait"/>
          <w:cols w:equalWidth="0" w:num="1">
            <w:col w:w="11000"/>
          </w:cols>
          <w:pgMar w:left="440" w:top="266" w:right="4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12.08. N</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DVERSE</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NTERPRETATION OF</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THER</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Neither this Indenture nor the Notes may be used to interpret any other indenture, note, loan or debt agreement of the Company or its Subsidiaries or of any other Person, and no such indenture, note, loan or debt agreement may be used to interpret this Indenture or the Notes.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12.09. S</w:t>
      </w:r>
      <w:r>
        <w:rPr>
          <w:rFonts w:ascii="Times New Roman" w:cs="Times New Roman" w:eastAsia="Times New Roman" w:hAnsi="Times New Roman"/>
          <w:sz w:val="14"/>
          <w:szCs w:val="14"/>
          <w:b w:val="1"/>
          <w:bCs w:val="1"/>
          <w:color w:val="auto"/>
        </w:rPr>
        <w:t>UCCESSORS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All agreements of the Company in this Indenture and the Notes will bind its successors. All agreements of the Trustee in this Indenture will bind its successors.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12.10. F</w:t>
      </w:r>
      <w:r>
        <w:rPr>
          <w:rFonts w:ascii="Times New Roman" w:cs="Times New Roman" w:eastAsia="Times New Roman" w:hAnsi="Times New Roman"/>
          <w:sz w:val="14"/>
          <w:szCs w:val="14"/>
          <w:b w:val="1"/>
          <w:bCs w:val="1"/>
          <w:color w:val="auto"/>
        </w:rPr>
        <w:t>ORCE</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4"/>
          <w:szCs w:val="14"/>
          <w:b w:val="1"/>
          <w:bCs w:val="1"/>
          <w:color w:val="auto"/>
        </w:rPr>
        <w:t>AJEURE</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The Trustee and each Note Agent will not incur any liability for not performing any act or fulfilling any duty, obligation or responsibility under this Indenture or the Notes by reason of any occurrence beyond its control (including any act or provision of any present or future law or regulation or governmental authority, act of God or war, civil unrest, local or national disturbance or disaster, act of terrorism or unavailability of the Federal Reserve Bank wire or facsimile or other wire or communication facility).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12.11. U.S.A. PATRIOT Act.</w:t>
      </w:r>
    </w:p>
    <w:p>
      <w:pPr>
        <w:spacing w:after="0" w:line="121"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The Company acknowledges that, in accordance with Section 326 of the U.S.A. PATRIOT Act, the Trustee, like all financial institutions, in order to help fight the funding of terrorism and money laundering, is required to obtain, verify and record information that identifies each person or legal entity that establishes a relationship or opens an account with the Trustee. The Company agrees to provide the Trustee with such information as it may request to enable the Trustee to comply with the U.S.A. PATRIOT Act.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12.12. C</w:t>
      </w:r>
      <w:r>
        <w:rPr>
          <w:rFonts w:ascii="Times New Roman" w:cs="Times New Roman" w:eastAsia="Times New Roman" w:hAnsi="Times New Roman"/>
          <w:sz w:val="14"/>
          <w:szCs w:val="14"/>
          <w:b w:val="1"/>
          <w:bCs w:val="1"/>
          <w:color w:val="auto"/>
        </w:rPr>
        <w:t>ALCULATIONS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Except as otherwise provided in this Indenture, the Company will be responsible for making all calculations called for under this Indenture or the Notes, including determinations of the Last Reported Sale Price, the Daily Exchange Value, the Daily Cash Amount, the Daily Share Amount, the Daily VWAP, the Trading Price, accrued interest (including Additional Interest or Special Interest) on the Notes, the Redemption Price, the Fundamental Change Repurchase Price and the Exchange Rate.</w:t>
      </w:r>
    </w:p>
    <w:p>
      <w:pPr>
        <w:spacing w:after="0" w:line="180"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The Company will make all calculations in good faith, and, absent manifest error, its calculations will be final and binding on all Holders. The Company will provide a schedule of its calculations to the Trustee and the Exchange Agent, and each of the Trustee and the Exchange Agent may rely conclusively on the accuracy of the Company’s calculations without independent verification. The Trustee will promptly forward a copy of each such schedule to a Holder upon its written request therefor. For the avoidance of doubt, the Trustee will not be obligated to make or confirm any calculations or other amounts called for under this Indenture or the Notes.</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- 88 -</w:t>
      </w:r>
    </w:p>
    <w:p>
      <w:pPr>
        <w:sectPr>
          <w:pgSz w:w="11900" w:h="16838" w:orient="portrait"/>
          <w:cols w:equalWidth="0" w:num="1">
            <w:col w:w="10940"/>
          </w:cols>
          <w:pgMar w:left="440" w:top="266" w:right="51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12.13. S</w:t>
      </w:r>
      <w:r>
        <w:rPr>
          <w:rFonts w:ascii="Times New Roman" w:cs="Times New Roman" w:eastAsia="Times New Roman" w:hAnsi="Times New Roman"/>
          <w:sz w:val="14"/>
          <w:szCs w:val="14"/>
          <w:b w:val="1"/>
          <w:bCs w:val="1"/>
          <w:color w:val="auto"/>
        </w:rPr>
        <w:t>EVERABILITY</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If any provision of this Indenture or the Notes is invalid, illegal or unenforceable, then the validity, legality and enforceability of the remaining provisions of this Indenture or the Notes will not in any way be affected or impaired thereby.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12.14. C</w:t>
      </w:r>
      <w:r>
        <w:rPr>
          <w:rFonts w:ascii="Times New Roman" w:cs="Times New Roman" w:eastAsia="Times New Roman" w:hAnsi="Times New Roman"/>
          <w:sz w:val="14"/>
          <w:szCs w:val="14"/>
          <w:b w:val="1"/>
          <w:bCs w:val="1"/>
          <w:color w:val="auto"/>
        </w:rPr>
        <w:t>OUNTERPARTS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The parties may sign any number of copies of this Indenture. Each signed copy will be an original, and all of them together represent the same agreement. Delivery of an executed counterpart of this Indenture by facsimile, electronically in portable document format or in any other format will be effective as delivery of a manually executed counterpart. All notices, approvals, consents, requests and any communications hereunder must be in writing (provided that any communication sent to Trustee hereunder that is required to be signed must be in the form of a document that is signed manually or by way of a digital signature provided by DocuSign (or such other digital signature provider as specified in writing to the Trustee by the authorized representative)), and in English. The Company agrees to assume all risks arising out of the use of using digital signatures and electronic methods to submit communications to the Trustee, including without limitation the risk of the Trustee acting on unauthorized instructions, and the risk of interception and misuse by third parties.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12.15. T</w:t>
      </w:r>
      <w:r>
        <w:rPr>
          <w:rFonts w:ascii="Times New Roman" w:cs="Times New Roman" w:eastAsia="Times New Roman" w:hAnsi="Times New Roman"/>
          <w:sz w:val="14"/>
          <w:szCs w:val="14"/>
          <w:b w:val="1"/>
          <w:bCs w:val="1"/>
          <w:color w:val="auto"/>
        </w:rPr>
        <w:t>ABLE OF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ONTENTS</w:t>
      </w:r>
      <w:r>
        <w:rPr>
          <w:rFonts w:ascii="Times New Roman" w:cs="Times New Roman" w:eastAsia="Times New Roman" w:hAnsi="Times New Roman"/>
          <w:sz w:val="18"/>
          <w:szCs w:val="18"/>
          <w:b w:val="1"/>
          <w:bCs w:val="1"/>
          <w:color w:val="auto"/>
        </w:rPr>
        <w:t>, H</w:t>
      </w:r>
      <w:r>
        <w:rPr>
          <w:rFonts w:ascii="Times New Roman" w:cs="Times New Roman" w:eastAsia="Times New Roman" w:hAnsi="Times New Roman"/>
          <w:sz w:val="14"/>
          <w:szCs w:val="14"/>
          <w:b w:val="1"/>
          <w:bCs w:val="1"/>
          <w:color w:val="auto"/>
        </w:rPr>
        <w:t>EADINGS</w:t>
      </w:r>
      <w:r>
        <w:rPr>
          <w:rFonts w:ascii="Times New Roman" w:cs="Times New Roman" w:eastAsia="Times New Roman" w:hAnsi="Times New Roman"/>
          <w:sz w:val="18"/>
          <w:szCs w:val="18"/>
          <w:b w:val="1"/>
          <w:bCs w:val="1"/>
          <w:color w:val="auto"/>
        </w:rPr>
        <w:t>, E</w:t>
      </w:r>
      <w:r>
        <w:rPr>
          <w:rFonts w:ascii="Times New Roman" w:cs="Times New Roman" w:eastAsia="Times New Roman" w:hAnsi="Times New Roman"/>
          <w:sz w:val="14"/>
          <w:szCs w:val="14"/>
          <w:b w:val="1"/>
          <w:bCs w:val="1"/>
          <w:color w:val="auto"/>
        </w:rPr>
        <w:t>TC</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The table of contents and the headings of the Articles and Sections of this Indenture have been inserted for convenience of reference only, are not to be considered a part of this Indenture and will in no way modify or restrict any of the terms or provisions of this Indenture.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12.16. W</w:t>
      </w:r>
      <w:r>
        <w:rPr>
          <w:rFonts w:ascii="Times New Roman" w:cs="Times New Roman" w:eastAsia="Times New Roman" w:hAnsi="Times New Roman"/>
          <w:sz w:val="14"/>
          <w:szCs w:val="14"/>
          <w:b w:val="1"/>
          <w:bCs w:val="1"/>
          <w:color w:val="auto"/>
        </w:rPr>
        <w:t>ITHHOLDING</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AXES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Each Holder of a Note agrees, and each beneficial owner of an interest in a Global Note, by its acquisition of such interest, is deemed to agree, that if the Company, the Guarantors or other applicable withholding agent (including the Trustee) pays withholding taxes or backup withholding on behalf of such Holder or beneficial owner as a result of an adjustment or the non-occurrence of an adjustment to the Exchange Rate, then the Company, the Guarantors or such withholding agent, as applicable, may, at its option, withhold such payments from or set off such payments against payments of cash or the delivery of other Exchange Consideration on such Note, any payments on the Common Stock or sales proceeds received by, or other funds or assets of, such Holder or the beneficial owner of such Note.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The Remainder of This Page Intentionally Left Blank; Signature Page Follows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- 89 -</w:t>
      </w:r>
    </w:p>
    <w:p>
      <w:pPr>
        <w:sectPr>
          <w:pgSz w:w="11900" w:h="16838" w:orient="portrait"/>
          <w:cols w:equalWidth="0" w:num="1">
            <w:col w:w="11000"/>
          </w:cols>
          <w:pgMar w:left="440" w:top="266" w:right="459" w:bottom="1440" w:gutter="0" w:footer="0" w:header="0"/>
        </w:sectPr>
      </w:pPr>
    </w:p>
    <w:bookmarkStart w:id="102" w:name="page103"/>
    <w:bookmarkEnd w:id="102"/>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caused the Indenture to be duly executed as of the date first written above.</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PECTRUM</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RANDS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as Issuer</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Ehsan Zargar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Ehsan Zargar</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 Executive Vice President,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General Counsel &amp; Corporate Secretary</w:t>
      </w:r>
    </w:p>
    <w:p>
      <w:pPr>
        <w:spacing w:after="0" w:line="20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PECTRUM</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RANDS</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4"/>
          <w:szCs w:val="14"/>
          <w:b w:val="1"/>
          <w:bCs w:val="1"/>
          <w:color w:val="auto"/>
        </w:rPr>
        <w:t>OLDINGS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Joanne Chomiak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Joanne Chomiak</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 Senior Vice President – Tax</w:t>
      </w:r>
    </w:p>
    <w:p>
      <w:pPr>
        <w:spacing w:after="0" w:line="9"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  and Treasurer</w:t>
      </w:r>
    </w:p>
    <w:p>
      <w:pPr>
        <w:spacing w:after="0" w:line="2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PPLICA</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4"/>
          <w:szCs w:val="14"/>
          <w:b w:val="1"/>
          <w:bCs w:val="1"/>
          <w:color w:val="auto"/>
        </w:rPr>
        <w:t>EXICO</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4"/>
          <w:szCs w:val="14"/>
          <w:b w:val="1"/>
          <w:bCs w:val="1"/>
          <w:color w:val="auto"/>
        </w:rPr>
        <w:t>OLDINGS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Joanne Chomiak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Joanne Chomiak</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LASKA</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4"/>
          <w:szCs w:val="14"/>
          <w:b w:val="1"/>
          <w:bCs w:val="1"/>
          <w:color w:val="auto"/>
        </w:rPr>
        <w:t>ERGER</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CQUISITION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ORP</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Joanne Chomiak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Joanne Chomiak</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 Treasurer</w:t>
      </w:r>
    </w:p>
    <w:p>
      <w:pPr>
        <w:spacing w:after="0" w:line="20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4"/>
          <w:szCs w:val="14"/>
          <w:b w:val="1"/>
          <w:bCs w:val="1"/>
          <w:color w:val="auto"/>
        </w:rPr>
        <w:t>LO</w:t>
      </w: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4"/>
          <w:szCs w:val="14"/>
          <w:b w:val="1"/>
          <w:bCs w:val="1"/>
          <w:color w:val="auto"/>
        </w:rPr>
        <w:t>ISH</w:t>
      </w:r>
      <w:r>
        <w:rPr>
          <w:rFonts w:ascii="Times New Roman" w:cs="Times New Roman" w:eastAsia="Times New Roman" w:hAnsi="Times New Roman"/>
          <w:sz w:val="18"/>
          <w:szCs w:val="18"/>
          <w:b w:val="1"/>
          <w:bCs w:val="1"/>
          <w:color w:val="auto"/>
        </w:rPr>
        <w:t xml:space="preserve"> LLC</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Joanne Chomiak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Joanne Chomiak</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 Vice President and Treasurer</w:t>
      </w:r>
    </w:p>
    <w:p>
      <w:pPr>
        <w:spacing w:after="0" w:line="13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[Signature Page to Indenture]</w:t>
      </w:r>
    </w:p>
    <w:p>
      <w:pPr>
        <w:sectPr>
          <w:pgSz w:w="11900" w:h="16838" w:orient="portrait"/>
          <w:cols w:equalWidth="0" w:num="1">
            <w:col w:w="9860"/>
          </w:cols>
          <w:pgMar w:left="880" w:top="266" w:right="1159" w:bottom="1440" w:gutter="0" w:footer="0" w:header="0"/>
        </w:sectPr>
      </w:pPr>
    </w:p>
    <w:bookmarkStart w:id="103" w:name="page104"/>
    <w:bookmarkEnd w:id="103"/>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ROV H</w:t>
      </w:r>
      <w:r>
        <w:rPr>
          <w:rFonts w:ascii="Times New Roman" w:cs="Times New Roman" w:eastAsia="Times New Roman" w:hAnsi="Times New Roman"/>
          <w:sz w:val="14"/>
          <w:szCs w:val="14"/>
          <w:b w:val="1"/>
          <w:bCs w:val="1"/>
          <w:color w:val="auto"/>
        </w:rPr>
        <w:t>OLDING</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Joanne Chomiak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Joanne Chomiak</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Title: Senior Vice President – Tax and Treasurer</w:t>
      </w:r>
    </w:p>
    <w:p>
      <w:pPr>
        <w:spacing w:after="0" w:line="21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ROV I</w:t>
      </w:r>
      <w:r>
        <w:rPr>
          <w:rFonts w:ascii="Times New Roman" w:cs="Times New Roman" w:eastAsia="Times New Roman" w:hAnsi="Times New Roman"/>
          <w:sz w:val="14"/>
          <w:szCs w:val="14"/>
          <w:b w:val="1"/>
          <w:bCs w:val="1"/>
          <w:color w:val="auto"/>
        </w:rPr>
        <w:t>NTERNATIONAL</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4"/>
          <w:szCs w:val="14"/>
          <w:b w:val="1"/>
          <w:bCs w:val="1"/>
          <w:color w:val="auto"/>
        </w:rPr>
        <w:t>OLDINGS</w:t>
      </w:r>
      <w:r>
        <w:rPr>
          <w:rFonts w:ascii="Times New Roman" w:cs="Times New Roman" w:eastAsia="Times New Roman" w:hAnsi="Times New Roman"/>
          <w:sz w:val="18"/>
          <w:szCs w:val="18"/>
          <w:b w:val="1"/>
          <w:bCs w:val="1"/>
          <w:color w:val="auto"/>
        </w:rPr>
        <w:t xml:space="preserve"> LLC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Joanne Chomiak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Joanne Chomiak</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Treasurer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ALIX</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NIMAL</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4"/>
          <w:szCs w:val="14"/>
          <w:b w:val="1"/>
          <w:bCs w:val="1"/>
          <w:color w:val="auto"/>
        </w:rPr>
        <w:t>EALTH</w:t>
      </w:r>
      <w:r>
        <w:rPr>
          <w:rFonts w:ascii="Times New Roman" w:cs="Times New Roman" w:eastAsia="Times New Roman" w:hAnsi="Times New Roman"/>
          <w:sz w:val="18"/>
          <w:szCs w:val="18"/>
          <w:b w:val="1"/>
          <w:bCs w:val="1"/>
          <w:color w:val="auto"/>
        </w:rPr>
        <w:t>, LLC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Joanne Chomiak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Joanne Chomiak</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 and Treasurer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CHULTZ</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OMPANY</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Joanne Chomiak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Joanne Chomiak</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HASER</w:t>
      </w:r>
      <w:r>
        <w:rPr>
          <w:rFonts w:ascii="Times New Roman" w:cs="Times New Roman" w:eastAsia="Times New Roman" w:hAnsi="Times New Roman"/>
          <w:sz w:val="18"/>
          <w:szCs w:val="18"/>
          <w:b w:val="1"/>
          <w:bCs w:val="1"/>
          <w:color w:val="auto"/>
        </w:rPr>
        <w:t xml:space="preserve"> LLC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Joanne Chomiak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Joanne Chomiak</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Treasurer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PECTRUM</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RANDS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ET</w:t>
      </w:r>
      <w:r>
        <w:rPr>
          <w:rFonts w:ascii="Times New Roman" w:cs="Times New Roman" w:eastAsia="Times New Roman" w:hAnsi="Times New Roman"/>
          <w:sz w:val="18"/>
          <w:szCs w:val="18"/>
          <w:b w:val="1"/>
          <w:bCs w:val="1"/>
          <w:color w:val="auto"/>
        </w:rPr>
        <w:t xml:space="preserve"> LLC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Joanne Chomiak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Joanne Chomiak</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 and Treasurer</w:t>
      </w:r>
    </w:p>
    <w:p>
      <w:pPr>
        <w:spacing w:after="0" w:line="13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[Signature Page to Indenture]</w:t>
      </w:r>
    </w:p>
    <w:p>
      <w:pPr>
        <w:sectPr>
          <w:pgSz w:w="11900" w:h="16838" w:orient="portrait"/>
          <w:cols w:equalWidth="0" w:num="1">
            <w:col w:w="9440"/>
          </w:cols>
          <w:pgMar w:left="1440" w:top="266" w:right="1019" w:bottom="1440" w:gutter="0" w:footer="0" w:header="0"/>
        </w:sectPr>
      </w:pPr>
    </w:p>
    <w:bookmarkStart w:id="104" w:name="page105"/>
    <w:bookmarkEnd w:id="104"/>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w:t>
      </w:r>
      <w:r>
        <w:rPr>
          <w:rFonts w:ascii="Times New Roman" w:cs="Times New Roman" w:eastAsia="Times New Roman" w:hAnsi="Times New Roman"/>
          <w:sz w:val="14"/>
          <w:szCs w:val="14"/>
          <w:b w:val="1"/>
          <w:bCs w:val="1"/>
          <w:color w:val="auto"/>
        </w:rPr>
        <w:t>PECTRUM</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RANDS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ET</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4"/>
          <w:szCs w:val="14"/>
          <w:b w:val="1"/>
          <w:bCs w:val="1"/>
          <w:color w:val="auto"/>
        </w:rPr>
        <w:t>ROUP</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Joanne Chomiak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Joanne Chomiak</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Title: Vice President and Treasurer</w:t>
      </w:r>
    </w:p>
    <w:p>
      <w:pPr>
        <w:spacing w:after="0" w:line="21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U</w:t>
      </w:r>
      <w:r>
        <w:rPr>
          <w:rFonts w:ascii="Times New Roman" w:cs="Times New Roman" w:eastAsia="Times New Roman" w:hAnsi="Times New Roman"/>
          <w:sz w:val="14"/>
          <w:szCs w:val="14"/>
          <w:b w:val="1"/>
          <w:bCs w:val="1"/>
          <w:color w:val="auto"/>
        </w:rPr>
        <w:t>NITED</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NDUSTRIES</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ORPORATION</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Joanne Chomiak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Joanne Chomiak</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Title: Vice President and Treasurer</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Indenture]</w:t>
      </w:r>
    </w:p>
    <w:p>
      <w:pPr>
        <w:sectPr>
          <w:pgSz w:w="11900" w:h="16838" w:orient="portrait"/>
          <w:cols w:equalWidth="0" w:num="1">
            <w:col w:w="9019"/>
          </w:cols>
          <w:pgMar w:left="1440" w:top="266" w:right="1440" w:bottom="1440" w:gutter="0" w:footer="0" w:header="0"/>
        </w:sectPr>
      </w:pPr>
    </w:p>
    <w:bookmarkStart w:id="105" w:name="page106"/>
    <w:bookmarkEnd w:id="105"/>
    <w:p>
      <w:pPr>
        <w:ind w:right="40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to this Indenture have caused this Indenture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duly executed as of the date first written above.</w:t>
      </w:r>
    </w:p>
    <w:p>
      <w:pPr>
        <w:spacing w:after="0" w:line="18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U.S. B</w:t>
      </w:r>
      <w:r>
        <w:rPr>
          <w:rFonts w:ascii="Times New Roman" w:cs="Times New Roman" w:eastAsia="Times New Roman" w:hAnsi="Times New Roman"/>
          <w:sz w:val="14"/>
          <w:szCs w:val="14"/>
          <w:color w:val="auto"/>
        </w:rPr>
        <w:t>ANK</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4"/>
          <w:szCs w:val="14"/>
          <w:color w:val="auto"/>
        </w:rPr>
        <w:t>RUST</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OMPANY</w:t>
      </w:r>
      <w:r>
        <w:rPr>
          <w:rFonts w:ascii="Times New Roman" w:cs="Times New Roman" w:eastAsia="Times New Roman" w:hAnsi="Times New Roman"/>
          <w:sz w:val="18"/>
          <w:szCs w:val="18"/>
          <w:color w:val="auto"/>
        </w:rPr>
        <w:t>, N</w:t>
      </w:r>
      <w:r>
        <w:rPr>
          <w:rFonts w:ascii="Times New Roman" w:cs="Times New Roman" w:eastAsia="Times New Roman" w:hAnsi="Times New Roman"/>
          <w:sz w:val="14"/>
          <w:szCs w:val="14"/>
          <w:color w:val="auto"/>
        </w:rPr>
        <w:t>ATIONAL</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SSOCIATION</w:t>
      </w:r>
      <w:r>
        <w:rPr>
          <w:rFonts w:ascii="Times New Roman" w:cs="Times New Roman" w:eastAsia="Times New Roman" w:hAnsi="Times New Roman"/>
          <w:sz w:val="18"/>
          <w:szCs w:val="18"/>
          <w:color w:val="auto"/>
        </w:rPr>
        <w:t>, as</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Trustee</w:t>
      </w:r>
    </w:p>
    <w:p>
      <w:pPr>
        <w:spacing w:after="0" w:line="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Wally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Wally Jones</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[Signature Page to Indenture]</w:t>
      </w:r>
    </w:p>
    <w:p>
      <w:pPr>
        <w:sectPr>
          <w:pgSz w:w="11900" w:h="16838" w:orient="portrait"/>
          <w:cols w:equalWidth="0" w:num="1">
            <w:col w:w="10920"/>
          </w:cols>
          <w:pgMar w:left="440" w:top="266" w:right="539" w:bottom="1440" w:gutter="0" w:footer="0" w:header="0"/>
        </w:sectPr>
      </w:pPr>
    </w:p>
    <w:bookmarkStart w:id="106" w:name="page107"/>
    <w:bookmarkEnd w:id="106"/>
    <w:tbl>
      <w:tblPr>
        <w:tblLayout w:type="fixed"/>
        <w:tblInd w:w="4" w:type="dxa"/>
        <w:tblCellMar>
          <w:top w:w="0" w:type="dxa"/>
          <w:left w:w="0" w:type="dxa"/>
          <w:bottom w:w="0" w:type="dxa"/>
          <w:right w:w="0" w:type="dxa"/>
        </w:tblCellMar>
      </w:tblPr>
      <w:tr>
        <w:trPr>
          <w:trHeight w:val="238"/>
        </w:trPr>
        <w:tc>
          <w:tcPr>
            <w:tcW w:w="100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800" w:type="dxa"/>
            <w:vAlign w:val="bottom"/>
          </w:tcPr>
          <w:p>
            <w:pPr>
              <w:ind w:left="1840"/>
              <w:spacing w:after="0"/>
              <w:rPr>
                <w:sz w:val="20"/>
                <w:szCs w:val="20"/>
                <w:color w:val="auto"/>
              </w:rPr>
            </w:pPr>
            <w:r>
              <w:rPr>
                <w:rFonts w:ascii="Times New Roman" w:cs="Times New Roman" w:eastAsia="Times New Roman" w:hAnsi="Times New Roman"/>
                <w:sz w:val="18"/>
                <w:szCs w:val="18"/>
                <w:b w:val="1"/>
                <w:bCs w:val="1"/>
                <w:color w:val="auto"/>
                <w:w w:val="99"/>
              </w:rPr>
              <w:t>EXHIBIT A</w:t>
            </w:r>
          </w:p>
        </w:tc>
      </w:tr>
      <w:tr>
        <w:trPr>
          <w:trHeight w:val="392"/>
        </w:trPr>
        <w:tc>
          <w:tcPr>
            <w:tcW w:w="10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FORM OF NOTE</w:t>
            </w:r>
          </w:p>
        </w:tc>
        <w:tc>
          <w:tcPr>
            <w:tcW w:w="206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453"/>
        </w:trPr>
        <w:tc>
          <w:tcPr>
            <w:tcW w:w="1000" w:type="dxa"/>
            <w:vAlign w:val="bottom"/>
          </w:tcPr>
          <w:p>
            <w:pPr>
              <w:spacing w:after="0"/>
              <w:rPr>
                <w:sz w:val="24"/>
                <w:szCs w:val="24"/>
                <w:color w:val="auto"/>
              </w:rPr>
            </w:pPr>
          </w:p>
        </w:tc>
        <w:tc>
          <w:tcPr>
            <w:tcW w:w="7220" w:type="dxa"/>
            <w:vAlign w:val="bottom"/>
            <w:gridSpan w:val="3"/>
          </w:tcPr>
          <w:p>
            <w:pPr>
              <w:jc w:val="center"/>
              <w:ind w:left="169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Insert Global Note Legend, if applicable</w:t>
            </w:r>
            <w:r>
              <w:rPr>
                <w:rFonts w:ascii="Times New Roman" w:cs="Times New Roman" w:eastAsia="Times New Roman" w:hAnsi="Times New Roman"/>
                <w:sz w:val="18"/>
                <w:szCs w:val="18"/>
                <w:color w:val="auto"/>
                <w:w w:val="99"/>
              </w:rPr>
              <w:t>]</w:t>
            </w:r>
          </w:p>
        </w:tc>
        <w:tc>
          <w:tcPr>
            <w:tcW w:w="2800" w:type="dxa"/>
            <w:vAlign w:val="bottom"/>
          </w:tcPr>
          <w:p>
            <w:pPr>
              <w:spacing w:after="0"/>
              <w:rPr>
                <w:sz w:val="24"/>
                <w:szCs w:val="24"/>
                <w:color w:val="auto"/>
              </w:rPr>
            </w:pPr>
          </w:p>
        </w:tc>
      </w:tr>
      <w:tr>
        <w:trPr>
          <w:trHeight w:val="432"/>
        </w:trPr>
        <w:tc>
          <w:tcPr>
            <w:tcW w:w="1000" w:type="dxa"/>
            <w:vAlign w:val="bottom"/>
          </w:tcPr>
          <w:p>
            <w:pPr>
              <w:spacing w:after="0"/>
              <w:rPr>
                <w:sz w:val="24"/>
                <w:szCs w:val="24"/>
                <w:color w:val="auto"/>
              </w:rPr>
            </w:pPr>
          </w:p>
        </w:tc>
        <w:tc>
          <w:tcPr>
            <w:tcW w:w="7220" w:type="dxa"/>
            <w:vAlign w:val="bottom"/>
            <w:gridSpan w:val="3"/>
          </w:tcPr>
          <w:p>
            <w:pPr>
              <w:jc w:val="center"/>
              <w:ind w:left="171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Insert Restricted Note Legend, if applicable</w:t>
            </w:r>
            <w:r>
              <w:rPr>
                <w:rFonts w:ascii="Times New Roman" w:cs="Times New Roman" w:eastAsia="Times New Roman" w:hAnsi="Times New Roman"/>
                <w:sz w:val="18"/>
                <w:szCs w:val="18"/>
                <w:color w:val="auto"/>
                <w:w w:val="99"/>
              </w:rPr>
              <w:t>]</w:t>
            </w:r>
          </w:p>
        </w:tc>
        <w:tc>
          <w:tcPr>
            <w:tcW w:w="2800" w:type="dxa"/>
            <w:vAlign w:val="bottom"/>
          </w:tcPr>
          <w:p>
            <w:pPr>
              <w:spacing w:after="0"/>
              <w:rPr>
                <w:sz w:val="24"/>
                <w:szCs w:val="24"/>
                <w:color w:val="auto"/>
              </w:rPr>
            </w:pPr>
          </w:p>
        </w:tc>
      </w:tr>
      <w:tr>
        <w:trPr>
          <w:trHeight w:val="432"/>
        </w:trPr>
        <w:tc>
          <w:tcPr>
            <w:tcW w:w="1000" w:type="dxa"/>
            <w:vAlign w:val="bottom"/>
          </w:tcPr>
          <w:p>
            <w:pPr>
              <w:spacing w:after="0"/>
              <w:rPr>
                <w:sz w:val="24"/>
                <w:szCs w:val="24"/>
                <w:color w:val="auto"/>
              </w:rPr>
            </w:pPr>
          </w:p>
        </w:tc>
        <w:tc>
          <w:tcPr>
            <w:tcW w:w="7220" w:type="dxa"/>
            <w:vAlign w:val="bottom"/>
            <w:gridSpan w:val="3"/>
          </w:tcPr>
          <w:p>
            <w:pPr>
              <w:jc w:val="center"/>
              <w:ind w:left="171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Insert Non-Affiliate Legend</w:t>
            </w:r>
            <w:r>
              <w:rPr>
                <w:rFonts w:ascii="Times New Roman" w:cs="Times New Roman" w:eastAsia="Times New Roman" w:hAnsi="Times New Roman"/>
                <w:sz w:val="18"/>
                <w:szCs w:val="18"/>
                <w:color w:val="auto"/>
                <w:w w:val="99"/>
              </w:rPr>
              <w:t>]</w:t>
            </w:r>
          </w:p>
        </w:tc>
        <w:tc>
          <w:tcPr>
            <w:tcW w:w="2800" w:type="dxa"/>
            <w:vAlign w:val="bottom"/>
          </w:tcPr>
          <w:p>
            <w:pPr>
              <w:spacing w:after="0"/>
              <w:rPr>
                <w:sz w:val="24"/>
                <w:szCs w:val="24"/>
                <w:color w:val="auto"/>
              </w:rPr>
            </w:pPr>
          </w:p>
        </w:tc>
      </w:tr>
      <w:tr>
        <w:trPr>
          <w:trHeight w:val="432"/>
        </w:trPr>
        <w:tc>
          <w:tcPr>
            <w:tcW w:w="1000" w:type="dxa"/>
            <w:vAlign w:val="bottom"/>
          </w:tcPr>
          <w:p>
            <w:pPr>
              <w:spacing w:after="0"/>
              <w:rPr>
                <w:sz w:val="24"/>
                <w:szCs w:val="24"/>
                <w:color w:val="auto"/>
              </w:rPr>
            </w:pPr>
          </w:p>
        </w:tc>
        <w:tc>
          <w:tcPr>
            <w:tcW w:w="7220" w:type="dxa"/>
            <w:vAlign w:val="bottom"/>
            <w:gridSpan w:val="3"/>
          </w:tcPr>
          <w:p>
            <w:pPr>
              <w:jc w:val="center"/>
              <w:ind w:left="1710"/>
              <w:spacing w:after="0"/>
              <w:rPr>
                <w:sz w:val="20"/>
                <w:szCs w:val="20"/>
                <w:color w:val="auto"/>
              </w:rPr>
            </w:pPr>
            <w:r>
              <w:rPr>
                <w:rFonts w:ascii="Times New Roman" w:cs="Times New Roman" w:eastAsia="Times New Roman" w:hAnsi="Times New Roman"/>
                <w:sz w:val="18"/>
                <w:szCs w:val="18"/>
                <w:b w:val="1"/>
                <w:bCs w:val="1"/>
                <w:color w:val="auto"/>
                <w:w w:val="99"/>
              </w:rPr>
              <w:t>SPECTRUM BRANDS, INC.</w:t>
            </w:r>
          </w:p>
        </w:tc>
        <w:tc>
          <w:tcPr>
            <w:tcW w:w="2800" w:type="dxa"/>
            <w:vAlign w:val="bottom"/>
          </w:tcPr>
          <w:p>
            <w:pPr>
              <w:spacing w:after="0"/>
              <w:rPr>
                <w:sz w:val="24"/>
                <w:szCs w:val="24"/>
                <w:color w:val="auto"/>
              </w:rPr>
            </w:pPr>
          </w:p>
        </w:tc>
      </w:tr>
      <w:tr>
        <w:trPr>
          <w:trHeight w:val="432"/>
        </w:trPr>
        <w:tc>
          <w:tcPr>
            <w:tcW w:w="1000" w:type="dxa"/>
            <w:vAlign w:val="bottom"/>
          </w:tcPr>
          <w:p>
            <w:pPr>
              <w:spacing w:after="0"/>
              <w:rPr>
                <w:sz w:val="24"/>
                <w:szCs w:val="24"/>
                <w:color w:val="auto"/>
              </w:rPr>
            </w:pPr>
          </w:p>
        </w:tc>
        <w:tc>
          <w:tcPr>
            <w:tcW w:w="7220" w:type="dxa"/>
            <w:vAlign w:val="bottom"/>
            <w:gridSpan w:val="3"/>
          </w:tcPr>
          <w:p>
            <w:pPr>
              <w:jc w:val="center"/>
              <w:ind w:left="1710"/>
              <w:spacing w:after="0"/>
              <w:rPr>
                <w:sz w:val="20"/>
                <w:szCs w:val="20"/>
                <w:color w:val="auto"/>
              </w:rPr>
            </w:pPr>
            <w:r>
              <w:rPr>
                <w:rFonts w:ascii="Times New Roman" w:cs="Times New Roman" w:eastAsia="Times New Roman" w:hAnsi="Times New Roman"/>
                <w:sz w:val="18"/>
                <w:szCs w:val="18"/>
                <w:b w:val="1"/>
                <w:bCs w:val="1"/>
                <w:color w:val="auto"/>
                <w:w w:val="99"/>
              </w:rPr>
              <w:t>3.375% Exchangeable Senior Note due 2029</w:t>
            </w:r>
          </w:p>
        </w:tc>
        <w:tc>
          <w:tcPr>
            <w:tcW w:w="2800" w:type="dxa"/>
            <w:vAlign w:val="bottom"/>
          </w:tcPr>
          <w:p>
            <w:pPr>
              <w:spacing w:after="0"/>
              <w:rPr>
                <w:sz w:val="24"/>
                <w:szCs w:val="24"/>
                <w:color w:val="auto"/>
              </w:rPr>
            </w:pPr>
          </w:p>
        </w:tc>
      </w:tr>
      <w:tr>
        <w:trPr>
          <w:trHeight w:val="43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CUSIP No.:</w:t>
            </w:r>
          </w:p>
        </w:tc>
        <w:tc>
          <w:tcPr>
            <w:tcW w:w="72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[___][</w:t>
            </w:r>
            <w:r>
              <w:rPr>
                <w:rFonts w:ascii="Times New Roman" w:cs="Times New Roman" w:eastAsia="Times New Roman" w:hAnsi="Times New Roman"/>
                <w:sz w:val="18"/>
                <w:szCs w:val="18"/>
                <w:i w:val="1"/>
                <w:iCs w:val="1"/>
                <w:color w:val="auto"/>
              </w:rPr>
              <w:t>Insert for a “restricted” CUSIP number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w:t>
            </w:r>
          </w:p>
        </w:tc>
        <w:tc>
          <w:tcPr>
            <w:tcW w:w="28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Certificate No. [___]</w:t>
            </w:r>
          </w:p>
        </w:tc>
      </w:tr>
      <w:tr>
        <w:trPr>
          <w:trHeight w:val="36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ISIN No.:</w:t>
            </w:r>
          </w:p>
        </w:tc>
        <w:tc>
          <w:tcPr>
            <w:tcW w:w="72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[___][</w:t>
            </w:r>
            <w:r>
              <w:rPr>
                <w:rFonts w:ascii="Times New Roman" w:cs="Times New Roman" w:eastAsia="Times New Roman" w:hAnsi="Times New Roman"/>
                <w:sz w:val="18"/>
                <w:szCs w:val="18"/>
                <w:i w:val="1"/>
                <w:iCs w:val="1"/>
                <w:color w:val="auto"/>
              </w:rPr>
              <w:t>Insert for a “restricted” ISIN number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w:t>
            </w:r>
          </w:p>
        </w:tc>
        <w:tc>
          <w:tcPr>
            <w:tcW w:w="2800" w:type="dxa"/>
            <w:vAlign w:val="bottom"/>
          </w:tcPr>
          <w:p>
            <w:pPr>
              <w:spacing w:after="0"/>
              <w:rPr>
                <w:sz w:val="24"/>
                <w:szCs w:val="24"/>
                <w:color w:val="auto"/>
              </w:rPr>
            </w:pPr>
          </w:p>
        </w:tc>
      </w:tr>
    </w:tbl>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both"/>
        <w:ind w:left="4" w:right="60" w:firstLine="440"/>
        <w:spacing w:after="0" w:line="266" w:lineRule="auto"/>
        <w:rPr>
          <w:sz w:val="20"/>
          <w:szCs w:val="20"/>
          <w:color w:val="auto"/>
        </w:rPr>
      </w:pPr>
      <w:r>
        <w:rPr>
          <w:rFonts w:ascii="Times New Roman" w:cs="Times New Roman" w:eastAsia="Times New Roman" w:hAnsi="Times New Roman"/>
          <w:sz w:val="18"/>
          <w:szCs w:val="18"/>
          <w:color w:val="auto"/>
        </w:rPr>
        <w:t>Spectrum Brands, Inc., a Delaware corporation, for value received, promises to pay to [Cede &amp; Co.], or its registered assigns, the principal sum of [___] dollars ($[___]) [(as revised by the attached Schedule of Exchanges of Interests in the Global Note)]</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xml:space="preserve"> on June 1, 2029 and to pay interest thereon, as provided in the Indenture referred to below, until the principal and all accrued and unpaid interest are paid or duly provided for.</w:t>
      </w:r>
    </w:p>
    <w:p>
      <w:pPr>
        <w:sectPr>
          <w:pgSz w:w="11900" w:h="16838" w:orient="portrait"/>
          <w:cols w:equalWidth="0" w:num="1">
            <w:col w:w="11024"/>
          </w:cols>
          <w:pgMar w:left="436" w:top="266" w:right="439" w:bottom="1440" w:gutter="0" w:footer="0" w:header="0"/>
        </w:sectPr>
      </w:pPr>
    </w:p>
    <w:p>
      <w:pPr>
        <w:spacing w:after="0" w:line="2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Interest Payment Dates:</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1 and December 1 of each year, commencing on December 1, 2024.</w:t>
      </w:r>
    </w:p>
    <w:p>
      <w:pPr>
        <w:spacing w:after="0" w:line="129" w:lineRule="exact"/>
        <w:rPr>
          <w:sz w:val="20"/>
          <w:szCs w:val="20"/>
          <w:color w:val="auto"/>
        </w:rPr>
      </w:pPr>
    </w:p>
    <w:p>
      <w:pPr>
        <w:sectPr>
          <w:pgSz w:w="11900" w:h="16838" w:orient="portrait"/>
          <w:cols w:equalWidth="0" w:num="2">
            <w:col w:w="1824" w:space="720"/>
            <w:col w:w="8480"/>
          </w:cols>
          <w:pgMar w:left="436" w:top="266" w:right="43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Regular Record Dates: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May 15 and November 15.</w:t>
      </w:r>
    </w:p>
    <w:p>
      <w:pPr>
        <w:spacing w:after="0" w:line="200" w:lineRule="exact"/>
        <w:rPr>
          <w:sz w:val="20"/>
          <w:szCs w:val="20"/>
          <w:color w:val="auto"/>
        </w:rPr>
      </w:pPr>
    </w:p>
    <w:p>
      <w:pPr>
        <w:sectPr>
          <w:pgSz w:w="11900" w:h="16838" w:orient="portrait"/>
          <w:cols w:equalWidth="0" w:num="2">
            <w:col w:w="1824" w:space="720"/>
            <w:col w:w="8480"/>
          </w:cols>
          <w:pgMar w:left="436" w:top="266" w:right="439" w:bottom="1440" w:gutter="0" w:footer="0" w:header="0"/>
          <w:type w:val="continuous"/>
        </w:sectPr>
      </w:pPr>
    </w:p>
    <w:p>
      <w:pPr>
        <w:spacing w:after="0" w:line="3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Additional provisions of this Note are set forth on the other side of this Note.</w:t>
      </w:r>
    </w:p>
    <w:p>
      <w:pPr>
        <w:spacing w:after="0" w:line="2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The Remainder of This Page Intentionally Left Blank; Signature Page Follows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114300</wp:posOffset>
            </wp:positionV>
            <wp:extent cx="7715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2" w:lineRule="exact"/>
        <w:rPr>
          <w:sz w:val="20"/>
          <w:szCs w:val="20"/>
          <w:color w:val="auto"/>
        </w:rPr>
      </w:pPr>
    </w:p>
    <w:p>
      <w:pPr>
        <w:ind w:left="424" w:right="40" w:hanging="424"/>
        <w:spacing w:after="0" w:line="208" w:lineRule="auto"/>
        <w:tabs>
          <w:tab w:leader="none" w:pos="424" w:val="left"/>
        </w:tabs>
        <w:numPr>
          <w:ilvl w:val="0"/>
          <w:numId w:val="18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 xml:space="preserve">This Note will be deemed to be identified by CUSIP No. [___] and ISIN No. [___] from and after such time when the Company delivers, pursuant to </w:t>
      </w:r>
      <w:r>
        <w:rPr>
          <w:rFonts w:ascii="Times New Roman" w:cs="Times New Roman" w:eastAsia="Times New Roman" w:hAnsi="Times New Roman"/>
          <w:sz w:val="18"/>
          <w:szCs w:val="18"/>
          <w:b w:val="1"/>
          <w:bCs w:val="1"/>
          <w:color w:val="auto"/>
        </w:rPr>
        <w:t>Section 2.12</w:t>
      </w:r>
      <w:r>
        <w:rPr>
          <w:rFonts w:ascii="Times New Roman" w:cs="Times New Roman" w:eastAsia="Times New Roman" w:hAnsi="Times New Roman"/>
          <w:sz w:val="18"/>
          <w:szCs w:val="18"/>
          <w:color w:val="auto"/>
        </w:rPr>
        <w:t xml:space="preserve"> of the within-mentioned Indenture, written notice to the Trustee of the deemed removal of the Restricted Note Legend affixed to</w:t>
      </w:r>
    </w:p>
    <w:p>
      <w:pPr>
        <w:spacing w:after="0" w:line="2"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this Note, subject to the Depositary Procedures.</w:t>
      </w:r>
    </w:p>
    <w:p>
      <w:pPr>
        <w:spacing w:after="0" w:line="9" w:lineRule="exact"/>
        <w:rPr>
          <w:sz w:val="20"/>
          <w:szCs w:val="20"/>
          <w:color w:val="auto"/>
        </w:rPr>
      </w:pPr>
    </w:p>
    <w:p>
      <w:pPr>
        <w:ind w:left="424" w:hanging="424"/>
        <w:spacing w:after="0"/>
        <w:tabs>
          <w:tab w:leader="none" w:pos="424" w:val="left"/>
        </w:tabs>
        <w:numPr>
          <w:ilvl w:val="0"/>
          <w:numId w:val="189"/>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Insert bracketed language for Global Notes only.</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024"/>
          </w:cols>
          <w:pgMar w:left="436" w:top="266" w:right="439" w:bottom="1440" w:gutter="0" w:footer="0" w:header="0"/>
          <w:type w:val="continuous"/>
        </w:sectPr>
      </w:pPr>
    </w:p>
    <w:bookmarkStart w:id="107" w:name="page108"/>
    <w:bookmarkEnd w:id="107"/>
    <w:p>
      <w:pPr>
        <w:ind w:left="44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Times New Roman" w:cs="Times New Roman" w:eastAsia="Times New Roman" w:hAnsi="Times New Roman"/>
          <w:sz w:val="17"/>
          <w:szCs w:val="17"/>
          <w:color w:val="auto"/>
        </w:rPr>
        <w:t>, Spectrum Brands, Inc. has caused this instrument to be duly executed as of the date set forth below.</w:t>
      </w:r>
    </w:p>
    <w:p>
      <w:pPr>
        <w:spacing w:after="0" w:line="26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PECTRUM</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4"/>
          <w:szCs w:val="14"/>
          <w:color w:val="auto"/>
        </w:rPr>
        <w:t>RANDS</w:t>
      </w:r>
      <w:r>
        <w:rPr>
          <w:rFonts w:ascii="Times New Roman" w:cs="Times New Roman" w:eastAsia="Times New Roman" w:hAnsi="Times New Roman"/>
          <w:sz w:val="18"/>
          <w:szCs w:val="18"/>
          <w:color w:val="auto"/>
        </w:rPr>
        <w:t>, I</w:t>
      </w:r>
      <w:r>
        <w:rPr>
          <w:rFonts w:ascii="Times New Roman" w:cs="Times New Roman" w:eastAsia="Times New Roman" w:hAnsi="Times New Roman"/>
          <w:sz w:val="14"/>
          <w:szCs w:val="14"/>
          <w:color w:val="auto"/>
        </w:rPr>
        <w:t>NC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 xml:space="preserve">Date:                                         </w:t>
      </w:r>
      <w:r>
        <w:rPr>
          <w:sz w:val="20"/>
          <w:szCs w:val="20"/>
          <w:color w:val="auto"/>
        </w:rPr>
        <w:tab/>
      </w: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145790" cy="8255"/>
                    </a:xfrm>
                    <a:prstGeom prst="rect">
                      <a:avLst/>
                    </a:prstGeom>
                    <a:noFill/>
                  </pic:spPr>
                </pic:pic>
              </a:graphicData>
            </a:graphic>
          </wp:anchor>
        </w:drawing>
        <w:drawing>
          <wp:anchor simplePos="0" relativeHeight="251657728" behindDoc="1" locked="0" layoutInCell="0" allowOverlap="1">
            <wp:simplePos x="0" y="0"/>
            <wp:positionH relativeFrom="column">
              <wp:posOffset>267335</wp:posOffset>
            </wp:positionH>
            <wp:positionV relativeFrom="paragraph">
              <wp:posOffset>-7620</wp:posOffset>
            </wp:positionV>
            <wp:extent cx="159956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599565"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0019"/>
          </w:cols>
          <w:pgMar w:left="440" w:top="266" w:right="1440" w:bottom="1440" w:gutter="0" w:footer="0" w:header="0"/>
        </w:sectPr>
      </w:pPr>
    </w:p>
    <w:bookmarkStart w:id="108" w:name="page109"/>
    <w:bookmarkEnd w:id="108"/>
    <w:p>
      <w:pPr>
        <w:ind w:left="35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TRUSTEE’S CERTIFICATE OF AUTHENTICATION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U.S. Bank Trust Company, National Association, as Trustee, certifies that this is one of the Notes referred to in the within-mentioned Indenture.</w:t>
      </w:r>
    </w:p>
    <w:p>
      <w:pPr>
        <w:spacing w:after="0" w:line="264"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 xml:space="preserve">Date:                                         </w:t>
      </w:r>
      <w:r>
        <w:rPr>
          <w:sz w:val="20"/>
          <w:szCs w:val="20"/>
          <w:color w:val="auto"/>
        </w:rPr>
        <w:tab/>
      </w: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145790" cy="8255"/>
                    </a:xfrm>
                    <a:prstGeom prst="rect">
                      <a:avLst/>
                    </a:prstGeom>
                    <a:noFill/>
                  </pic:spPr>
                </pic:pic>
              </a:graphicData>
            </a:graphic>
          </wp:anchor>
        </w:drawing>
        <w:drawing>
          <wp:anchor simplePos="0" relativeHeight="251657728" behindDoc="1" locked="0" layoutInCell="0" allowOverlap="1">
            <wp:simplePos x="0" y="0"/>
            <wp:positionH relativeFrom="column">
              <wp:posOffset>267335</wp:posOffset>
            </wp:positionH>
            <wp:positionV relativeFrom="paragraph">
              <wp:posOffset>-7620</wp:posOffset>
            </wp:positionV>
            <wp:extent cx="159956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599565" cy="8890"/>
                    </a:xfrm>
                    <a:prstGeom prst="rect">
                      <a:avLst/>
                    </a:prstGeom>
                    <a:noFill/>
                  </pic:spPr>
                </pic:pic>
              </a:graphicData>
            </a:graphic>
          </wp:anchor>
        </w:drawing>
      </w:r>
    </w:p>
    <w:p>
      <w:pPr>
        <w:spacing w:after="0" w:line="16"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0360"/>
          </w:cols>
          <w:pgMar w:left="440" w:top="270" w:right="1099" w:bottom="1440" w:gutter="0" w:footer="0" w:header="0"/>
        </w:sectPr>
      </w:pPr>
    </w:p>
    <w:bookmarkStart w:id="109" w:name="page110"/>
    <w:bookmarkEnd w:id="10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SPECTRUM BRANDS,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3.375% Exchangeable Senior Note due 2029</w:t>
      </w:r>
    </w:p>
    <w:p>
      <w:pPr>
        <w:spacing w:after="0" w:line="225" w:lineRule="exact"/>
        <w:rPr>
          <w:sz w:val="20"/>
          <w:szCs w:val="20"/>
          <w:color w:val="auto"/>
        </w:rPr>
      </w:pPr>
    </w:p>
    <w:p>
      <w:pPr>
        <w:ind w:right="20" w:firstLine="440"/>
        <w:spacing w:after="0" w:line="259" w:lineRule="auto"/>
        <w:rPr>
          <w:sz w:val="20"/>
          <w:szCs w:val="20"/>
          <w:color w:val="auto"/>
        </w:rPr>
      </w:pPr>
      <w:r>
        <w:rPr>
          <w:rFonts w:ascii="Times New Roman" w:cs="Times New Roman" w:eastAsia="Times New Roman" w:hAnsi="Times New Roman"/>
          <w:sz w:val="18"/>
          <w:szCs w:val="18"/>
          <w:color w:val="auto"/>
        </w:rPr>
        <w:t>This Note is one of a duly authorized issue of notes of Spectrum Brands,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designated as its 3.375% Exchangeable Senior Notes due 2029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all issued or to be issued pursuant to an indenture, dated as of May 23, 2024 (as the same may be amended from time to time,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among the Company, Spectrum Brands Holdings, Inc., a Delaware corporation (“</w:t>
      </w:r>
      <w:r>
        <w:rPr>
          <w:rFonts w:ascii="Times New Roman" w:cs="Times New Roman" w:eastAsia="Times New Roman" w:hAnsi="Times New Roman"/>
          <w:sz w:val="18"/>
          <w:szCs w:val="18"/>
          <w:b w:val="1"/>
          <w:bCs w:val="1"/>
          <w:color w:val="auto"/>
        </w:rPr>
        <w:t>Holdings</w:t>
      </w:r>
      <w:r>
        <w:rPr>
          <w:rFonts w:ascii="Times New Roman" w:cs="Times New Roman" w:eastAsia="Times New Roman" w:hAnsi="Times New Roman"/>
          <w:sz w:val="18"/>
          <w:szCs w:val="18"/>
          <w:color w:val="auto"/>
        </w:rPr>
        <w:t>”) and the other Guarantors, as guarantors, and U.S. Bank Trust Company, National Association, as trustee. Capitalized terms used in this Note without definition have the respective meanings ascribed to them in the Indenture.</w:t>
      </w:r>
    </w:p>
    <w:p>
      <w:pPr>
        <w:spacing w:after="0" w:line="183" w:lineRule="exact"/>
        <w:rPr>
          <w:sz w:val="20"/>
          <w:szCs w:val="20"/>
          <w:color w:val="auto"/>
        </w:rPr>
      </w:pPr>
    </w:p>
    <w:p>
      <w:pPr>
        <w:ind w:right="320" w:firstLine="440"/>
        <w:spacing w:after="0" w:line="266" w:lineRule="auto"/>
        <w:rPr>
          <w:sz w:val="20"/>
          <w:szCs w:val="20"/>
          <w:color w:val="auto"/>
        </w:rPr>
      </w:pPr>
      <w:r>
        <w:rPr>
          <w:rFonts w:ascii="Times New Roman" w:cs="Times New Roman" w:eastAsia="Times New Roman" w:hAnsi="Times New Roman"/>
          <w:sz w:val="18"/>
          <w:szCs w:val="18"/>
          <w:color w:val="auto"/>
        </w:rPr>
        <w:t>The Indenture sets forth the rights and obligations of the Company, the Guarantors, the Trustee and the Holders and the terms of the Notes. Notwithstanding anything to the contrary in this Note, to the extent that any provision of this Note conflicts with the provisions of the Indenture, the provisions of the Indenture will control.</w:t>
      </w:r>
    </w:p>
    <w:p>
      <w:pPr>
        <w:spacing w:after="0" w:line="172" w:lineRule="exact"/>
        <w:rPr>
          <w:sz w:val="20"/>
          <w:szCs w:val="20"/>
          <w:color w:val="auto"/>
        </w:rPr>
      </w:pPr>
    </w:p>
    <w:p>
      <w:pPr>
        <w:ind w:right="240" w:firstLine="436"/>
        <w:spacing w:after="0" w:line="286" w:lineRule="auto"/>
        <w:tabs>
          <w:tab w:leader="none" w:pos="62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Interest</w:t>
      </w:r>
      <w:r>
        <w:rPr>
          <w:rFonts w:ascii="Times New Roman" w:cs="Times New Roman" w:eastAsia="Times New Roman" w:hAnsi="Times New Roman"/>
          <w:sz w:val="18"/>
          <w:szCs w:val="18"/>
          <w:color w:val="auto"/>
        </w:rPr>
        <w:t>. This Note will accrue interest at a rate and in the manner set forth in</w:t>
      </w:r>
      <w:r>
        <w:rPr>
          <w:rFonts w:ascii="Times New Roman" w:cs="Times New Roman" w:eastAsia="Times New Roman" w:hAnsi="Times New Roman"/>
          <w:sz w:val="18"/>
          <w:szCs w:val="18"/>
          <w:b w:val="1"/>
          <w:bCs w:val="1"/>
          <w:color w:val="auto"/>
        </w:rPr>
        <w:t xml:space="preserve"> Section 2.05 </w:t>
      </w:r>
      <w:r>
        <w:rPr>
          <w:rFonts w:ascii="Times New Roman" w:cs="Times New Roman" w:eastAsia="Times New Roman" w:hAnsi="Times New Roman"/>
          <w:sz w:val="18"/>
          <w:szCs w:val="18"/>
          <w:color w:val="auto"/>
        </w:rPr>
        <w:t>of the Indenture. Stated Interest on this Note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begin to accrue from, and including, [</w:t>
      </w:r>
      <w:r>
        <w:rPr>
          <w:rFonts w:ascii="Times New Roman" w:cs="Times New Roman" w:eastAsia="Times New Roman" w:hAnsi="Times New Roman"/>
          <w:sz w:val="18"/>
          <w:szCs w:val="18"/>
          <w:i w:val="1"/>
          <w:iCs w:val="1"/>
          <w:color w:val="auto"/>
        </w:rPr>
        <w:t>date</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Maturity</w:t>
      </w:r>
      <w:r>
        <w:rPr>
          <w:rFonts w:ascii="Times New Roman" w:cs="Times New Roman" w:eastAsia="Times New Roman" w:hAnsi="Times New Roman"/>
          <w:sz w:val="18"/>
          <w:szCs w:val="18"/>
          <w:color w:val="auto"/>
        </w:rPr>
        <w:t>. This Note will mature on June 1, 2029, unless earlier repurchased, redeemed or Exchanged.</w:t>
      </w:r>
    </w:p>
    <w:p>
      <w:pPr>
        <w:spacing w:after="0" w:line="225" w:lineRule="exact"/>
        <w:rPr>
          <w:rFonts w:ascii="Times New Roman" w:cs="Times New Roman" w:eastAsia="Times New Roman" w:hAnsi="Times New Roman"/>
          <w:sz w:val="18"/>
          <w:szCs w:val="18"/>
          <w:color w:val="auto"/>
        </w:rPr>
      </w:pPr>
    </w:p>
    <w:p>
      <w:pPr>
        <w:ind w:firstLine="436"/>
        <w:spacing w:after="0" w:line="286" w:lineRule="auto"/>
        <w:tabs>
          <w:tab w:leader="none" w:pos="62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Guarantee</w:t>
      </w:r>
      <w:r>
        <w:rPr>
          <w:rFonts w:ascii="Times New Roman" w:cs="Times New Roman" w:eastAsia="Times New Roman" w:hAnsi="Times New Roman"/>
          <w:sz w:val="18"/>
          <w:szCs w:val="18"/>
          <w:color w:val="auto"/>
        </w:rPr>
        <w:t>. The Company’s obligations under the Indenture and the Notes are fully and unconditionally guaranteed by Holdings and each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Guarantor as provided in </w:t>
      </w:r>
      <w:r>
        <w:rPr>
          <w:rFonts w:ascii="Times New Roman" w:cs="Times New Roman" w:eastAsia="Times New Roman" w:hAnsi="Times New Roman"/>
          <w:sz w:val="18"/>
          <w:szCs w:val="18"/>
          <w:b w:val="1"/>
          <w:bCs w:val="1"/>
          <w:color w:val="auto"/>
        </w:rPr>
        <w:t>Article 9</w:t>
      </w:r>
      <w:r>
        <w:rPr>
          <w:rFonts w:ascii="Times New Roman" w:cs="Times New Roman" w:eastAsia="Times New Roman" w:hAnsi="Times New Roman"/>
          <w:sz w:val="18"/>
          <w:szCs w:val="18"/>
          <w:color w:val="auto"/>
        </w:rPr>
        <w:t xml:space="preserve"> of the Indenture.</w:t>
      </w:r>
    </w:p>
    <w:p>
      <w:pPr>
        <w:spacing w:after="0" w:line="154"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Method of Payment</w:t>
      </w:r>
      <w:r>
        <w:rPr>
          <w:rFonts w:ascii="Times New Roman" w:cs="Times New Roman" w:eastAsia="Times New Roman" w:hAnsi="Times New Roman"/>
          <w:sz w:val="18"/>
          <w:szCs w:val="18"/>
          <w:color w:val="auto"/>
        </w:rPr>
        <w:t>. Cash amounts due on this Note will be paid in the manner set forth in</w:t>
      </w:r>
      <w:r>
        <w:rPr>
          <w:rFonts w:ascii="Times New Roman" w:cs="Times New Roman" w:eastAsia="Times New Roman" w:hAnsi="Times New Roman"/>
          <w:sz w:val="18"/>
          <w:szCs w:val="18"/>
          <w:b w:val="1"/>
          <w:bCs w:val="1"/>
          <w:color w:val="auto"/>
        </w:rPr>
        <w:t xml:space="preserve"> Section 2.04 </w:t>
      </w:r>
      <w:r>
        <w:rPr>
          <w:rFonts w:ascii="Times New Roman" w:cs="Times New Roman" w:eastAsia="Times New Roman" w:hAnsi="Times New Roman"/>
          <w:sz w:val="18"/>
          <w:szCs w:val="18"/>
          <w:color w:val="auto"/>
        </w:rPr>
        <w:t>of the Indenture.</w:t>
      </w:r>
    </w:p>
    <w:p>
      <w:pPr>
        <w:spacing w:after="0" w:line="225"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Persons Deemed Owners</w:t>
      </w:r>
      <w:r>
        <w:rPr>
          <w:rFonts w:ascii="Times New Roman" w:cs="Times New Roman" w:eastAsia="Times New Roman" w:hAnsi="Times New Roman"/>
          <w:sz w:val="18"/>
          <w:szCs w:val="18"/>
          <w:color w:val="auto"/>
        </w:rPr>
        <w:t>. The Holder of this Note will be treated as the owner of this Note for all purposes.</w:t>
      </w:r>
    </w:p>
    <w:p>
      <w:pPr>
        <w:spacing w:after="0" w:line="225" w:lineRule="exact"/>
        <w:rPr>
          <w:rFonts w:ascii="Times New Roman" w:cs="Times New Roman" w:eastAsia="Times New Roman" w:hAnsi="Times New Roman"/>
          <w:sz w:val="18"/>
          <w:szCs w:val="18"/>
          <w:color w:val="auto"/>
        </w:rPr>
      </w:pPr>
    </w:p>
    <w:p>
      <w:pPr>
        <w:ind w:right="380" w:firstLine="436"/>
        <w:spacing w:after="0" w:line="268" w:lineRule="auto"/>
        <w:tabs>
          <w:tab w:leader="none" w:pos="62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Denominations; Transfers and Exchanges</w:t>
      </w:r>
      <w:r>
        <w:rPr>
          <w:rFonts w:ascii="Times New Roman" w:cs="Times New Roman" w:eastAsia="Times New Roman" w:hAnsi="Times New Roman"/>
          <w:sz w:val="18"/>
          <w:szCs w:val="18"/>
          <w:color w:val="auto"/>
        </w:rPr>
        <w:t>. All Notes will be in registered form, without coupons, in principal amounts equal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Denominations. Subject to the terms of the Indenture, the Holder of this Note may transfer or exchange this Note by presenting it to the Registrar and delivering any required documentation or other materials.</w:t>
      </w:r>
    </w:p>
    <w:p>
      <w:pPr>
        <w:spacing w:after="0" w:line="170" w:lineRule="exact"/>
        <w:rPr>
          <w:rFonts w:ascii="Times New Roman" w:cs="Times New Roman" w:eastAsia="Times New Roman" w:hAnsi="Times New Roman"/>
          <w:sz w:val="18"/>
          <w:szCs w:val="18"/>
          <w:color w:val="auto"/>
        </w:rPr>
      </w:pPr>
    </w:p>
    <w:p>
      <w:pPr>
        <w:ind w:right="20" w:firstLine="436"/>
        <w:spacing w:after="0" w:line="268" w:lineRule="auto"/>
        <w:tabs>
          <w:tab w:leader="none" w:pos="62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Right of Holders to Require the Company to Repurchase Notes Upon a Fundamental Change</w:t>
      </w:r>
      <w:r>
        <w:rPr>
          <w:rFonts w:ascii="Times New Roman" w:cs="Times New Roman" w:eastAsia="Times New Roman" w:hAnsi="Times New Roman"/>
          <w:sz w:val="18"/>
          <w:szCs w:val="18"/>
          <w:color w:val="auto"/>
        </w:rPr>
        <w:t>. If a Fundamental Change (other than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Exempted Fundamental Change) occurs, then each Holder will have the right to require the Company to repurchase such Holder’s Notes (or any portion thereof in an Authorized Denomination) for cash in the manner, and subject to the terms, set forth in </w:t>
      </w:r>
      <w:r>
        <w:rPr>
          <w:rFonts w:ascii="Times New Roman" w:cs="Times New Roman" w:eastAsia="Times New Roman" w:hAnsi="Times New Roman"/>
          <w:sz w:val="18"/>
          <w:szCs w:val="18"/>
          <w:b w:val="1"/>
          <w:bCs w:val="1"/>
          <w:color w:val="auto"/>
        </w:rPr>
        <w:t>Section 4.02</w:t>
      </w:r>
      <w:r>
        <w:rPr>
          <w:rFonts w:ascii="Times New Roman" w:cs="Times New Roman" w:eastAsia="Times New Roman" w:hAnsi="Times New Roman"/>
          <w:sz w:val="18"/>
          <w:szCs w:val="18"/>
          <w:color w:val="auto"/>
        </w:rPr>
        <w:t xml:space="preserve"> of the Indenture.</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0980"/>
          </w:cols>
          <w:pgMar w:left="440" w:top="266" w:right="479" w:bottom="1440" w:gutter="0" w:footer="0" w:header="0"/>
        </w:sectPr>
      </w:pPr>
    </w:p>
    <w:bookmarkStart w:id="110" w:name="page111"/>
    <w:bookmarkEnd w:id="110"/>
    <w:p>
      <w:pPr>
        <w:ind w:right="100" w:firstLine="436"/>
        <w:spacing w:after="0" w:line="286" w:lineRule="auto"/>
        <w:tabs>
          <w:tab w:leader="none" w:pos="62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Right of the Company to Redeem the Notes</w:t>
      </w:r>
      <w:r>
        <w:rPr>
          <w:rFonts w:ascii="Times New Roman" w:cs="Times New Roman" w:eastAsia="Times New Roman" w:hAnsi="Times New Roman"/>
          <w:sz w:val="18"/>
          <w:szCs w:val="18"/>
          <w:color w:val="auto"/>
        </w:rPr>
        <w:t>. The Company will have the right to redeem the Notes for cash in the manner, and subject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terms, set forth in </w:t>
      </w:r>
      <w:r>
        <w:rPr>
          <w:rFonts w:ascii="Times New Roman" w:cs="Times New Roman" w:eastAsia="Times New Roman" w:hAnsi="Times New Roman"/>
          <w:sz w:val="18"/>
          <w:szCs w:val="18"/>
          <w:b w:val="1"/>
          <w:bCs w:val="1"/>
          <w:color w:val="auto"/>
        </w:rPr>
        <w:t>Section 4.03</w:t>
      </w:r>
      <w:r>
        <w:rPr>
          <w:rFonts w:ascii="Times New Roman" w:cs="Times New Roman" w:eastAsia="Times New Roman" w:hAnsi="Times New Roman"/>
          <w:sz w:val="18"/>
          <w:szCs w:val="18"/>
          <w:color w:val="auto"/>
        </w:rPr>
        <w:t xml:space="preserve"> of the Indenture.</w:t>
      </w:r>
    </w:p>
    <w:p>
      <w:pPr>
        <w:spacing w:after="0" w:line="154" w:lineRule="exact"/>
        <w:rPr>
          <w:rFonts w:ascii="Times New Roman" w:cs="Times New Roman" w:eastAsia="Times New Roman" w:hAnsi="Times New Roman"/>
          <w:sz w:val="18"/>
          <w:szCs w:val="18"/>
          <w:color w:val="auto"/>
        </w:rPr>
      </w:pPr>
    </w:p>
    <w:p>
      <w:pPr>
        <w:ind w:right="180" w:firstLine="436"/>
        <w:spacing w:after="0" w:line="286" w:lineRule="auto"/>
        <w:tabs>
          <w:tab w:leader="none" w:pos="62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Exchange</w:t>
      </w:r>
      <w:r>
        <w:rPr>
          <w:rFonts w:ascii="Times New Roman" w:cs="Times New Roman" w:eastAsia="Times New Roman" w:hAnsi="Times New Roman"/>
          <w:sz w:val="18"/>
          <w:szCs w:val="18"/>
          <w:color w:val="auto"/>
        </w:rPr>
        <w:t>. The Holder of this Note may Exchange this Note into Exchange Consideration in the manner, and subject to the terms, set forth in</w:t>
      </w:r>
      <w:r>
        <w:rPr>
          <w:rFonts w:ascii="Times New Roman" w:cs="Times New Roman" w:eastAsia="Times New Roman" w:hAnsi="Times New Roman"/>
          <w:sz w:val="18"/>
          <w:szCs w:val="18"/>
          <w:b w:val="1"/>
          <w:bCs w:val="1"/>
          <w:color w:val="auto"/>
        </w:rPr>
        <w:t xml:space="preserve"> Article 5 </w:t>
      </w:r>
      <w:r>
        <w:rPr>
          <w:rFonts w:ascii="Times New Roman" w:cs="Times New Roman" w:eastAsia="Times New Roman" w:hAnsi="Times New Roman"/>
          <w:sz w:val="18"/>
          <w:szCs w:val="18"/>
          <w:color w:val="auto"/>
        </w:rPr>
        <w:t>of the Indenture.</w:t>
      </w:r>
    </w:p>
    <w:p>
      <w:pPr>
        <w:spacing w:after="0" w:line="154" w:lineRule="exact"/>
        <w:rPr>
          <w:rFonts w:ascii="Times New Roman" w:cs="Times New Roman" w:eastAsia="Times New Roman" w:hAnsi="Times New Roman"/>
          <w:sz w:val="18"/>
          <w:szCs w:val="18"/>
          <w:color w:val="auto"/>
        </w:rPr>
      </w:pPr>
    </w:p>
    <w:p>
      <w:pPr>
        <w:ind w:right="520" w:firstLine="436"/>
        <w:spacing w:after="0" w:line="286" w:lineRule="auto"/>
        <w:tabs>
          <w:tab w:leader="none" w:pos="71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When the Company May Merge, Etc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Article 6 </w:t>
      </w:r>
      <w:r>
        <w:rPr>
          <w:rFonts w:ascii="Times New Roman" w:cs="Times New Roman" w:eastAsia="Times New Roman" w:hAnsi="Times New Roman"/>
          <w:sz w:val="18"/>
          <w:szCs w:val="18"/>
          <w:color w:val="auto"/>
        </w:rPr>
        <w:t>of the Indenture places limited restrictions on the Company’s ability to be a party 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Business Combination Event.</w:t>
      </w:r>
    </w:p>
    <w:p>
      <w:pPr>
        <w:spacing w:after="0" w:line="154" w:lineRule="exact"/>
        <w:rPr>
          <w:rFonts w:ascii="Times New Roman" w:cs="Times New Roman" w:eastAsia="Times New Roman" w:hAnsi="Times New Roman"/>
          <w:sz w:val="18"/>
          <w:szCs w:val="18"/>
          <w:color w:val="auto"/>
        </w:rPr>
      </w:pPr>
    </w:p>
    <w:p>
      <w:pPr>
        <w:ind w:right="20" w:firstLine="436"/>
        <w:spacing w:after="0" w:line="268" w:lineRule="auto"/>
        <w:tabs>
          <w:tab w:leader="none" w:pos="703"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Defaults and Remedies</w:t>
      </w:r>
      <w:r>
        <w:rPr>
          <w:rFonts w:ascii="Times New Roman" w:cs="Times New Roman" w:eastAsia="Times New Roman" w:hAnsi="Times New Roman"/>
          <w:sz w:val="18"/>
          <w:szCs w:val="18"/>
          <w:color w:val="auto"/>
        </w:rPr>
        <w:t>. If an Event of Default occurs, then the principal amount of, and all accrued and unpaid interest on, and all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Notes then outstanding may (and, in certain circumstances, will automatically) become due and payable in the manner, and subject to the terms, set forth in </w:t>
      </w:r>
      <w:r>
        <w:rPr>
          <w:rFonts w:ascii="Times New Roman" w:cs="Times New Roman" w:eastAsia="Times New Roman" w:hAnsi="Times New Roman"/>
          <w:sz w:val="18"/>
          <w:szCs w:val="18"/>
          <w:b w:val="1"/>
          <w:bCs w:val="1"/>
          <w:color w:val="auto"/>
        </w:rPr>
        <w:t>Article 7</w:t>
      </w:r>
      <w:r>
        <w:rPr>
          <w:rFonts w:ascii="Times New Roman" w:cs="Times New Roman" w:eastAsia="Times New Roman" w:hAnsi="Times New Roman"/>
          <w:sz w:val="18"/>
          <w:szCs w:val="18"/>
          <w:color w:val="auto"/>
        </w:rPr>
        <w:t xml:space="preserve"> of the Indenture.</w:t>
      </w:r>
    </w:p>
    <w:p>
      <w:pPr>
        <w:spacing w:after="0" w:line="170" w:lineRule="exact"/>
        <w:rPr>
          <w:rFonts w:ascii="Times New Roman" w:cs="Times New Roman" w:eastAsia="Times New Roman" w:hAnsi="Times New Roman"/>
          <w:sz w:val="18"/>
          <w:szCs w:val="18"/>
          <w:color w:val="auto"/>
        </w:rPr>
      </w:pPr>
    </w:p>
    <w:p>
      <w:pPr>
        <w:jc w:val="both"/>
        <w:ind w:firstLine="436"/>
        <w:spacing w:after="0" w:line="268" w:lineRule="auto"/>
        <w:tabs>
          <w:tab w:leader="none" w:pos="71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Amendments, Supplements and Waivers</w:t>
      </w:r>
      <w:r>
        <w:rPr>
          <w:rFonts w:ascii="Times New Roman" w:cs="Times New Roman" w:eastAsia="Times New Roman" w:hAnsi="Times New Roman"/>
          <w:sz w:val="18"/>
          <w:szCs w:val="18"/>
          <w:color w:val="auto"/>
        </w:rPr>
        <w:t>. The Company, the Guarantors and the Trustee may amend or supplement the Indenture, the Notes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or the Guarantees or waive compliance with any provision of the Indenture, the Notes or the Guarantees in the manner, and subject to the terms, set forth in </w:t>
      </w:r>
      <w:r>
        <w:rPr>
          <w:rFonts w:ascii="Times New Roman" w:cs="Times New Roman" w:eastAsia="Times New Roman" w:hAnsi="Times New Roman"/>
          <w:sz w:val="18"/>
          <w:szCs w:val="18"/>
          <w:b w:val="1"/>
          <w:bCs w:val="1"/>
          <w:color w:val="auto"/>
        </w:rPr>
        <w:t>Section 7.05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Article 8</w:t>
      </w:r>
      <w:r>
        <w:rPr>
          <w:rFonts w:ascii="Times New Roman" w:cs="Times New Roman" w:eastAsia="Times New Roman" w:hAnsi="Times New Roman"/>
          <w:sz w:val="18"/>
          <w:szCs w:val="18"/>
          <w:color w:val="auto"/>
        </w:rPr>
        <w:t xml:space="preserve"> of the Indenture.</w:t>
      </w:r>
    </w:p>
    <w:p>
      <w:pPr>
        <w:spacing w:after="0" w:line="170" w:lineRule="exact"/>
        <w:rPr>
          <w:rFonts w:ascii="Times New Roman" w:cs="Times New Roman" w:eastAsia="Times New Roman" w:hAnsi="Times New Roman"/>
          <w:sz w:val="18"/>
          <w:szCs w:val="18"/>
          <w:color w:val="auto"/>
        </w:rPr>
      </w:pPr>
    </w:p>
    <w:p>
      <w:pPr>
        <w:ind w:right="400" w:firstLine="436"/>
        <w:spacing w:after="0" w:line="259" w:lineRule="auto"/>
        <w:tabs>
          <w:tab w:leader="none" w:pos="71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Personal Liability of Directors, Officers, Employees and Stockholders</w:t>
      </w:r>
      <w:r>
        <w:rPr>
          <w:rFonts w:ascii="Times New Roman" w:cs="Times New Roman" w:eastAsia="Times New Roman" w:hAnsi="Times New Roman"/>
          <w:sz w:val="18"/>
          <w:szCs w:val="18"/>
          <w:color w:val="auto"/>
        </w:rPr>
        <w:t>. No past, present or future director, officer, employee,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incorporator or stockholder of the Company or any Guarantor, as such, will have any liability for any obligations of the Company or any Guarantor under the Indenture, the Notes or the Guarantees or for any claim based on, in respect of, or by reason of, such obligations or their creation. By accepting any Note, each Holder waives and releases all such liability. Such waiver and release are part of the consideration for the issuance of the Notes.</w:t>
      </w:r>
    </w:p>
    <w:p>
      <w:pPr>
        <w:spacing w:after="0" w:line="179" w:lineRule="exact"/>
        <w:rPr>
          <w:rFonts w:ascii="Times New Roman" w:cs="Times New Roman" w:eastAsia="Times New Roman" w:hAnsi="Times New Roman"/>
          <w:sz w:val="18"/>
          <w:szCs w:val="18"/>
          <w:color w:val="auto"/>
        </w:rPr>
      </w:pPr>
    </w:p>
    <w:p>
      <w:pPr>
        <w:ind w:right="200" w:firstLine="436"/>
        <w:spacing w:after="0" w:line="286" w:lineRule="auto"/>
        <w:tabs>
          <w:tab w:leader="none" w:pos="71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Authentication</w:t>
      </w:r>
      <w:r>
        <w:rPr>
          <w:rFonts w:ascii="Times New Roman" w:cs="Times New Roman" w:eastAsia="Times New Roman" w:hAnsi="Times New Roman"/>
          <w:sz w:val="18"/>
          <w:szCs w:val="18"/>
          <w:color w:val="auto"/>
        </w:rPr>
        <w:t>. No Note will be valid until it is authenticated by the Trustee. A Note will be deemed to be duly authenticated only when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signatory of the Trustee (or a duly appointed authenticating agent) manually signs the certificate of authentication of such Note.</w:t>
      </w:r>
    </w:p>
    <w:p>
      <w:pPr>
        <w:spacing w:after="0" w:line="154" w:lineRule="exact"/>
        <w:rPr>
          <w:rFonts w:ascii="Times New Roman" w:cs="Times New Roman" w:eastAsia="Times New Roman" w:hAnsi="Times New Roman"/>
          <w:sz w:val="18"/>
          <w:szCs w:val="18"/>
          <w:color w:val="auto"/>
        </w:rPr>
      </w:pPr>
    </w:p>
    <w:p>
      <w:pPr>
        <w:ind w:right="120" w:firstLine="436"/>
        <w:spacing w:after="0" w:line="268" w:lineRule="auto"/>
        <w:tabs>
          <w:tab w:leader="none" w:pos="71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Abbreviations</w:t>
      </w:r>
      <w:r>
        <w:rPr>
          <w:rFonts w:ascii="Times New Roman" w:cs="Times New Roman" w:eastAsia="Times New Roman" w:hAnsi="Times New Roman"/>
          <w:sz w:val="18"/>
          <w:szCs w:val="18"/>
          <w:color w:val="auto"/>
        </w:rPr>
        <w:t>. Customary abbreviations may be used in the name of a Holder or its assignee, such as TEN COM (tenants in common), TEN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 (tenants by the entireties), JT TEN (joint tenants with right of survivorship and not as tenants in common), CUST (custodian), and U/G/M/A (Uniform Gift to Minors Act).</w:t>
      </w:r>
    </w:p>
    <w:p>
      <w:pPr>
        <w:spacing w:after="0" w:line="170"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Governing Law</w:t>
      </w:r>
      <w:r>
        <w:rPr>
          <w:rFonts w:ascii="Times New Roman" w:cs="Times New Roman" w:eastAsia="Times New Roman" w:hAnsi="Times New Roman"/>
          <w:sz w:val="18"/>
          <w:szCs w:val="18"/>
          <w:color w:val="auto"/>
        </w:rPr>
        <w:t>. THIS NOTE, AND ANY CLAIM, CONTROVERSY OR DISPUTE ARISING UNDER OR RELATED TO THIS NOTE,</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GOVERNED BY AND CONSTRUED IN ACCORDANCE WITH THE LAWS OF THE STATE OF NEW YORK.</w:t>
      </w:r>
    </w:p>
    <w:p>
      <w:pPr>
        <w:spacing w:after="0" w:line="20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 * *</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1000"/>
          </w:cols>
          <w:pgMar w:left="440" w:top="266" w:right="459" w:bottom="1440" w:gutter="0" w:footer="0" w:header="0"/>
        </w:sectPr>
      </w:pPr>
    </w:p>
    <w:bookmarkStart w:id="111" w:name="page112"/>
    <w:bookmarkEnd w:id="111"/>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request a copy of the Indenture, which the Company will provide to any Holder at no charge, please send a written request to the following address:</w:t>
      </w:r>
    </w:p>
    <w:p>
      <w:pPr>
        <w:spacing w:after="0" w:line="16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Spectrum Brands, Inc.</w:t>
      </w:r>
    </w:p>
    <w:p>
      <w:pPr>
        <w:spacing w:after="0" w:line="2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3001 Deming Way</w:t>
      </w:r>
    </w:p>
    <w:p>
      <w:pPr>
        <w:spacing w:after="0" w:line="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Middleton, Wisconsin 53562</w:t>
      </w:r>
    </w:p>
    <w:p>
      <w:pPr>
        <w:spacing w:after="0" w:line="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13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A-6</w:t>
      </w:r>
    </w:p>
    <w:p>
      <w:pPr>
        <w:sectPr>
          <w:pgSz w:w="11900" w:h="16838" w:orient="portrait"/>
          <w:cols w:equalWidth="0" w:num="1">
            <w:col w:w="10660"/>
          </w:cols>
          <w:pgMar w:left="440" w:top="270" w:right="799" w:bottom="1440" w:gutter="0" w:footer="0" w:header="0"/>
        </w:sectPr>
      </w:pPr>
    </w:p>
    <w:bookmarkStart w:id="112" w:name="page113"/>
    <w:bookmarkEnd w:id="112"/>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OF EXCHANGES OF INTERESTS IN THE GLOBAL NOTE*</w:t>
      </w:r>
    </w:p>
    <w:p>
      <w:pPr>
        <w:spacing w:after="0" w:line="229" w:lineRule="exact"/>
        <w:rPr>
          <w:sz w:val="20"/>
          <w:szCs w:val="20"/>
          <w:color w:val="auto"/>
        </w:rPr>
      </w:pPr>
    </w:p>
    <w:p>
      <w:pPr>
        <w:ind w:left="2984"/>
        <w:spacing w:after="0"/>
        <w:rPr>
          <w:sz w:val="20"/>
          <w:szCs w:val="20"/>
          <w:color w:val="auto"/>
        </w:rPr>
      </w:pPr>
      <w:r>
        <w:rPr>
          <w:rFonts w:ascii="Times New Roman" w:cs="Times New Roman" w:eastAsia="Times New Roman" w:hAnsi="Times New Roman"/>
          <w:sz w:val="18"/>
          <w:szCs w:val="18"/>
          <w:color w:val="auto"/>
        </w:rPr>
        <w:t>INITIAL PRINCIPAL AMOUNT OF THIS GLOBAL NOTE: $[___]</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following exchanges, transfers or cancellations of this Global Note have been made:</w:t>
      </w:r>
    </w:p>
    <w:p>
      <w:pPr>
        <w:spacing w:after="0" w:line="233"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2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 Increase</w:t>
            </w:r>
          </w:p>
        </w:tc>
        <w:tc>
          <w:tcPr>
            <w:tcW w:w="100" w:type="dxa"/>
            <w:vAlign w:val="bottom"/>
          </w:tcPr>
          <w:p>
            <w:pPr>
              <w:spacing w:after="0"/>
              <w:rPr>
                <w:sz w:val="13"/>
                <w:szCs w:val="13"/>
                <w:color w:val="auto"/>
              </w:rPr>
            </w:pPr>
          </w:p>
        </w:tc>
        <w:tc>
          <w:tcPr>
            <w:tcW w:w="2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 Amount of</w:t>
            </w:r>
          </w:p>
        </w:tc>
        <w:tc>
          <w:tcPr>
            <w:tcW w:w="160" w:type="dxa"/>
            <w:vAlign w:val="bottom"/>
          </w:tcPr>
          <w:p>
            <w:pPr>
              <w:spacing w:after="0"/>
              <w:rPr>
                <w:sz w:val="13"/>
                <w:szCs w:val="13"/>
                <w:color w:val="auto"/>
              </w:rPr>
            </w:pPr>
          </w:p>
        </w:tc>
        <w:tc>
          <w:tcPr>
            <w:tcW w:w="2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 of</w:t>
            </w: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(Decrease) in</w:t>
            </w:r>
          </w:p>
        </w:tc>
        <w:tc>
          <w:tcPr>
            <w:tcW w:w="100" w:type="dxa"/>
            <w:vAlign w:val="bottom"/>
          </w:tcPr>
          <w:p>
            <w:pPr>
              <w:spacing w:after="0"/>
              <w:rPr>
                <w:sz w:val="12"/>
                <w:szCs w:val="12"/>
                <w:color w:val="auto"/>
              </w:rPr>
            </w:pPr>
          </w:p>
        </w:tc>
        <w:tc>
          <w:tcPr>
            <w:tcW w:w="2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this Global Note</w:t>
            </w:r>
          </w:p>
        </w:tc>
        <w:tc>
          <w:tcPr>
            <w:tcW w:w="160" w:type="dxa"/>
            <w:vAlign w:val="bottom"/>
          </w:tcPr>
          <w:p>
            <w:pPr>
              <w:spacing w:after="0"/>
              <w:rPr>
                <w:sz w:val="12"/>
                <w:szCs w:val="12"/>
                <w:color w:val="auto"/>
              </w:rPr>
            </w:pPr>
          </w:p>
        </w:tc>
        <w:tc>
          <w:tcPr>
            <w:tcW w:w="2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w:t>
            </w:r>
          </w:p>
        </w:tc>
        <w:tc>
          <w:tcPr>
            <w:tcW w:w="80" w:type="dxa"/>
            <w:vAlign w:val="bottom"/>
          </w:tcPr>
          <w:p>
            <w:pPr>
              <w:spacing w:after="0"/>
              <w:rPr>
                <w:sz w:val="12"/>
                <w:szCs w:val="12"/>
                <w:color w:val="auto"/>
              </w:rPr>
            </w:pPr>
          </w:p>
        </w:tc>
        <w:tc>
          <w:tcPr>
            <w:tcW w:w="2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Principal Amount of</w:t>
            </w:r>
          </w:p>
        </w:tc>
        <w:tc>
          <w:tcPr>
            <w:tcW w:w="100" w:type="dxa"/>
            <w:vAlign w:val="bottom"/>
          </w:tcPr>
          <w:p>
            <w:pPr>
              <w:spacing w:after="0"/>
              <w:rPr>
                <w:sz w:val="12"/>
                <w:szCs w:val="12"/>
                <w:color w:val="auto"/>
              </w:rPr>
            </w:pPr>
          </w:p>
        </w:tc>
        <w:tc>
          <w:tcPr>
            <w:tcW w:w="2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After Such Increase</w:t>
            </w:r>
          </w:p>
        </w:tc>
        <w:tc>
          <w:tcPr>
            <w:tcW w:w="160" w:type="dxa"/>
            <w:vAlign w:val="bottom"/>
          </w:tcPr>
          <w:p>
            <w:pPr>
              <w:spacing w:after="0"/>
              <w:rPr>
                <w:sz w:val="12"/>
                <w:szCs w:val="12"/>
                <w:color w:val="auto"/>
              </w:rPr>
            </w:pPr>
          </w:p>
        </w:tc>
        <w:tc>
          <w:tcPr>
            <w:tcW w:w="2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Authorized</w:t>
            </w:r>
          </w:p>
        </w:tc>
        <w:tc>
          <w:tcPr>
            <w:tcW w:w="0" w:type="dxa"/>
            <w:vAlign w:val="bottom"/>
          </w:tcPr>
          <w:p>
            <w:pPr>
              <w:spacing w:after="0"/>
              <w:rPr>
                <w:sz w:val="1"/>
                <w:szCs w:val="1"/>
                <w:color w:val="auto"/>
              </w:rPr>
            </w:pPr>
          </w:p>
        </w:tc>
      </w:tr>
      <w:tr>
        <w:trPr>
          <w:trHeight w:val="187"/>
        </w:trPr>
        <w:tc>
          <w:tcPr>
            <w:tcW w:w="2960" w:type="dxa"/>
            <w:vAlign w:val="bottom"/>
            <w:tcBorders>
              <w:bottom w:val="single" w:sz="8" w:color="auto"/>
            </w:tcBorders>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2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this Global Note</w:t>
            </w:r>
          </w:p>
        </w:tc>
        <w:tc>
          <w:tcPr>
            <w:tcW w:w="100" w:type="dxa"/>
            <w:vAlign w:val="bottom"/>
          </w:tcPr>
          <w:p>
            <w:pPr>
              <w:spacing w:after="0"/>
              <w:rPr>
                <w:sz w:val="16"/>
                <w:szCs w:val="16"/>
                <w:color w:val="auto"/>
              </w:rPr>
            </w:pPr>
          </w:p>
        </w:tc>
        <w:tc>
          <w:tcPr>
            <w:tcW w:w="2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60" w:type="dxa"/>
            <w:vAlign w:val="bottom"/>
          </w:tcPr>
          <w:p>
            <w:pPr>
              <w:spacing w:after="0"/>
              <w:rPr>
                <w:sz w:val="16"/>
                <w:szCs w:val="16"/>
                <w:color w:val="auto"/>
              </w:rPr>
            </w:pPr>
          </w:p>
        </w:tc>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Signatory of Trustee</w:t>
            </w:r>
          </w:p>
        </w:tc>
        <w:tc>
          <w:tcPr>
            <w:tcW w:w="0" w:type="dxa"/>
            <w:vAlign w:val="bottom"/>
          </w:tcPr>
          <w:p>
            <w:pPr>
              <w:spacing w:after="0"/>
              <w:rPr>
                <w:sz w:val="1"/>
                <w:szCs w:val="1"/>
                <w:color w:val="auto"/>
              </w:rPr>
            </w:pPr>
          </w:p>
        </w:tc>
      </w:tr>
      <w:tr>
        <w:trPr>
          <w:trHeight w:val="196"/>
        </w:trPr>
        <w:tc>
          <w:tcPr>
            <w:tcW w:w="12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7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3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2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7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7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7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7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7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7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7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7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7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7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7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7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7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7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7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220" w:type="dxa"/>
            <w:vAlign w:val="bottom"/>
            <w:tcBorders>
              <w:bottom w:val="single" w:sz="8" w:color="auto"/>
            </w:tcBorders>
          </w:tcPr>
          <w:p>
            <w:pPr>
              <w:spacing w:after="0"/>
              <w:rPr>
                <w:sz w:val="13"/>
                <w:szCs w:val="13"/>
                <w:color w:val="auto"/>
              </w:rPr>
            </w:pPr>
          </w:p>
        </w:tc>
        <w:tc>
          <w:tcPr>
            <w:tcW w:w="1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424" w:hanging="424"/>
        <w:spacing w:after="0" w:line="187" w:lineRule="auto"/>
        <w:tabs>
          <w:tab w:leader="none" w:pos="424" w:val="left"/>
        </w:tabs>
        <w:numPr>
          <w:ilvl w:val="0"/>
          <w:numId w:val="19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Insert for Global Notes only.</w:t>
      </w:r>
    </w:p>
    <w:p>
      <w:pPr>
        <w:spacing w:after="0" w:line="1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A-7</w:t>
      </w:r>
    </w:p>
    <w:p>
      <w:pPr>
        <w:sectPr>
          <w:pgSz w:w="11900" w:h="16838" w:orient="portrait"/>
          <w:cols w:equalWidth="0" w:num="1">
            <w:col w:w="11024"/>
          </w:cols>
          <w:pgMar w:left="436" w:top="266" w:right="439" w:bottom="1440" w:gutter="0" w:footer="0" w:header="0"/>
        </w:sectPr>
      </w:pPr>
    </w:p>
    <w:bookmarkStart w:id="113" w:name="page114"/>
    <w:bookmarkEnd w:id="113"/>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EXCHANGE NOTICE</w:t>
      </w:r>
    </w:p>
    <w:p>
      <w:pPr>
        <w:spacing w:after="0" w:line="22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SPECTRUM BRANDS, INC.</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3.375% Exchangeable Senior Notes due 2029</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Subject to the terms of the Indenture, by executing and delivering this Exchange Notice, the undersigned Holder of the Note identified below directs the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Company to Exchange (check one):</w:t>
      </w:r>
    </w:p>
    <w:p>
      <w:pPr>
        <w:spacing w:after="0" w:line="234" w:lineRule="exact"/>
        <w:rPr>
          <w:sz w:val="20"/>
          <w:szCs w:val="20"/>
          <w:color w:val="auto"/>
        </w:rPr>
      </w:pPr>
    </w:p>
    <w:p>
      <w:pPr>
        <w:ind w:left="424" w:hanging="424"/>
        <w:spacing w:after="0"/>
        <w:tabs>
          <w:tab w:leader="none" w:pos="424" w:val="left"/>
        </w:tabs>
        <w:numPr>
          <w:ilvl w:val="0"/>
          <w:numId w:val="19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entire principal amount of</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19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 aggregate principal amount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-7620</wp:posOffset>
            </wp:positionV>
            <wp:extent cx="45720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205" w:lineRule="exact"/>
        <w:rPr>
          <w:sz w:val="20"/>
          <w:szCs w:val="20"/>
          <w:color w:val="auto"/>
        </w:rPr>
      </w:pPr>
    </w:p>
    <w:p>
      <w:pPr>
        <w:ind w:left="4"/>
        <w:spacing w:after="0"/>
        <w:tabs>
          <w:tab w:leader="none" w:pos="3224" w:val="left"/>
        </w:tabs>
        <w:rPr>
          <w:sz w:val="20"/>
          <w:szCs w:val="20"/>
          <w:color w:val="auto"/>
        </w:rPr>
      </w:pPr>
      <w:r>
        <w:rPr>
          <w:rFonts w:ascii="Times New Roman" w:cs="Times New Roman" w:eastAsia="Times New Roman" w:hAnsi="Times New Roman"/>
          <w:sz w:val="18"/>
          <w:szCs w:val="18"/>
          <w:color w:val="auto"/>
        </w:rPr>
        <w:t xml:space="preserve">the Note identified by CUSIP No.           </w:t>
        <w:tab/>
        <w:t>and Certificate No.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1577340</wp:posOffset>
            </wp:positionH>
            <wp:positionV relativeFrom="paragraph">
              <wp:posOffset>-7620</wp:posOffset>
            </wp:positionV>
            <wp:extent cx="45720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57200" cy="8255"/>
                    </a:xfrm>
                    <a:prstGeom prst="rect">
                      <a:avLst/>
                    </a:prstGeom>
                    <a:noFill/>
                  </pic:spPr>
                </pic:pic>
              </a:graphicData>
            </a:graphic>
          </wp:anchor>
        </w:drawing>
        <w:drawing>
          <wp:anchor simplePos="0" relativeHeight="251657728" behindDoc="1" locked="0" layoutInCell="0" allowOverlap="1">
            <wp:simplePos x="0" y="0"/>
            <wp:positionH relativeFrom="column">
              <wp:posOffset>2963545</wp:posOffset>
            </wp:positionH>
            <wp:positionV relativeFrom="paragraph">
              <wp:posOffset>-7620</wp:posOffset>
            </wp:positionV>
            <wp:extent cx="45720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205"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The undersigned acknowledges that if the Exchange Date of a Note to be Exchanged is after a Regular Record Date and before the next Interest Payment Date, then such Note, when surrendered for Exchange, must, in certain circumstances, be accompanied with an amount of cash equal to the interest that would have accrued on such Note to, but excluding, such Interest Payment Date.</w:t>
      </w:r>
    </w:p>
    <w:p>
      <w:pPr>
        <w:spacing w:after="0" w:line="2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17145</wp:posOffset>
            </wp:positionV>
            <wp:extent cx="665226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652260" cy="8255"/>
                    </a:xfrm>
                    <a:prstGeom prst="rect">
                      <a:avLst/>
                    </a:prstGeom>
                    <a:noFill/>
                  </pic:spPr>
                </pic:pic>
              </a:graphicData>
            </a:graphic>
          </wp:anchor>
        </w:drawing>
      </w:r>
    </w:p>
    <w:p>
      <w:pPr>
        <w:spacing w:after="0" w:line="16" w:lineRule="exact"/>
        <w:rPr>
          <w:sz w:val="20"/>
          <w:szCs w:val="20"/>
          <w:color w:val="auto"/>
        </w:rPr>
      </w:pPr>
    </w:p>
    <w:p>
      <w:pPr>
        <w:ind w:left="7784"/>
        <w:spacing w:after="0"/>
        <w:rPr>
          <w:sz w:val="20"/>
          <w:szCs w:val="20"/>
          <w:color w:val="auto"/>
        </w:rPr>
      </w:pPr>
      <w:r>
        <w:rPr>
          <w:rFonts w:ascii="Times New Roman" w:cs="Times New Roman" w:eastAsia="Times New Roman" w:hAnsi="Times New Roman"/>
          <w:sz w:val="18"/>
          <w:szCs w:val="18"/>
          <w:color w:val="auto"/>
        </w:rPr>
        <w:t>(Legal Name of Holder)</w:t>
      </w:r>
    </w:p>
    <w:p>
      <w:pPr>
        <w:spacing w:after="0" w:line="225" w:lineRule="exact"/>
        <w:rPr>
          <w:sz w:val="20"/>
          <w:szCs w:val="20"/>
          <w:color w:val="auto"/>
        </w:rPr>
      </w:pPr>
    </w:p>
    <w:p>
      <w:pPr>
        <w:ind w:left="586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3994785</wp:posOffset>
            </wp:positionH>
            <wp:positionV relativeFrom="paragraph">
              <wp:posOffset>17145</wp:posOffset>
            </wp:positionV>
            <wp:extent cx="300037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16" w:lineRule="exact"/>
        <w:rPr>
          <w:sz w:val="20"/>
          <w:szCs w:val="20"/>
          <w:color w:val="auto"/>
        </w:rPr>
      </w:pPr>
    </w:p>
    <w:p>
      <w:pPr>
        <w:ind w:left="6284"/>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284"/>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864"/>
        <w:spacing w:after="0"/>
        <w:rPr>
          <w:sz w:val="20"/>
          <w:szCs w:val="20"/>
          <w:color w:val="auto"/>
        </w:rPr>
      </w:pPr>
      <w:r>
        <w:rPr>
          <w:rFonts w:ascii="Times New Roman" w:cs="Times New Roman" w:eastAsia="Times New Roman" w:hAnsi="Times New Roman"/>
          <w:sz w:val="18"/>
          <w:szCs w:val="18"/>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3994785</wp:posOffset>
            </wp:positionH>
            <wp:positionV relativeFrom="paragraph">
              <wp:posOffset>163195</wp:posOffset>
            </wp:positionV>
            <wp:extent cx="300037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273"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18"/>
          <w:szCs w:val="18"/>
          <w:color w:val="auto"/>
        </w:rPr>
        <w:t>Participant in a Recognized Signature</w:t>
      </w:r>
    </w:p>
    <w:p>
      <w:pPr>
        <w:spacing w:after="0" w:line="27"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18"/>
          <w:szCs w:val="18"/>
          <w:color w:val="auto"/>
        </w:rPr>
        <w:t>Guarantee Medallion Program</w:t>
      </w:r>
    </w:p>
    <w:p>
      <w:pPr>
        <w:spacing w:after="0" w:line="220" w:lineRule="exact"/>
        <w:rPr>
          <w:sz w:val="20"/>
          <w:szCs w:val="20"/>
          <w:color w:val="auto"/>
        </w:rPr>
      </w:pPr>
    </w:p>
    <w:p>
      <w:pPr>
        <w:ind w:left="586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3994785</wp:posOffset>
            </wp:positionH>
            <wp:positionV relativeFrom="paragraph">
              <wp:posOffset>17145</wp:posOffset>
            </wp:positionV>
            <wp:extent cx="300037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16" w:lineRule="exact"/>
        <w:rPr>
          <w:sz w:val="20"/>
          <w:szCs w:val="20"/>
          <w:color w:val="auto"/>
        </w:rPr>
      </w:pPr>
    </w:p>
    <w:p>
      <w:pPr>
        <w:ind w:left="7884"/>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77152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02" w:lineRule="exact"/>
        <w:rPr>
          <w:sz w:val="20"/>
          <w:szCs w:val="20"/>
          <w:color w:val="auto"/>
        </w:rPr>
      </w:pPr>
    </w:p>
    <w:p>
      <w:pPr>
        <w:ind w:left="424" w:hanging="424"/>
        <w:spacing w:after="0"/>
        <w:tabs>
          <w:tab w:leader="none" w:pos="424" w:val="left"/>
        </w:tabs>
        <w:numPr>
          <w:ilvl w:val="0"/>
          <w:numId w:val="19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Must be an Authorized Denomination.</w:t>
      </w:r>
    </w:p>
    <w:p>
      <w:pPr>
        <w:spacing w:after="0" w:line="13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A-8</w:t>
      </w:r>
    </w:p>
    <w:p>
      <w:pPr>
        <w:sectPr>
          <w:pgSz w:w="11900" w:h="16838" w:orient="portrait"/>
          <w:cols w:equalWidth="0" w:num="1">
            <w:col w:w="11024"/>
          </w:cols>
          <w:pgMar w:left="436" w:top="266" w:right="439" w:bottom="1440" w:gutter="0" w:footer="0" w:header="0"/>
        </w:sectPr>
      </w:pPr>
    </w:p>
    <w:bookmarkStart w:id="114" w:name="page115"/>
    <w:bookmarkEnd w:id="114"/>
    <w:p>
      <w:pPr>
        <w:jc w:val="center"/>
        <w:ind w:right="-36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FUNDAMENTAL CHANGE REPURCHASE NOTICE</w:t>
      </w:r>
    </w:p>
    <w:p>
      <w:pPr>
        <w:spacing w:after="0" w:line="229" w:lineRule="exact"/>
        <w:rPr>
          <w:sz w:val="20"/>
          <w:szCs w:val="20"/>
          <w:color w:val="auto"/>
        </w:rPr>
      </w:pPr>
    </w:p>
    <w:p>
      <w:pPr>
        <w:jc w:val="center"/>
        <w:ind w:right="-363"/>
        <w:spacing w:after="0"/>
        <w:rPr>
          <w:sz w:val="20"/>
          <w:szCs w:val="20"/>
          <w:color w:val="auto"/>
        </w:rPr>
      </w:pPr>
      <w:r>
        <w:rPr>
          <w:rFonts w:ascii="Times New Roman" w:cs="Times New Roman" w:eastAsia="Times New Roman" w:hAnsi="Times New Roman"/>
          <w:sz w:val="18"/>
          <w:szCs w:val="18"/>
          <w:color w:val="auto"/>
        </w:rPr>
        <w:t>SPECTRUM BRANDS, INC.</w:t>
      </w:r>
    </w:p>
    <w:p>
      <w:pPr>
        <w:spacing w:after="0" w:line="225" w:lineRule="exact"/>
        <w:rPr>
          <w:sz w:val="20"/>
          <w:szCs w:val="20"/>
          <w:color w:val="auto"/>
        </w:rPr>
      </w:pPr>
    </w:p>
    <w:p>
      <w:pPr>
        <w:jc w:val="center"/>
        <w:ind w:right="-363"/>
        <w:spacing w:after="0"/>
        <w:rPr>
          <w:sz w:val="20"/>
          <w:szCs w:val="20"/>
          <w:color w:val="auto"/>
        </w:rPr>
      </w:pPr>
      <w:r>
        <w:rPr>
          <w:rFonts w:ascii="Times New Roman" w:cs="Times New Roman" w:eastAsia="Times New Roman" w:hAnsi="Times New Roman"/>
          <w:sz w:val="18"/>
          <w:szCs w:val="18"/>
          <w:color w:val="auto"/>
        </w:rPr>
        <w:t>3.375% Exchangeable Senior Notes due 2029</w:t>
      </w:r>
    </w:p>
    <w:p>
      <w:pPr>
        <w:spacing w:after="0" w:line="225"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Subject to the terms of the Indenture, by executing and delivering this Fundamental Change Repurchase Notice, the undersigned Holder of the Note identified below is exercising its Fundamental Change Repurchase Right with respect to (check one):</w:t>
      </w:r>
    </w:p>
    <w:p>
      <w:pPr>
        <w:spacing w:after="0" w:line="189" w:lineRule="exact"/>
        <w:rPr>
          <w:sz w:val="20"/>
          <w:szCs w:val="20"/>
          <w:color w:val="auto"/>
        </w:rPr>
      </w:pPr>
    </w:p>
    <w:p>
      <w:pPr>
        <w:ind w:left="424" w:hanging="424"/>
        <w:spacing w:after="0"/>
        <w:tabs>
          <w:tab w:leader="none" w:pos="424" w:val="left"/>
        </w:tabs>
        <w:numPr>
          <w:ilvl w:val="0"/>
          <w:numId w:val="19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entire principal amount of</w:t>
      </w:r>
    </w:p>
    <w:p>
      <w:pPr>
        <w:spacing w:after="0" w:line="211" w:lineRule="exact"/>
        <w:rPr>
          <w:sz w:val="20"/>
          <w:szCs w:val="20"/>
          <w:color w:val="auto"/>
        </w:rPr>
      </w:pPr>
    </w:p>
    <w:p>
      <w:pPr>
        <w:ind w:left="4"/>
        <w:spacing w:after="0"/>
        <w:tabs>
          <w:tab w:leader="none" w:pos="404" w:val="left"/>
          <w:tab w:leader="none" w:pos="1264"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7"/>
          <w:szCs w:val="17"/>
          <w:color w:val="auto"/>
        </w:rPr>
        <w:t>* aggregate principal amount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17780</wp:posOffset>
            </wp:positionV>
            <wp:extent cx="48577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46" w:lineRule="exact"/>
        <w:rPr>
          <w:sz w:val="20"/>
          <w:szCs w:val="20"/>
          <w:color w:val="auto"/>
        </w:rPr>
      </w:pPr>
    </w:p>
    <w:p>
      <w:pPr>
        <w:ind w:left="4"/>
        <w:spacing w:after="0"/>
        <w:tabs>
          <w:tab w:leader="none" w:pos="3224" w:val="left"/>
        </w:tabs>
        <w:rPr>
          <w:sz w:val="20"/>
          <w:szCs w:val="20"/>
          <w:color w:val="auto"/>
        </w:rPr>
      </w:pPr>
      <w:r>
        <w:rPr>
          <w:rFonts w:ascii="Times New Roman" w:cs="Times New Roman" w:eastAsia="Times New Roman" w:hAnsi="Times New Roman"/>
          <w:sz w:val="18"/>
          <w:szCs w:val="18"/>
          <w:color w:val="auto"/>
        </w:rPr>
        <w:t xml:space="preserve">the Note identified by CUSIP No.           </w:t>
        <w:tab/>
        <w:t>and Certificate No.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1577340</wp:posOffset>
            </wp:positionH>
            <wp:positionV relativeFrom="paragraph">
              <wp:posOffset>-7620</wp:posOffset>
            </wp:positionV>
            <wp:extent cx="45720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57200" cy="8255"/>
                    </a:xfrm>
                    <a:prstGeom prst="rect">
                      <a:avLst/>
                    </a:prstGeom>
                    <a:noFill/>
                  </pic:spPr>
                </pic:pic>
              </a:graphicData>
            </a:graphic>
          </wp:anchor>
        </w:drawing>
        <w:drawing>
          <wp:anchor simplePos="0" relativeHeight="251657728" behindDoc="1" locked="0" layoutInCell="0" allowOverlap="1">
            <wp:simplePos x="0" y="0"/>
            <wp:positionH relativeFrom="column">
              <wp:posOffset>2963545</wp:posOffset>
            </wp:positionH>
            <wp:positionV relativeFrom="paragraph">
              <wp:posOffset>-7620</wp:posOffset>
            </wp:positionV>
            <wp:extent cx="45720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205" w:lineRule="exact"/>
        <w:rPr>
          <w:sz w:val="20"/>
          <w:szCs w:val="20"/>
          <w:color w:val="auto"/>
        </w:rPr>
      </w:pPr>
    </w:p>
    <w:p>
      <w:pPr>
        <w:ind w:left="4" w:right="220"/>
        <w:spacing w:after="0" w:line="282" w:lineRule="auto"/>
        <w:rPr>
          <w:sz w:val="20"/>
          <w:szCs w:val="20"/>
          <w:color w:val="auto"/>
        </w:rPr>
      </w:pPr>
      <w:r>
        <w:rPr>
          <w:rFonts w:ascii="Times New Roman" w:cs="Times New Roman" w:eastAsia="Times New Roman" w:hAnsi="Times New Roman"/>
          <w:sz w:val="18"/>
          <w:szCs w:val="18"/>
          <w:color w:val="auto"/>
        </w:rPr>
        <w:t>The undersigned acknowledges that this Note, duly endorsed for transfer, must be delivered to the Paying Agent before the Fundamental Change Repurchase Price will be paid.</w:t>
      </w:r>
    </w:p>
    <w:p>
      <w:pPr>
        <w:spacing w:after="0" w:line="1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17145</wp:posOffset>
            </wp:positionV>
            <wp:extent cx="665226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652260" cy="8890"/>
                    </a:xfrm>
                    <a:prstGeom prst="rect">
                      <a:avLst/>
                    </a:prstGeom>
                    <a:noFill/>
                  </pic:spPr>
                </pic:pic>
              </a:graphicData>
            </a:graphic>
          </wp:anchor>
        </w:drawing>
      </w:r>
    </w:p>
    <w:p>
      <w:pPr>
        <w:spacing w:after="0" w:line="16" w:lineRule="exact"/>
        <w:rPr>
          <w:sz w:val="20"/>
          <w:szCs w:val="20"/>
          <w:color w:val="auto"/>
        </w:rPr>
      </w:pPr>
    </w:p>
    <w:p>
      <w:pPr>
        <w:ind w:left="7784"/>
        <w:spacing w:after="0"/>
        <w:rPr>
          <w:sz w:val="20"/>
          <w:szCs w:val="20"/>
          <w:color w:val="auto"/>
        </w:rPr>
      </w:pPr>
      <w:r>
        <w:rPr>
          <w:rFonts w:ascii="Times New Roman" w:cs="Times New Roman" w:eastAsia="Times New Roman" w:hAnsi="Times New Roman"/>
          <w:sz w:val="18"/>
          <w:szCs w:val="18"/>
          <w:color w:val="auto"/>
        </w:rPr>
        <w:t>(Legal Name of Holder)</w:t>
      </w:r>
    </w:p>
    <w:p>
      <w:pPr>
        <w:spacing w:after="0" w:line="225" w:lineRule="exact"/>
        <w:rPr>
          <w:sz w:val="20"/>
          <w:szCs w:val="20"/>
          <w:color w:val="auto"/>
        </w:rPr>
      </w:pPr>
    </w:p>
    <w:p>
      <w:pPr>
        <w:ind w:left="586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3994785</wp:posOffset>
            </wp:positionH>
            <wp:positionV relativeFrom="paragraph">
              <wp:posOffset>17145</wp:posOffset>
            </wp:positionV>
            <wp:extent cx="300037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000375" cy="8890"/>
                    </a:xfrm>
                    <a:prstGeom prst="rect">
                      <a:avLst/>
                    </a:prstGeom>
                    <a:noFill/>
                  </pic:spPr>
                </pic:pic>
              </a:graphicData>
            </a:graphic>
          </wp:anchor>
        </w:drawing>
      </w:r>
    </w:p>
    <w:p>
      <w:pPr>
        <w:spacing w:after="0" w:line="16" w:lineRule="exact"/>
        <w:rPr>
          <w:sz w:val="20"/>
          <w:szCs w:val="20"/>
          <w:color w:val="auto"/>
        </w:rPr>
      </w:pPr>
    </w:p>
    <w:p>
      <w:pPr>
        <w:ind w:left="6284"/>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284"/>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864"/>
        <w:spacing w:after="0"/>
        <w:rPr>
          <w:sz w:val="20"/>
          <w:szCs w:val="20"/>
          <w:color w:val="auto"/>
        </w:rPr>
      </w:pPr>
      <w:r>
        <w:rPr>
          <w:rFonts w:ascii="Times New Roman" w:cs="Times New Roman" w:eastAsia="Times New Roman" w:hAnsi="Times New Roman"/>
          <w:sz w:val="18"/>
          <w:szCs w:val="18"/>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3994785</wp:posOffset>
            </wp:positionH>
            <wp:positionV relativeFrom="paragraph">
              <wp:posOffset>163195</wp:posOffset>
            </wp:positionV>
            <wp:extent cx="300037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273"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18"/>
          <w:szCs w:val="18"/>
          <w:color w:val="auto"/>
        </w:rPr>
        <w:t>Participant in a Recognized Signature</w:t>
      </w:r>
    </w:p>
    <w:p>
      <w:pPr>
        <w:spacing w:after="0" w:line="27"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18"/>
          <w:szCs w:val="18"/>
          <w:color w:val="auto"/>
        </w:rPr>
        <w:t>Guarantee Medallion Program</w:t>
      </w:r>
    </w:p>
    <w:p>
      <w:pPr>
        <w:spacing w:after="0" w:line="220" w:lineRule="exact"/>
        <w:rPr>
          <w:sz w:val="20"/>
          <w:szCs w:val="20"/>
          <w:color w:val="auto"/>
        </w:rPr>
      </w:pPr>
    </w:p>
    <w:p>
      <w:pPr>
        <w:ind w:left="586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3994785</wp:posOffset>
            </wp:positionH>
            <wp:positionV relativeFrom="paragraph">
              <wp:posOffset>17145</wp:posOffset>
            </wp:positionV>
            <wp:extent cx="300037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000375" cy="8890"/>
                    </a:xfrm>
                    <a:prstGeom prst="rect">
                      <a:avLst/>
                    </a:prstGeom>
                    <a:noFill/>
                  </pic:spPr>
                </pic:pic>
              </a:graphicData>
            </a:graphic>
          </wp:anchor>
        </w:drawing>
      </w:r>
    </w:p>
    <w:p>
      <w:pPr>
        <w:spacing w:after="0" w:line="16" w:lineRule="exact"/>
        <w:rPr>
          <w:sz w:val="20"/>
          <w:szCs w:val="20"/>
          <w:color w:val="auto"/>
        </w:rPr>
      </w:pPr>
    </w:p>
    <w:p>
      <w:pPr>
        <w:ind w:left="7884"/>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7715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02" w:lineRule="exact"/>
        <w:rPr>
          <w:sz w:val="20"/>
          <w:szCs w:val="20"/>
          <w:color w:val="auto"/>
        </w:rPr>
      </w:pPr>
    </w:p>
    <w:p>
      <w:pPr>
        <w:ind w:left="424" w:hanging="424"/>
        <w:spacing w:after="0"/>
        <w:tabs>
          <w:tab w:leader="none" w:pos="424" w:val="left"/>
        </w:tabs>
        <w:numPr>
          <w:ilvl w:val="0"/>
          <w:numId w:val="19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Must be an Authorized Denomination.</w:t>
      </w:r>
    </w:p>
    <w:p>
      <w:pPr>
        <w:spacing w:after="0" w:line="130" w:lineRule="exact"/>
        <w:rPr>
          <w:sz w:val="20"/>
          <w:szCs w:val="20"/>
          <w:color w:val="auto"/>
        </w:rPr>
      </w:pPr>
    </w:p>
    <w:p>
      <w:pPr>
        <w:jc w:val="center"/>
        <w:ind w:right="-363"/>
        <w:spacing w:after="0"/>
        <w:rPr>
          <w:sz w:val="20"/>
          <w:szCs w:val="20"/>
          <w:color w:val="auto"/>
        </w:rPr>
      </w:pPr>
      <w:r>
        <w:rPr>
          <w:rFonts w:ascii="Times New Roman" w:cs="Times New Roman" w:eastAsia="Times New Roman" w:hAnsi="Times New Roman"/>
          <w:sz w:val="18"/>
          <w:szCs w:val="18"/>
          <w:color w:val="auto"/>
        </w:rPr>
        <w:t>A-9</w:t>
      </w:r>
    </w:p>
    <w:p>
      <w:pPr>
        <w:sectPr>
          <w:pgSz w:w="11900" w:h="16838" w:orient="portrait"/>
          <w:cols w:equalWidth="0" w:num="1">
            <w:col w:w="10644"/>
          </w:cols>
          <w:pgMar w:left="436" w:top="266" w:right="819" w:bottom="1440" w:gutter="0" w:footer="0" w:header="0"/>
        </w:sectPr>
      </w:pPr>
    </w:p>
    <w:bookmarkStart w:id="115" w:name="page116"/>
    <w:bookmarkEnd w:id="115"/>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ASSIGNMENT FORM</w:t>
      </w:r>
    </w:p>
    <w:p>
      <w:pPr>
        <w:spacing w:after="0" w:line="229" w:lineRule="exact"/>
        <w:rPr>
          <w:sz w:val="20"/>
          <w:szCs w:val="20"/>
          <w:color w:val="auto"/>
        </w:rPr>
      </w:pPr>
    </w:p>
    <w:p>
      <w:pPr>
        <w:jc w:val="center"/>
        <w:ind w:right="-984"/>
        <w:spacing w:after="0"/>
        <w:rPr>
          <w:sz w:val="20"/>
          <w:szCs w:val="20"/>
          <w:color w:val="auto"/>
        </w:rPr>
      </w:pPr>
      <w:r>
        <w:rPr>
          <w:rFonts w:ascii="Times New Roman" w:cs="Times New Roman" w:eastAsia="Times New Roman" w:hAnsi="Times New Roman"/>
          <w:sz w:val="18"/>
          <w:szCs w:val="18"/>
          <w:color w:val="auto"/>
        </w:rPr>
        <w:t>SPECTRUM BRANDS, INC.</w:t>
      </w:r>
    </w:p>
    <w:p>
      <w:pPr>
        <w:spacing w:after="0" w:line="225" w:lineRule="exact"/>
        <w:rPr>
          <w:sz w:val="20"/>
          <w:szCs w:val="20"/>
          <w:color w:val="auto"/>
        </w:rPr>
      </w:pPr>
    </w:p>
    <w:p>
      <w:pPr>
        <w:ind w:left="3864"/>
        <w:spacing w:after="0"/>
        <w:rPr>
          <w:sz w:val="20"/>
          <w:szCs w:val="20"/>
          <w:color w:val="auto"/>
        </w:rPr>
      </w:pPr>
      <w:r>
        <w:rPr>
          <w:rFonts w:ascii="Times New Roman" w:cs="Times New Roman" w:eastAsia="Times New Roman" w:hAnsi="Times New Roman"/>
          <w:sz w:val="18"/>
          <w:szCs w:val="18"/>
          <w:color w:val="auto"/>
        </w:rPr>
        <w:t>3.375% Exchangeable Senior Notes due 2029</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Subject to the terms of the Indenture, the undersigned Holder of the Note identified below assigns (check one):</w:t>
      </w:r>
    </w:p>
    <w:p>
      <w:pPr>
        <w:spacing w:after="0" w:line="252" w:lineRule="exact"/>
        <w:rPr>
          <w:sz w:val="20"/>
          <w:szCs w:val="20"/>
          <w:color w:val="auto"/>
        </w:rPr>
      </w:pPr>
    </w:p>
    <w:p>
      <w:pPr>
        <w:ind w:left="424" w:hanging="424"/>
        <w:spacing w:after="0"/>
        <w:tabs>
          <w:tab w:leader="none" w:pos="424" w:val="left"/>
        </w:tabs>
        <w:numPr>
          <w:ilvl w:val="0"/>
          <w:numId w:val="19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entire principal amount of</w:t>
      </w:r>
    </w:p>
    <w:p>
      <w:pPr>
        <w:spacing w:after="0" w:line="211" w:lineRule="exact"/>
        <w:rPr>
          <w:sz w:val="20"/>
          <w:szCs w:val="20"/>
          <w:color w:val="auto"/>
        </w:rPr>
      </w:pPr>
    </w:p>
    <w:p>
      <w:pPr>
        <w:ind w:left="4"/>
        <w:spacing w:after="0"/>
        <w:tabs>
          <w:tab w:leader="none" w:pos="404" w:val="left"/>
          <w:tab w:leader="none" w:pos="1264"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7"/>
          <w:szCs w:val="17"/>
          <w:color w:val="auto"/>
        </w:rPr>
        <w:t>* aggregate principal amount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17780</wp:posOffset>
            </wp:positionV>
            <wp:extent cx="48577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46" w:lineRule="exact"/>
        <w:rPr>
          <w:sz w:val="20"/>
          <w:szCs w:val="20"/>
          <w:color w:val="auto"/>
        </w:rPr>
      </w:pPr>
    </w:p>
    <w:p>
      <w:pPr>
        <w:ind w:left="4"/>
        <w:spacing w:after="0"/>
        <w:tabs>
          <w:tab w:leader="none" w:pos="3184" w:val="left"/>
        </w:tabs>
        <w:rPr>
          <w:sz w:val="20"/>
          <w:szCs w:val="20"/>
          <w:color w:val="auto"/>
        </w:rPr>
      </w:pPr>
      <w:r>
        <w:rPr>
          <w:rFonts w:ascii="Times New Roman" w:cs="Times New Roman" w:eastAsia="Times New Roman" w:hAnsi="Times New Roman"/>
          <w:sz w:val="18"/>
          <w:szCs w:val="18"/>
          <w:color w:val="auto"/>
        </w:rPr>
        <w:t xml:space="preserve">the Note identified by CUSIP No.          </w:t>
        <w:tab/>
        <w:t>and Certificate No.             , and all rights thereunder,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1548765</wp:posOffset>
            </wp:positionH>
            <wp:positionV relativeFrom="paragraph">
              <wp:posOffset>-7620</wp:posOffset>
            </wp:positionV>
            <wp:extent cx="4572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57200" cy="8890"/>
                    </a:xfrm>
                    <a:prstGeom prst="rect">
                      <a:avLst/>
                    </a:prstGeom>
                    <a:noFill/>
                  </pic:spPr>
                </pic:pic>
              </a:graphicData>
            </a:graphic>
          </wp:anchor>
        </w:drawing>
        <w:drawing>
          <wp:anchor simplePos="0" relativeHeight="251657728" behindDoc="1" locked="0" layoutInCell="0" allowOverlap="1">
            <wp:simplePos x="0" y="0"/>
            <wp:positionH relativeFrom="column">
              <wp:posOffset>2934970</wp:posOffset>
            </wp:positionH>
            <wp:positionV relativeFrom="paragraph">
              <wp:posOffset>-7620</wp:posOffset>
            </wp:positionV>
            <wp:extent cx="4572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232"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1885950</wp:posOffset>
            </wp:positionH>
            <wp:positionV relativeFrom="paragraph">
              <wp:posOffset>17145</wp:posOffset>
            </wp:positionV>
            <wp:extent cx="510921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09210" cy="8255"/>
                    </a:xfrm>
                    <a:prstGeom prst="rect">
                      <a:avLst/>
                    </a:prstGeom>
                    <a:noFill/>
                  </pic:spPr>
                </pic:pic>
              </a:graphicData>
            </a:graphic>
          </wp:anchor>
        </w:drawing>
      </w:r>
    </w:p>
    <w:p>
      <w:pPr>
        <w:spacing w:after="0" w:line="232"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1885950</wp:posOffset>
            </wp:positionH>
            <wp:positionV relativeFrom="paragraph">
              <wp:posOffset>17145</wp:posOffset>
            </wp:positionV>
            <wp:extent cx="510921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09210" cy="8255"/>
                    </a:xfrm>
                    <a:prstGeom prst="rect">
                      <a:avLst/>
                    </a:prstGeom>
                    <a:noFill/>
                  </pic:spPr>
                </pic:pic>
              </a:graphicData>
            </a:graphic>
          </wp:anchor>
        </w:drawing>
      </w:r>
    </w:p>
    <w:p>
      <w:pPr>
        <w:spacing w:after="0" w:line="232"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Social security or tax id.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1885950</wp:posOffset>
            </wp:positionH>
            <wp:positionV relativeFrom="paragraph">
              <wp:posOffset>17145</wp:posOffset>
            </wp:positionV>
            <wp:extent cx="510921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09210" cy="8890"/>
                    </a:xfrm>
                    <a:prstGeom prst="rect">
                      <a:avLst/>
                    </a:prstGeom>
                    <a:noFill/>
                  </pic:spPr>
                </pic:pic>
              </a:graphicData>
            </a:graphic>
          </wp:anchor>
        </w:drawing>
      </w:r>
    </w:p>
    <w:p>
      <w:pPr>
        <w:spacing w:after="0" w:line="232"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and irrevocably appoints: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1885950</wp:posOffset>
            </wp:positionH>
            <wp:positionV relativeFrom="paragraph">
              <wp:posOffset>17145</wp:posOffset>
            </wp:positionV>
            <wp:extent cx="510921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09210" cy="8255"/>
                    </a:xfrm>
                    <a:prstGeom prst="rect">
                      <a:avLst/>
                    </a:prstGeom>
                    <a:noFill/>
                  </pic:spPr>
                </pic:pic>
              </a:graphicData>
            </a:graphic>
          </wp:anchor>
        </w:drawing>
      </w:r>
    </w:p>
    <w:p>
      <w:pPr>
        <w:spacing w:after="0" w:line="23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as agent to transfer the within Note on the books of the Company. The agent may substitute another to act for him/her.</w:t>
      </w:r>
    </w:p>
    <w:p>
      <w:pPr>
        <w:spacing w:after="0" w:line="2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17145</wp:posOffset>
            </wp:positionV>
            <wp:extent cx="665226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652260" cy="8255"/>
                    </a:xfrm>
                    <a:prstGeom prst="rect">
                      <a:avLst/>
                    </a:prstGeom>
                    <a:noFill/>
                  </pic:spPr>
                </pic:pic>
              </a:graphicData>
            </a:graphic>
          </wp:anchor>
        </w:drawing>
      </w:r>
    </w:p>
    <w:p>
      <w:pPr>
        <w:spacing w:after="0" w:line="16" w:lineRule="exact"/>
        <w:rPr>
          <w:sz w:val="20"/>
          <w:szCs w:val="20"/>
          <w:color w:val="auto"/>
        </w:rPr>
      </w:pPr>
    </w:p>
    <w:p>
      <w:pPr>
        <w:ind w:left="7784"/>
        <w:spacing w:after="0"/>
        <w:rPr>
          <w:sz w:val="20"/>
          <w:szCs w:val="20"/>
          <w:color w:val="auto"/>
        </w:rPr>
      </w:pPr>
      <w:r>
        <w:rPr>
          <w:rFonts w:ascii="Times New Roman" w:cs="Times New Roman" w:eastAsia="Times New Roman" w:hAnsi="Times New Roman"/>
          <w:sz w:val="18"/>
          <w:szCs w:val="18"/>
          <w:color w:val="auto"/>
        </w:rPr>
        <w:t>(Legal Name of Holder)</w:t>
      </w:r>
    </w:p>
    <w:p>
      <w:pPr>
        <w:spacing w:after="0" w:line="225" w:lineRule="exact"/>
        <w:rPr>
          <w:sz w:val="20"/>
          <w:szCs w:val="20"/>
          <w:color w:val="auto"/>
        </w:rPr>
      </w:pPr>
    </w:p>
    <w:p>
      <w:pPr>
        <w:ind w:left="586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3994785</wp:posOffset>
            </wp:positionH>
            <wp:positionV relativeFrom="paragraph">
              <wp:posOffset>17145</wp:posOffset>
            </wp:positionV>
            <wp:extent cx="300037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16" w:lineRule="exact"/>
        <w:rPr>
          <w:sz w:val="20"/>
          <w:szCs w:val="20"/>
          <w:color w:val="auto"/>
        </w:rPr>
      </w:pPr>
    </w:p>
    <w:p>
      <w:pPr>
        <w:ind w:left="6284"/>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284"/>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864"/>
        <w:spacing w:after="0"/>
        <w:rPr>
          <w:sz w:val="20"/>
          <w:szCs w:val="20"/>
          <w:color w:val="auto"/>
        </w:rPr>
      </w:pPr>
      <w:r>
        <w:rPr>
          <w:rFonts w:ascii="Times New Roman" w:cs="Times New Roman" w:eastAsia="Times New Roman" w:hAnsi="Times New Roman"/>
          <w:sz w:val="18"/>
          <w:szCs w:val="18"/>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3994785</wp:posOffset>
            </wp:positionH>
            <wp:positionV relativeFrom="paragraph">
              <wp:posOffset>163195</wp:posOffset>
            </wp:positionV>
            <wp:extent cx="300037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273"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17"/>
          <w:szCs w:val="17"/>
          <w:color w:val="auto"/>
        </w:rPr>
        <w:t>Participant in a Recognized Signature</w:t>
      </w:r>
    </w:p>
    <w:p>
      <w:pPr>
        <w:spacing w:after="0" w:line="39"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18"/>
          <w:szCs w:val="18"/>
          <w:color w:val="auto"/>
        </w:rPr>
        <w:t>Guarantee Medallion Program</w:t>
      </w:r>
    </w:p>
    <w:p>
      <w:pPr>
        <w:spacing w:after="0" w:line="220" w:lineRule="exact"/>
        <w:rPr>
          <w:sz w:val="20"/>
          <w:szCs w:val="20"/>
          <w:color w:val="auto"/>
        </w:rPr>
      </w:pPr>
    </w:p>
    <w:p>
      <w:pPr>
        <w:ind w:left="586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3994785</wp:posOffset>
            </wp:positionH>
            <wp:positionV relativeFrom="paragraph">
              <wp:posOffset>17145</wp:posOffset>
            </wp:positionV>
            <wp:extent cx="300037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000375" cy="8890"/>
                    </a:xfrm>
                    <a:prstGeom prst="rect">
                      <a:avLst/>
                    </a:prstGeom>
                    <a:noFill/>
                  </pic:spPr>
                </pic:pic>
              </a:graphicData>
            </a:graphic>
          </wp:anchor>
        </w:drawing>
      </w:r>
    </w:p>
    <w:p>
      <w:pPr>
        <w:spacing w:after="0" w:line="16" w:lineRule="exact"/>
        <w:rPr>
          <w:sz w:val="20"/>
          <w:szCs w:val="20"/>
          <w:color w:val="auto"/>
        </w:rPr>
      </w:pPr>
    </w:p>
    <w:p>
      <w:pPr>
        <w:ind w:left="7884"/>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77152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02" w:lineRule="exact"/>
        <w:rPr>
          <w:sz w:val="20"/>
          <w:szCs w:val="20"/>
          <w:color w:val="auto"/>
        </w:rPr>
      </w:pPr>
    </w:p>
    <w:p>
      <w:pPr>
        <w:ind w:left="424" w:hanging="424"/>
        <w:spacing w:after="0"/>
        <w:tabs>
          <w:tab w:leader="none" w:pos="424" w:val="left"/>
        </w:tabs>
        <w:numPr>
          <w:ilvl w:val="0"/>
          <w:numId w:val="19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Must be an Authorized Denomination.</w:t>
      </w:r>
    </w:p>
    <w:p>
      <w:pPr>
        <w:spacing w:after="0" w:line="130" w:lineRule="exact"/>
        <w:rPr>
          <w:sz w:val="20"/>
          <w:szCs w:val="20"/>
          <w:color w:val="auto"/>
        </w:rPr>
      </w:pPr>
    </w:p>
    <w:p>
      <w:pPr>
        <w:ind w:left="5324"/>
        <w:spacing w:after="0"/>
        <w:rPr>
          <w:sz w:val="20"/>
          <w:szCs w:val="20"/>
          <w:color w:val="auto"/>
        </w:rPr>
      </w:pPr>
      <w:r>
        <w:rPr>
          <w:rFonts w:ascii="Times New Roman" w:cs="Times New Roman" w:eastAsia="Times New Roman" w:hAnsi="Times New Roman"/>
          <w:sz w:val="18"/>
          <w:szCs w:val="18"/>
          <w:color w:val="auto"/>
        </w:rPr>
        <w:t>A-10</w:t>
      </w:r>
    </w:p>
    <w:p>
      <w:pPr>
        <w:sectPr>
          <w:pgSz w:w="11900" w:h="16838" w:orient="portrait"/>
          <w:cols w:equalWidth="0" w:num="1">
            <w:col w:w="10023"/>
          </w:cols>
          <w:pgMar w:left="436" w:top="266" w:right="1440" w:bottom="1440" w:gutter="0" w:footer="0" w:header="0"/>
        </w:sectPr>
      </w:pPr>
    </w:p>
    <w:bookmarkStart w:id="116" w:name="page117"/>
    <w:bookmarkEnd w:id="116"/>
    <w:p>
      <w:pPr>
        <w:jc w:val="center"/>
        <w:ind w:right="-6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TRANSFEROR ACKNOWLEDGMENT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If the within Note bears a Restricted Note Legend, the undersigned further certifies that (check one):</w:t>
      </w:r>
    </w:p>
    <w:p>
      <w:pPr>
        <w:spacing w:after="0" w:line="211" w:lineRule="exact"/>
        <w:rPr>
          <w:sz w:val="20"/>
          <w:szCs w:val="20"/>
          <w:color w:val="auto"/>
        </w:rPr>
      </w:pPr>
    </w:p>
    <w:p>
      <w:pPr>
        <w:ind w:left="524" w:hanging="524"/>
        <w:spacing w:after="0" w:line="207" w:lineRule="exact"/>
        <w:tabs>
          <w:tab w:leader="none" w:pos="524" w:val="left"/>
        </w:tabs>
        <w:numPr>
          <w:ilvl w:val="0"/>
          <w:numId w:val="19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Such Transfer is being made to the Company or a Subsidiary of the Company.</w:t>
      </w:r>
    </w:p>
    <w:p>
      <w:pPr>
        <w:spacing w:after="0" w:line="117" w:lineRule="exact"/>
        <w:rPr>
          <w:rFonts w:ascii="Times New Roman" w:cs="Times New Roman" w:eastAsia="Times New Roman" w:hAnsi="Times New Roman"/>
          <w:sz w:val="18"/>
          <w:szCs w:val="18"/>
          <w:color w:val="auto"/>
        </w:rPr>
      </w:pPr>
    </w:p>
    <w:p>
      <w:pPr>
        <w:ind w:left="804" w:hanging="804"/>
        <w:spacing w:after="0" w:line="245" w:lineRule="exact"/>
        <w:tabs>
          <w:tab w:leader="none" w:pos="534" w:val="left"/>
        </w:tabs>
        <w:numPr>
          <w:ilvl w:val="0"/>
          <w:numId w:val="19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Such Transfer is being made pursuant to, and in accordance with, a registration statement that is effective under the Securities Act at the time of the Transfer.</w:t>
      </w:r>
    </w:p>
    <w:p>
      <w:pPr>
        <w:spacing w:after="0" w:line="50" w:lineRule="exact"/>
        <w:rPr>
          <w:rFonts w:ascii="Times New Roman" w:cs="Times New Roman" w:eastAsia="Times New Roman" w:hAnsi="Times New Roman"/>
          <w:sz w:val="18"/>
          <w:szCs w:val="18"/>
          <w:color w:val="auto"/>
        </w:rPr>
      </w:pPr>
    </w:p>
    <w:p>
      <w:pPr>
        <w:ind w:left="804" w:hanging="804"/>
        <w:spacing w:after="0" w:line="228" w:lineRule="exact"/>
        <w:tabs>
          <w:tab w:leader="none" w:pos="534" w:val="left"/>
        </w:tabs>
        <w:numPr>
          <w:ilvl w:val="0"/>
          <w:numId w:val="19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Such Transfer is being made pursuant to, and in accordance with, Rule 144A under the Securities Act, and, accordingly, the undersigned further certifies that the within Note is being transferred to a Person that the undersigned reasonably believes is purchasing the within Note for its own account, or for one or more accounts with respect to which such Person exercises sole investment discretion, and such Person and each such account is a “qualified institutional buyer” within the meaning of Rule 144A under the Securities Act in a transaction meeting the requirements of Rule 144A.</w:t>
      </w:r>
    </w:p>
    <w:p>
      <w:pPr>
        <w:spacing w:after="0" w:line="49" w:lineRule="exact"/>
        <w:rPr>
          <w:rFonts w:ascii="Times New Roman" w:cs="Times New Roman" w:eastAsia="Times New Roman" w:hAnsi="Times New Roman"/>
          <w:sz w:val="18"/>
          <w:szCs w:val="18"/>
          <w:color w:val="auto"/>
        </w:rPr>
      </w:pPr>
    </w:p>
    <w:p>
      <w:pPr>
        <w:ind w:left="804" w:right="280" w:hanging="804"/>
        <w:spacing w:after="0" w:line="245" w:lineRule="exact"/>
        <w:tabs>
          <w:tab w:leader="none" w:pos="534" w:val="left"/>
        </w:tabs>
        <w:numPr>
          <w:ilvl w:val="0"/>
          <w:numId w:val="19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Such Transfer is being made pursuant to, and in accordance with, any other available exemption from the registration requirements of the Securities Act (including, if available, the exemption provided by Rule 144 under the Securities Act).</w:t>
      </w:r>
    </w:p>
    <w:p>
      <w:pPr>
        <w:spacing w:after="0" w:line="50" w:lineRule="exact"/>
        <w:rPr>
          <w:rFonts w:ascii="Times New Roman" w:cs="Times New Roman" w:eastAsia="Times New Roman" w:hAnsi="Times New Roman"/>
          <w:sz w:val="18"/>
          <w:szCs w:val="18"/>
          <w:color w:val="auto"/>
        </w:rPr>
      </w:pPr>
    </w:p>
    <w:p>
      <w:pPr>
        <w:ind w:left="804" w:right="40" w:hanging="804"/>
        <w:spacing w:after="0" w:line="228" w:lineRule="exact"/>
        <w:tabs>
          <w:tab w:leader="none" w:pos="534" w:val="left"/>
        </w:tabs>
        <w:numPr>
          <w:ilvl w:val="0"/>
          <w:numId w:val="19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Either (i) the undersigned is not subject to Title I of the Employee Retirement Income Security Act of 1974, as amended (“ERISA”), Section 4975 of the Internal Revenue Code of 1986, as amended (the “Code”), or any other law or regulation similar to such provisions of ERISA or the Code (“Similar Law”) or (ii) such Transfer and the holding of the within Note and any shares of common stock of Holdings received upon exchange of the within Note will not constitute or result in a non-exempt prohibited transaction under ERISA or Section 4975 of the Code or violate any Similar Law.</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Dated: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163195</wp:posOffset>
            </wp:positionV>
            <wp:extent cx="279463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327660</wp:posOffset>
            </wp:positionH>
            <wp:positionV relativeFrom="paragraph">
              <wp:posOffset>-7620</wp:posOffset>
            </wp:positionV>
            <wp:extent cx="159956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599565" cy="8255"/>
                    </a:xfrm>
                    <a:prstGeom prst="rect">
                      <a:avLst/>
                    </a:prstGeom>
                    <a:noFill/>
                  </pic:spPr>
                </pic:pic>
              </a:graphicData>
            </a:graphic>
          </wp:anchor>
        </w:drawing>
      </w:r>
    </w:p>
    <w:p>
      <w:pPr>
        <w:spacing w:after="0" w:line="273" w:lineRule="exact"/>
        <w:rPr>
          <w:sz w:val="20"/>
          <w:szCs w:val="20"/>
          <w:color w:val="auto"/>
        </w:rPr>
      </w:pPr>
    </w:p>
    <w:p>
      <w:pPr>
        <w:ind w:left="1324"/>
        <w:spacing w:after="0"/>
        <w:rPr>
          <w:sz w:val="20"/>
          <w:szCs w:val="20"/>
          <w:color w:val="auto"/>
        </w:rPr>
      </w:pPr>
      <w:r>
        <w:rPr>
          <w:rFonts w:ascii="Times New Roman" w:cs="Times New Roman" w:eastAsia="Times New Roman" w:hAnsi="Times New Roman"/>
          <w:sz w:val="18"/>
          <w:szCs w:val="18"/>
          <w:color w:val="auto"/>
        </w:rPr>
        <w:t>(Legal Name of Holder)</w:t>
      </w:r>
    </w:p>
    <w:p>
      <w:pPr>
        <w:spacing w:after="0" w:line="23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17145</wp:posOffset>
            </wp:positionV>
            <wp:extent cx="256286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163195</wp:posOffset>
            </wp:positionV>
            <wp:extent cx="279463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73" w:lineRule="exact"/>
        <w:rPr>
          <w:sz w:val="20"/>
          <w:szCs w:val="20"/>
          <w:color w:val="auto"/>
        </w:rPr>
      </w:pPr>
    </w:p>
    <w:p>
      <w:pPr>
        <w:jc w:val="center"/>
        <w:ind w:right="6556"/>
        <w:spacing w:after="0"/>
        <w:rPr>
          <w:sz w:val="20"/>
          <w:szCs w:val="20"/>
          <w:color w:val="auto"/>
        </w:rPr>
      </w:pPr>
      <w:r>
        <w:rPr>
          <w:rFonts w:ascii="Times New Roman" w:cs="Times New Roman" w:eastAsia="Times New Roman" w:hAnsi="Times New Roman"/>
          <w:sz w:val="18"/>
          <w:szCs w:val="18"/>
          <w:color w:val="auto"/>
        </w:rPr>
        <w:t>(Participant in a Recognized Signature</w:t>
      </w:r>
    </w:p>
    <w:p>
      <w:pPr>
        <w:spacing w:after="0" w:line="27" w:lineRule="exact"/>
        <w:rPr>
          <w:sz w:val="20"/>
          <w:szCs w:val="20"/>
          <w:color w:val="auto"/>
        </w:rPr>
      </w:pPr>
    </w:p>
    <w:p>
      <w:pPr>
        <w:jc w:val="center"/>
        <w:ind w:right="6556"/>
        <w:spacing w:after="0"/>
        <w:rPr>
          <w:sz w:val="20"/>
          <w:szCs w:val="20"/>
          <w:color w:val="auto"/>
        </w:rPr>
      </w:pPr>
      <w:r>
        <w:rPr>
          <w:rFonts w:ascii="Times New Roman" w:cs="Times New Roman" w:eastAsia="Times New Roman" w:hAnsi="Times New Roman"/>
          <w:sz w:val="18"/>
          <w:szCs w:val="18"/>
          <w:color w:val="auto"/>
        </w:rPr>
        <w:t>Guarantee Medallion Program)</w:t>
      </w:r>
    </w:p>
    <w:p>
      <w:pPr>
        <w:spacing w:after="0" w:line="22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17145</wp:posOffset>
            </wp:positionV>
            <wp:extent cx="256286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1604"/>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158"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A-11</w:t>
      </w:r>
    </w:p>
    <w:p>
      <w:pPr>
        <w:sectPr>
          <w:pgSz w:w="11900" w:h="16838" w:orient="portrait"/>
          <w:cols w:equalWidth="0" w:num="1">
            <w:col w:w="10964"/>
          </w:cols>
          <w:pgMar w:left="436" w:top="270" w:right="49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B-1</w:t>
      </w:r>
    </w:p>
    <w:p>
      <w:pPr>
        <w:spacing w:after="0" w:line="22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FORM OF RESTRICTED NOTE LEGEND</w:t>
      </w:r>
    </w:p>
    <w:p>
      <w:pPr>
        <w:spacing w:after="0" w:line="225" w:lineRule="exact"/>
        <w:rPr>
          <w:sz w:val="20"/>
          <w:szCs w:val="20"/>
          <w:color w:val="auto"/>
        </w:rPr>
      </w:pPr>
    </w:p>
    <w:p>
      <w:pPr>
        <w:ind w:left="4" w:right="120"/>
        <w:spacing w:after="0" w:line="261" w:lineRule="auto"/>
        <w:rPr>
          <w:sz w:val="20"/>
          <w:szCs w:val="20"/>
          <w:color w:val="auto"/>
        </w:rPr>
      </w:pPr>
      <w:r>
        <w:rPr>
          <w:rFonts w:ascii="Times New Roman" w:cs="Times New Roman" w:eastAsia="Times New Roman" w:hAnsi="Times New Roman"/>
          <w:sz w:val="18"/>
          <w:szCs w:val="18"/>
          <w:color w:val="auto"/>
        </w:rPr>
        <w:t>THE OFFER AND SALE OF THIS NOTE AND THE SHARES OF COMMON STOCK, IF ANY, DELIVERABLE UPON EXCHANGE OF THIS NOTE HAVE NOT BEEN REGISTERED UNDER THE SECURITIES ACT OF 1933, AS AMENDED (THE “SECURITIES ACT”), AND THIS NOTE MAY NOT BE OFFERED, SOLD, PLEDGED OR OTHERWISE TRANSFERRED EXCEPT IN ACCORDANCE WITH THE FOLLOWING SENTENCE. BY ITS ACQUISITION HEREOF OR OF A BENEFICIAL INTEREST HEREIN, THE ACQUIRER:</w:t>
      </w:r>
    </w:p>
    <w:p>
      <w:pPr>
        <w:spacing w:after="0" w:line="85" w:lineRule="exact"/>
        <w:rPr>
          <w:sz w:val="20"/>
          <w:szCs w:val="20"/>
          <w:color w:val="auto"/>
        </w:rPr>
      </w:pPr>
    </w:p>
    <w:p>
      <w:pPr>
        <w:ind w:left="424" w:right="20" w:hanging="424"/>
        <w:spacing w:after="0" w:line="266" w:lineRule="auto"/>
        <w:tabs>
          <w:tab w:leader="none" w:pos="424"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THAT IT AND ANY ACCOUNT FOR WHICH IT IS ACTING IS A “QUALIFIED INSTITUTIONAL BUYER” (WITHIN THE MEANING OF RULE 144A UNDER THE SECURITIES ACT) AND THAT IT EXERCISES SOLE INVESTMENT DISCRETION WITH RESPECT TO EACH SUCH ACCOUNT; AND</w:t>
      </w:r>
    </w:p>
    <w:p>
      <w:pPr>
        <w:spacing w:after="0" w:line="81" w:lineRule="exact"/>
        <w:rPr>
          <w:rFonts w:ascii="Times New Roman" w:cs="Times New Roman" w:eastAsia="Times New Roman" w:hAnsi="Times New Roman"/>
          <w:sz w:val="18"/>
          <w:szCs w:val="18"/>
          <w:color w:val="auto"/>
        </w:rPr>
      </w:pPr>
    </w:p>
    <w:p>
      <w:pPr>
        <w:ind w:left="424" w:right="400" w:hanging="424"/>
        <w:spacing w:after="0" w:line="282" w:lineRule="auto"/>
        <w:tabs>
          <w:tab w:leader="none" w:pos="424"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FOR THE BENEFIT OF SPECTRUM BRANDS, INC. (THE “COMPANY”) THAT IT WILL NOT OFFER, SELL, PLEDGE OR OTHERWISE TRANSFER THIS NOTE OR ANY BENEFICIAL INTEREST HEREIN, EXCEPT ONLY:</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SPECTRUM BRANDS HOLDINGS, INC. OR ANY SUBSIDIARY THEREOF;</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REGISTRATION STATEMENT THAT IS EFFECTIVE UNDER THE SECURITIES ACT;</w:t>
      </w:r>
    </w:p>
    <w:p>
      <w:pPr>
        <w:spacing w:after="0" w:line="130" w:lineRule="exact"/>
        <w:rPr>
          <w:rFonts w:ascii="Times New Roman" w:cs="Times New Roman" w:eastAsia="Times New Roman" w:hAnsi="Times New Roman"/>
          <w:sz w:val="18"/>
          <w:szCs w:val="18"/>
          <w:color w:val="auto"/>
        </w:rPr>
      </w:pPr>
    </w:p>
    <w:p>
      <w:pPr>
        <w:ind w:left="964" w:right="20" w:hanging="532"/>
        <w:spacing w:after="0" w:line="282" w:lineRule="auto"/>
        <w:tabs>
          <w:tab w:leader="none" w:pos="964"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PERSON REASONABLY BELIEVED TO BE A QUALIFIED INSTITUTIONAL BUYER IN COMPLIANCE WITH RULE 144A UNDER THE SECURITIES ACT;</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EXEMPTION FROM REGISTRATION PROVIDED BY RULE 144 UNDER THE SECURITIES ACT; OR</w:t>
      </w:r>
    </w:p>
    <w:p>
      <w:pPr>
        <w:spacing w:after="0" w:line="130" w:lineRule="exact"/>
        <w:rPr>
          <w:rFonts w:ascii="Times New Roman" w:cs="Times New Roman" w:eastAsia="Times New Roman" w:hAnsi="Times New Roman"/>
          <w:sz w:val="18"/>
          <w:szCs w:val="18"/>
          <w:color w:val="auto"/>
        </w:rPr>
      </w:pPr>
    </w:p>
    <w:p>
      <w:pPr>
        <w:ind w:left="964" w:right="760" w:hanging="532"/>
        <w:spacing w:after="0" w:line="282" w:lineRule="auto"/>
        <w:tabs>
          <w:tab w:leader="none" w:pos="964"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ANY OTHER EXEMPTION FROM, OR IN A TRANSACTION NOT SUBJECT TO, THE REGISTRATION REQUIREMENTS OF THE SECURITIES ACT.</w:t>
      </w:r>
    </w:p>
    <w:p>
      <w:pPr>
        <w:spacing w:after="0" w:line="162" w:lineRule="exact"/>
        <w:rPr>
          <w:sz w:val="20"/>
          <w:szCs w:val="20"/>
          <w:color w:val="auto"/>
        </w:rPr>
      </w:pPr>
    </w:p>
    <w:p>
      <w:pPr>
        <w:ind w:left="4" w:right="80"/>
        <w:spacing w:after="0" w:line="256" w:lineRule="auto"/>
        <w:rPr>
          <w:sz w:val="20"/>
          <w:szCs w:val="20"/>
          <w:color w:val="auto"/>
        </w:rPr>
      </w:pPr>
      <w:r>
        <w:rPr>
          <w:rFonts w:ascii="Times New Roman" w:cs="Times New Roman" w:eastAsia="Times New Roman" w:hAnsi="Times New Roman"/>
          <w:sz w:val="18"/>
          <w:szCs w:val="18"/>
          <w:color w:val="auto"/>
        </w:rPr>
        <w:t>BEFORE THE REGISTRATION OF ANY SALE OR TRANSFER IN ACCORDANCE WITH (2)(C), (D) OR (E) ABOVE, THE COMPANY, SPECTRUM BRANDS HOLDINGS, INC., THE TRUSTEE AND THE REGISTRAR RESERVE THE RIGHT TO REQUIRE THE DELIVERY OF SUCH CERTIFICATES OR OTHER DOCUMENTATION OR EVIDENCE AS THEY MAY REASONABLY REQUIRE IN ORDER TO DETERMINE THAT THE PROPOSED SALE OR TRANSFER IS BEING MADE IN COMPLIANCE WITH THE SECURITIES ACT AND APPLICABLE STATE SECURITIES LAWS. NO REPRESENTATION IS MADE AS TO THE AVAILABILITY OF ANY EXEMPTION FROM THE REGISTRATION REQUIREMENTS OF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87630</wp:posOffset>
            </wp:positionV>
            <wp:extent cx="77152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0" w:lineRule="exact"/>
        <w:rPr>
          <w:sz w:val="20"/>
          <w:szCs w:val="20"/>
          <w:color w:val="auto"/>
        </w:rPr>
      </w:pPr>
    </w:p>
    <w:p>
      <w:pPr>
        <w:ind w:left="424" w:right="740" w:hanging="424"/>
        <w:spacing w:after="0" w:line="208" w:lineRule="auto"/>
        <w:tabs>
          <w:tab w:leader="none" w:pos="424" w:val="left"/>
        </w:tabs>
        <w:numPr>
          <w:ilvl w:val="0"/>
          <w:numId w:val="20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 xml:space="preserve">This paragraph and the immediately preceding paragraph will be deemed to be removed from the face of this Note at such time when the Company delivers written notice to the Trustee of such deemed removal pursuant to </w:t>
      </w:r>
      <w:r>
        <w:rPr>
          <w:rFonts w:ascii="Times New Roman" w:cs="Times New Roman" w:eastAsia="Times New Roman" w:hAnsi="Times New Roman"/>
          <w:sz w:val="18"/>
          <w:szCs w:val="18"/>
          <w:b w:val="1"/>
          <w:bCs w:val="1"/>
          <w:color w:val="auto"/>
        </w:rPr>
        <w:t>Section 2.12</w:t>
      </w:r>
      <w:r>
        <w:rPr>
          <w:rFonts w:ascii="Times New Roman" w:cs="Times New Roman" w:eastAsia="Times New Roman" w:hAnsi="Times New Roman"/>
          <w:sz w:val="18"/>
          <w:szCs w:val="18"/>
          <w:color w:val="auto"/>
        </w:rPr>
        <w:t xml:space="preserve"> of the within-mentioned Indenture.</w:t>
      </w:r>
    </w:p>
    <w:p>
      <w:pPr>
        <w:spacing w:after="0" w:line="13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B1-1</w:t>
      </w:r>
    </w:p>
    <w:p>
      <w:pPr>
        <w:sectPr>
          <w:pgSz w:w="11900" w:h="16838" w:orient="portrait"/>
          <w:cols w:equalWidth="0" w:num="1">
            <w:col w:w="11024"/>
          </w:cols>
          <w:pgMar w:left="436" w:top="266" w:right="43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FORM OF GLOBAL NOTE LEGEND</w:t>
      </w:r>
    </w:p>
    <w:p>
      <w:pPr>
        <w:spacing w:after="0" w:line="225"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THIS IS A GLOBAL NOTE WITHIN THE MEANING OF THE INDENTURE HEREINAFTER REFERRED TO AND IS REGISTERED IN THE NAME OF THE DEPOSITARY OR A NOMINEE OF THE DEPOSITARY, WHICH MAY BE TREATED BY THE COMPANY, THE TRUSTEE AND ANY AGENT THEREOF AS THE OWNER AND HOLDER OF THIS NOTE FOR ALL PURPOSES.</w:t>
      </w:r>
    </w:p>
    <w:p>
      <w:pPr>
        <w:spacing w:after="0" w:line="17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UNLESS THIS CERTIFICATE IS PRESENTED BY AN AUTHORIZED REPRESENTATIVE OF THE DEPOSITORY TRUST COMPANY (“DTC”) TO THE COMPANY OR ITS AGENT FOR REGISTRATION OF TRANSFER, EXCHANGE OR PAYMENT, AND ANY CERTIFICATE ISSUED IS REGISTERED IN THE NAME OF CEDE &amp; CO. OR IN SUCH OTHER NAME AS IS REQUESTED BY AN AUTHORIZED REPRESENTATIVE OF DTC (AND ANY PAYMENT HEREON IS MADE TO CEDE &amp; CO. OR TO SUCH OTHER ENTITY AS IS REQUESTED BY AN AUTHORIZED REPRESENTATIVE OF DTC), ANY TRANSFER, PLEDGE OR OTHER USE HEREOF FOR VALUE OR OTHERWISE BY OR TO ANY PERSON IS WRONGFUL SINCE THE REGISTERED OWNER HEREOF, CEDE &amp; CO., HAS AN INTEREST HEREIN.</w:t>
      </w:r>
    </w:p>
    <w:p>
      <w:pPr>
        <w:spacing w:after="0" w:line="187"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TRANSFERS OF THIS GLOBAL NOTE WILL BE LIMITED TO TRANSFERS IN WHOLE, BUT NOT IN PART, TO NOMINEES OF DTC, OR TO A SUCCESSOR THEREOF OR SUCH SUCCESSOR’S NOMINEE, AND TRANSFERS OF PORTIONS OF THIS GLOBAL NOTE WILL BE LIMITED TO TRANSFERS MADE IN ACCORDANCE WITH THE RESTRICTIONS SET FORTH IN ARTICLE 2 OF THE INDENTURE HEREINAFTER REFERRED TO.</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B1-2</w:t>
      </w:r>
    </w:p>
    <w:p>
      <w:pPr>
        <w:sectPr>
          <w:pgSz w:w="11900" w:h="16838" w:orient="portrait"/>
          <w:cols w:equalWidth="0" w:num="1">
            <w:col w:w="11020"/>
          </w:cols>
          <w:pgMar w:left="440" w:top="266" w:right="43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B-3</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FORM OF NON-AFFILIATE LEGEND</w:t>
      </w:r>
    </w:p>
    <w:p>
      <w:pPr>
        <w:spacing w:after="0" w:line="22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NO AFFILIATE (AS DEFINED IN RULE 144 UNDER THE SECURITIES ACT OF 1933, AS AMENDED) OF THE COMPANY MAY PURCHASE OR OTHERWISE ACQUIRE THIS NOTE OR ANY BENEFICIAL INTEREST HEREIN.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B3-1</w:t>
      </w:r>
    </w:p>
    <w:p>
      <w:pPr>
        <w:sectPr>
          <w:pgSz w:w="11900" w:h="16838" w:orient="portrait"/>
          <w:cols w:equalWidth="0" w:num="1">
            <w:col w:w="11020"/>
          </w:cols>
          <w:pgMar w:left="440" w:top="374" w:right="439" w:bottom="1440" w:gutter="0" w:footer="0" w:header="0"/>
        </w:sectPr>
      </w:pPr>
    </w:p>
    <w:bookmarkStart w:id="120" w:name="page121"/>
    <w:bookmarkEnd w:id="120"/>
    <w:p>
      <w:pPr>
        <w:ind w:left="10084"/>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[DEALER]</w:t>
      </w:r>
      <w:r>
        <w:rPr>
          <w:rFonts w:ascii="Times New Roman" w:cs="Times New Roman" w:eastAsia="Times New Roman" w:hAnsi="Times New Roman"/>
          <w:sz w:val="26"/>
          <w:szCs w:val="26"/>
          <w:color w:val="auto"/>
          <w:vertAlign w:val="superscript"/>
        </w:rPr>
        <w:t>1</w:t>
      </w:r>
    </w:p>
    <w:p>
      <w:pPr>
        <w:spacing w:after="0" w:line="1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May [__], 2024</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To: [Spectrum Brands, Inc.</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3001 Deming Way</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Middleton, Wisconsin 53562</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Attention: [General Counsel]]</w:t>
      </w:r>
      <w:r>
        <w:rPr>
          <w:rFonts w:ascii="Times New Roman" w:cs="Times New Roman" w:eastAsia="Times New Roman" w:hAnsi="Times New Roman"/>
          <w:sz w:val="26"/>
          <w:szCs w:val="26"/>
          <w:color w:val="auto"/>
          <w:vertAlign w:val="superscript"/>
        </w:rPr>
        <w:t>2</w:t>
      </w:r>
    </w:p>
    <w:p>
      <w:pPr>
        <w:spacing w:after="0" w:line="11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 [Base][Additional] Call Option Transaction</w:t>
      </w:r>
    </w:p>
    <w:p>
      <w:pPr>
        <w:spacing w:after="0" w:line="221" w:lineRule="exact"/>
        <w:rPr>
          <w:sz w:val="20"/>
          <w:szCs w:val="20"/>
          <w:color w:val="auto"/>
        </w:rPr>
      </w:pPr>
    </w:p>
    <w:p>
      <w:pPr>
        <w:ind w:left="4" w:right="20" w:firstLine="440"/>
        <w:spacing w:after="0" w:line="257" w:lineRule="auto"/>
        <w:rPr>
          <w:sz w:val="20"/>
          <w:szCs w:val="20"/>
          <w:color w:val="auto"/>
        </w:rPr>
      </w:pPr>
      <w:r>
        <w:rPr>
          <w:rFonts w:ascii="Times New Roman" w:cs="Times New Roman" w:eastAsia="Times New Roman" w:hAnsi="Times New Roman"/>
          <w:sz w:val="18"/>
          <w:szCs w:val="18"/>
          <w:color w:val="auto"/>
        </w:rPr>
        <w:t>The purpose of this letter agreement (this “</w:t>
      </w:r>
      <w:r>
        <w:rPr>
          <w:rFonts w:ascii="Times New Roman" w:cs="Times New Roman" w:eastAsia="Times New Roman" w:hAnsi="Times New Roman"/>
          <w:sz w:val="18"/>
          <w:szCs w:val="18"/>
          <w:b w:val="1"/>
          <w:bCs w:val="1"/>
          <w:color w:val="auto"/>
        </w:rPr>
        <w:t>Confirmation</w:t>
      </w:r>
      <w:r>
        <w:rPr>
          <w:rFonts w:ascii="Times New Roman" w:cs="Times New Roman" w:eastAsia="Times New Roman" w:hAnsi="Times New Roman"/>
          <w:sz w:val="18"/>
          <w:szCs w:val="18"/>
          <w:color w:val="auto"/>
        </w:rPr>
        <w:t>”) is to confirm the terms and conditions of the call option transaction entered into between [DEALER] (“</w:t>
      </w:r>
      <w:r>
        <w:rPr>
          <w:rFonts w:ascii="Times New Roman" w:cs="Times New Roman" w:eastAsia="Times New Roman" w:hAnsi="Times New Roman"/>
          <w:sz w:val="18"/>
          <w:szCs w:val="18"/>
          <w:b w:val="1"/>
          <w:bCs w:val="1"/>
          <w:color w:val="auto"/>
        </w:rPr>
        <w:t>Dealer</w:t>
      </w:r>
      <w:r>
        <w:rPr>
          <w:rFonts w:ascii="Times New Roman" w:cs="Times New Roman" w:eastAsia="Times New Roman" w:hAnsi="Times New Roman"/>
          <w:sz w:val="18"/>
          <w:szCs w:val="18"/>
          <w:color w:val="auto"/>
        </w:rPr>
        <w:t>”) and Spectrum Brands, Inc. (“</w:t>
      </w:r>
      <w:r>
        <w:rPr>
          <w:rFonts w:ascii="Times New Roman" w:cs="Times New Roman" w:eastAsia="Times New Roman" w:hAnsi="Times New Roman"/>
          <w:sz w:val="18"/>
          <w:szCs w:val="18"/>
          <w:b w:val="1"/>
          <w:bCs w:val="1"/>
          <w:color w:val="auto"/>
        </w:rPr>
        <w:t>Counterparty</w:t>
      </w:r>
      <w:r>
        <w:rPr>
          <w:rFonts w:ascii="Times New Roman" w:cs="Times New Roman" w:eastAsia="Times New Roman" w:hAnsi="Times New Roman"/>
          <w:sz w:val="18"/>
          <w:szCs w:val="18"/>
          <w:color w:val="auto"/>
        </w:rPr>
        <w:t>”) as of the Trade Date specified below (the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This letter agreement constitutes a “Confirmation” as referred to in the ISDA Master Agreement specified below. Each party further agrees that this Confirmation together with such ISDA Master Agreement evidence a complete binding agreement between Counterparty and Dealer as to the subject matter and terms of the Transaction to which this Confirmation relates, and shall supersede all prior or contemporaneous written or oral communications with respect thereto.</w:t>
      </w:r>
    </w:p>
    <w:p>
      <w:pPr>
        <w:spacing w:after="0" w:line="182" w:lineRule="exact"/>
        <w:rPr>
          <w:sz w:val="20"/>
          <w:szCs w:val="20"/>
          <w:color w:val="auto"/>
        </w:rPr>
      </w:pPr>
    </w:p>
    <w:p>
      <w:pPr>
        <w:ind w:left="4" w:right="60" w:firstLine="440"/>
        <w:spacing w:after="0" w:line="250" w:lineRule="auto"/>
        <w:rPr>
          <w:sz w:val="20"/>
          <w:szCs w:val="20"/>
          <w:color w:val="auto"/>
        </w:rPr>
      </w:pPr>
      <w:r>
        <w:rPr>
          <w:rFonts w:ascii="Times New Roman" w:cs="Times New Roman" w:eastAsia="Times New Roman" w:hAnsi="Times New Roman"/>
          <w:sz w:val="17"/>
          <w:szCs w:val="17"/>
          <w:color w:val="auto"/>
        </w:rPr>
        <w:t>The definitions and provisions contained in the 2002 ISDA Equity Derivatives Definitions (the “</w:t>
      </w:r>
      <w:r>
        <w:rPr>
          <w:rFonts w:ascii="Times New Roman" w:cs="Times New Roman" w:eastAsia="Times New Roman" w:hAnsi="Times New Roman"/>
          <w:sz w:val="17"/>
          <w:szCs w:val="17"/>
          <w:b w:val="1"/>
          <w:bCs w:val="1"/>
          <w:color w:val="auto"/>
        </w:rPr>
        <w:t>Equity Definitions</w:t>
      </w:r>
      <w:r>
        <w:rPr>
          <w:rFonts w:ascii="Times New Roman" w:cs="Times New Roman" w:eastAsia="Times New Roman" w:hAnsi="Times New Roman"/>
          <w:sz w:val="17"/>
          <w:szCs w:val="17"/>
          <w:color w:val="auto"/>
        </w:rPr>
        <w:t>”), as published by the International Swaps and Derivatives Association, Inc. (“</w:t>
      </w:r>
      <w:r>
        <w:rPr>
          <w:rFonts w:ascii="Times New Roman" w:cs="Times New Roman" w:eastAsia="Times New Roman" w:hAnsi="Times New Roman"/>
          <w:sz w:val="17"/>
          <w:szCs w:val="17"/>
          <w:b w:val="1"/>
          <w:bCs w:val="1"/>
          <w:color w:val="auto"/>
        </w:rPr>
        <w:t>ISDA</w:t>
      </w:r>
      <w:r>
        <w:rPr>
          <w:rFonts w:ascii="Times New Roman" w:cs="Times New Roman" w:eastAsia="Times New Roman" w:hAnsi="Times New Roman"/>
          <w:sz w:val="17"/>
          <w:szCs w:val="17"/>
          <w:color w:val="auto"/>
        </w:rPr>
        <w:t>”) are incorporated into this Confirmation. In the event of any inconsistency between the Equity Definitions and this Confirmation, this Confirmation shall govern. Certain defined terms used herein are based on terms that are defined in the Offering Memorandum dated May [__], 2024 (the “</w:t>
      </w:r>
      <w:r>
        <w:rPr>
          <w:rFonts w:ascii="Times New Roman" w:cs="Times New Roman" w:eastAsia="Times New Roman" w:hAnsi="Times New Roman"/>
          <w:sz w:val="17"/>
          <w:szCs w:val="17"/>
          <w:b w:val="1"/>
          <w:bCs w:val="1"/>
          <w:color w:val="auto"/>
        </w:rPr>
        <w:t>Offering Memorandum</w:t>
      </w:r>
      <w:r>
        <w:rPr>
          <w:rFonts w:ascii="Times New Roman" w:cs="Times New Roman" w:eastAsia="Times New Roman" w:hAnsi="Times New Roman"/>
          <w:sz w:val="17"/>
          <w:szCs w:val="17"/>
          <w:color w:val="auto"/>
        </w:rPr>
        <w:t>”) relating to the [__]% Exchangeable Senior Notes due 2029 (as originally issued by Counterparty, the “</w:t>
      </w:r>
      <w:r>
        <w:rPr>
          <w:rFonts w:ascii="Times New Roman" w:cs="Times New Roman" w:eastAsia="Times New Roman" w:hAnsi="Times New Roman"/>
          <w:sz w:val="17"/>
          <w:szCs w:val="17"/>
          <w:b w:val="1"/>
          <w:bCs w:val="1"/>
          <w:color w:val="auto"/>
        </w:rPr>
        <w:t>Exchangeable Notes</w:t>
      </w:r>
      <w:r>
        <w:rPr>
          <w:rFonts w:ascii="Times New Roman" w:cs="Times New Roman" w:eastAsia="Times New Roman" w:hAnsi="Times New Roman"/>
          <w:sz w:val="17"/>
          <w:szCs w:val="17"/>
          <w:color w:val="auto"/>
        </w:rPr>
        <w:t>” and each USD 1,000 principal amount of Exchangeable Notes, an “</w:t>
      </w:r>
      <w:r>
        <w:rPr>
          <w:rFonts w:ascii="Times New Roman" w:cs="Times New Roman" w:eastAsia="Times New Roman" w:hAnsi="Times New Roman"/>
          <w:sz w:val="17"/>
          <w:szCs w:val="17"/>
          <w:b w:val="1"/>
          <w:bCs w:val="1"/>
          <w:color w:val="auto"/>
        </w:rPr>
        <w:t>Exchangeable Note</w:t>
      </w:r>
      <w:r>
        <w:rPr>
          <w:rFonts w:ascii="Times New Roman" w:cs="Times New Roman" w:eastAsia="Times New Roman" w:hAnsi="Times New Roman"/>
          <w:sz w:val="17"/>
          <w:szCs w:val="17"/>
          <w:color w:val="auto"/>
        </w:rPr>
        <w:t>”) issued by Counterparty in an aggregate initial principal amount of USD [__________] (as increased by [up to]</w:t>
      </w:r>
      <w:r>
        <w:rPr>
          <w:rFonts w:ascii="Times New Roman" w:cs="Times New Roman" w:eastAsia="Times New Roman" w:hAnsi="Times New Roman"/>
          <w:sz w:val="25"/>
          <w:szCs w:val="25"/>
          <w:color w:val="auto"/>
          <w:vertAlign w:val="superscript"/>
        </w:rPr>
        <w:t>3</w:t>
      </w:r>
      <w:r>
        <w:rPr>
          <w:rFonts w:ascii="Times New Roman" w:cs="Times New Roman" w:eastAsia="Times New Roman" w:hAnsi="Times New Roman"/>
          <w:sz w:val="17"/>
          <w:szCs w:val="17"/>
          <w:color w:val="auto"/>
        </w:rPr>
        <w:t xml:space="preserve"> an aggregate principal amount of USD</w:t>
      </w:r>
    </w:p>
    <w:p>
      <w:pPr>
        <w:ind w:left="4"/>
        <w:spacing w:after="0" w:line="181" w:lineRule="auto"/>
        <w:rPr>
          <w:sz w:val="20"/>
          <w:szCs w:val="20"/>
          <w:color w:val="auto"/>
        </w:rPr>
      </w:pPr>
      <w:r>
        <w:rPr>
          <w:rFonts w:ascii="Times New Roman" w:cs="Times New Roman" w:eastAsia="Times New Roman" w:hAnsi="Times New Roman"/>
          <w:sz w:val="17"/>
          <w:szCs w:val="17"/>
          <w:color w:val="auto"/>
        </w:rPr>
        <w:t>[__________] [if and to the extent that]</w:t>
      </w:r>
      <w:r>
        <w:rPr>
          <w:rFonts w:ascii="Times New Roman" w:cs="Times New Roman" w:eastAsia="Times New Roman" w:hAnsi="Times New Roman"/>
          <w:sz w:val="25"/>
          <w:szCs w:val="25"/>
          <w:color w:val="auto"/>
          <w:vertAlign w:val="superscript"/>
        </w:rPr>
        <w:t>4</w:t>
      </w:r>
      <w:r>
        <w:rPr>
          <w:rFonts w:ascii="Times New Roman" w:cs="Times New Roman" w:eastAsia="Times New Roman" w:hAnsi="Times New Roman"/>
          <w:sz w:val="17"/>
          <w:szCs w:val="17"/>
          <w:color w:val="auto"/>
        </w:rPr>
        <w:t>[pursuant to the exercise by]</w:t>
      </w:r>
      <w:r>
        <w:rPr>
          <w:rFonts w:ascii="Times New Roman" w:cs="Times New Roman" w:eastAsia="Times New Roman" w:hAnsi="Times New Roman"/>
          <w:sz w:val="25"/>
          <w:szCs w:val="25"/>
          <w:color w:val="auto"/>
          <w:vertAlign w:val="superscript"/>
        </w:rPr>
        <w:t>5</w:t>
      </w:r>
      <w:r>
        <w:rPr>
          <w:rFonts w:ascii="Times New Roman" w:cs="Times New Roman" w:eastAsia="Times New Roman" w:hAnsi="Times New Roman"/>
          <w:sz w:val="17"/>
          <w:szCs w:val="17"/>
          <w:color w:val="auto"/>
        </w:rPr>
        <w:t xml:space="preserve"> the Initial Purchasers (as defined herein) [exercise]</w:t>
      </w:r>
      <w:r>
        <w:rPr>
          <w:rFonts w:ascii="Times New Roman" w:cs="Times New Roman" w:eastAsia="Times New Roman" w:hAnsi="Times New Roman"/>
          <w:sz w:val="25"/>
          <w:szCs w:val="25"/>
          <w:color w:val="auto"/>
          <w:vertAlign w:val="superscript"/>
        </w:rPr>
        <w:t>6</w:t>
      </w:r>
      <w:r>
        <w:rPr>
          <w:rFonts w:ascii="Times New Roman" w:cs="Times New Roman" w:eastAsia="Times New Roman" w:hAnsi="Times New Roman"/>
          <w:sz w:val="17"/>
          <w:szCs w:val="17"/>
          <w:color w:val="auto"/>
        </w:rPr>
        <w:t>[of]</w:t>
      </w:r>
      <w:r>
        <w:rPr>
          <w:rFonts w:ascii="Times New Roman" w:cs="Times New Roman" w:eastAsia="Times New Roman" w:hAnsi="Times New Roman"/>
          <w:sz w:val="25"/>
          <w:szCs w:val="25"/>
          <w:color w:val="auto"/>
          <w:vertAlign w:val="superscript"/>
        </w:rPr>
        <w:t>7</w:t>
      </w:r>
      <w:r>
        <w:rPr>
          <w:rFonts w:ascii="Times New Roman" w:cs="Times New Roman" w:eastAsia="Times New Roman" w:hAnsi="Times New Roman"/>
          <w:sz w:val="17"/>
          <w:szCs w:val="17"/>
          <w:color w:val="auto"/>
        </w:rPr>
        <w:t xml:space="preserve"> their option to purchase</w:t>
      </w:r>
    </w:p>
    <w:p>
      <w:pPr>
        <w:spacing w:after="0" w:line="1" w:lineRule="exact"/>
        <w:rPr>
          <w:sz w:val="20"/>
          <w:szCs w:val="20"/>
          <w:color w:val="auto"/>
        </w:rPr>
      </w:pPr>
    </w:p>
    <w:p>
      <w:pPr>
        <w:ind w:left="4" w:right="40"/>
        <w:spacing w:after="0" w:line="236" w:lineRule="auto"/>
        <w:rPr>
          <w:sz w:val="20"/>
          <w:szCs w:val="20"/>
          <w:color w:val="auto"/>
        </w:rPr>
      </w:pPr>
      <w:r>
        <w:rPr>
          <w:rFonts w:ascii="Times New Roman" w:cs="Times New Roman" w:eastAsia="Times New Roman" w:hAnsi="Times New Roman"/>
          <w:sz w:val="18"/>
          <w:szCs w:val="18"/>
          <w:color w:val="auto"/>
        </w:rPr>
        <w:t>additional Exchangeable Notes pursuant to the Purchase Agreement (as defined herein)) pursuant to an Indenture [to be]</w:t>
      </w:r>
      <w:r>
        <w:rPr>
          <w:rFonts w:ascii="Times New Roman" w:cs="Times New Roman" w:eastAsia="Times New Roman" w:hAnsi="Times New Roman"/>
          <w:sz w:val="26"/>
          <w:szCs w:val="26"/>
          <w:color w:val="auto"/>
          <w:vertAlign w:val="superscript"/>
        </w:rPr>
        <w:t>8</w:t>
      </w:r>
      <w:r>
        <w:rPr>
          <w:rFonts w:ascii="Times New Roman" w:cs="Times New Roman" w:eastAsia="Times New Roman" w:hAnsi="Times New Roman"/>
          <w:sz w:val="18"/>
          <w:szCs w:val="18"/>
          <w:color w:val="auto"/>
        </w:rPr>
        <w:t xml:space="preserve"> dated May [__], 2024 among Counterparty, Spectrum Brands Holdings, Inc., the guarantors from time to time party thereto and U.S. Bank Trust Company, National Association, as trustee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In the event of any inconsistency between the terms defined in the Offering Memorandum, the Indenture and this Confirmation, this Confirmation shall govern. The parties acknowledge that this Confirmation is entered into on the date hereof with the understanding that (i) definitions set forth in the Indenture which are also defined herein by reference to the Indenture and (ii) sections of the Indenture that are referred to herein will conform to the descriptions thereof in the Offering Memorandum. If any such definitions in the Indenture or any such sections of the Indenture differ from the descriptions thereof in the Offering Memorandum, the descriptions thereof in the Offering Memorandum will govern for purposes of this Confirmation. The parties further acknowledge that the Indenture section numbers used herein are based on the [draft of the Indenture last reviewed by Dealer as of the date of this Confirmation, and if any such section numbers are changed in the Indenture as executed, the parties will amend this Confirmation in good faith to preserve the intent of the parties]</w:t>
      </w:r>
      <w:r>
        <w:rPr>
          <w:rFonts w:ascii="Times New Roman" w:cs="Times New Roman" w:eastAsia="Times New Roman" w:hAnsi="Times New Roman"/>
          <w:sz w:val="26"/>
          <w:szCs w:val="26"/>
          <w:color w:val="auto"/>
          <w:vertAlign w:val="superscript"/>
        </w:rPr>
        <w:t>9</w:t>
      </w:r>
      <w:r>
        <w:rPr>
          <w:rFonts w:ascii="Times New Roman" w:cs="Times New Roman" w:eastAsia="Times New Roman" w:hAnsi="Times New Roman"/>
          <w:sz w:val="18"/>
          <w:szCs w:val="18"/>
          <w:color w:val="auto"/>
        </w:rPr>
        <w:t>[Indenture as executed]</w:t>
      </w:r>
      <w:r>
        <w:rPr>
          <w:rFonts w:ascii="Times New Roman" w:cs="Times New Roman" w:eastAsia="Times New Roman" w:hAnsi="Times New Roman"/>
          <w:sz w:val="26"/>
          <w:szCs w:val="26"/>
          <w:color w:val="auto"/>
          <w:vertAlign w:val="superscript"/>
        </w:rPr>
        <w:t>10</w:t>
      </w:r>
      <w:r>
        <w:rPr>
          <w:rFonts w:ascii="Times New Roman" w:cs="Times New Roman" w:eastAsia="Times New Roman" w:hAnsi="Times New Roman"/>
          <w:sz w:val="18"/>
          <w:szCs w:val="18"/>
          <w:color w:val="auto"/>
        </w:rPr>
        <w:t>. Subject to the foregoing, references to the Indenture herein are references to the Indenture as in effect on the date of its execution, and if the Indenture is amended or supplemented following such date (other than any amendment or supplement (x) pursuant to Section 8.01(I) of the Indenture that, as determined by the Calculation Agent, conforms the Indenture to the description of Exchangeable Notes in the Offering Memorandum or (y) pursuant to Section 5.09 of the Indenture, subject, in the case of this clause (y), to the second paragraph under “Method of Adjustment” in Section 3), any such amendment or supplement will be disregarded for purposes of this Confirmation unless the parties agree otherwise in 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97155</wp:posOffset>
            </wp:positionV>
            <wp:extent cx="77152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79" w:lineRule="exact"/>
        <w:rPr>
          <w:sz w:val="20"/>
          <w:szCs w:val="20"/>
          <w:color w:val="auto"/>
        </w:rPr>
      </w:pPr>
    </w:p>
    <w:p>
      <w:pPr>
        <w:ind w:left="424" w:hanging="424"/>
        <w:spacing w:after="0"/>
        <w:tabs>
          <w:tab w:leader="none" w:pos="424" w:val="left"/>
        </w:tabs>
        <w:numPr>
          <w:ilvl w:val="0"/>
          <w:numId w:val="20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Include Dealer name, address and, if applicable, logo.</w:t>
      </w:r>
    </w:p>
    <w:p>
      <w:pPr>
        <w:ind w:left="424" w:hanging="424"/>
        <w:spacing w:after="0" w:line="180" w:lineRule="auto"/>
        <w:tabs>
          <w:tab w:leader="none" w:pos="424" w:val="left"/>
        </w:tabs>
        <w:numPr>
          <w:ilvl w:val="0"/>
          <w:numId w:val="20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b w:val="1"/>
          <w:bCs w:val="1"/>
          <w:color w:val="auto"/>
        </w:rPr>
        <w:t>Note</w:t>
      </w:r>
      <w:r>
        <w:rPr>
          <w:rFonts w:ascii="Times New Roman" w:cs="Times New Roman" w:eastAsia="Times New Roman" w:hAnsi="Times New Roman"/>
          <w:sz w:val="17"/>
          <w:szCs w:val="17"/>
          <w:color w:val="auto"/>
        </w:rPr>
        <w:t>: Company to confirm.</w:t>
      </w:r>
    </w:p>
    <w:p>
      <w:pPr>
        <w:ind w:left="424" w:hanging="424"/>
        <w:spacing w:after="0" w:line="180" w:lineRule="auto"/>
        <w:tabs>
          <w:tab w:leader="none" w:pos="424" w:val="left"/>
        </w:tabs>
        <w:numPr>
          <w:ilvl w:val="0"/>
          <w:numId w:val="20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Include in the Base Call Option Confirmation.</w:t>
      </w:r>
    </w:p>
    <w:p>
      <w:pPr>
        <w:ind w:left="424" w:hanging="424"/>
        <w:spacing w:after="0" w:line="180" w:lineRule="auto"/>
        <w:tabs>
          <w:tab w:leader="none" w:pos="424" w:val="left"/>
        </w:tabs>
        <w:numPr>
          <w:ilvl w:val="0"/>
          <w:numId w:val="20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Include in the Base Call Option Confirmation.</w:t>
      </w:r>
    </w:p>
    <w:p>
      <w:pPr>
        <w:ind w:left="424" w:hanging="424"/>
        <w:spacing w:after="0" w:line="181" w:lineRule="auto"/>
        <w:tabs>
          <w:tab w:leader="none" w:pos="424" w:val="left"/>
        </w:tabs>
        <w:numPr>
          <w:ilvl w:val="0"/>
          <w:numId w:val="20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Include in the Additional Call Option Confirmation.</w:t>
      </w:r>
    </w:p>
    <w:p>
      <w:pPr>
        <w:ind w:left="424" w:hanging="424"/>
        <w:spacing w:after="0" w:line="180" w:lineRule="auto"/>
        <w:tabs>
          <w:tab w:leader="none" w:pos="424" w:val="left"/>
        </w:tabs>
        <w:numPr>
          <w:ilvl w:val="0"/>
          <w:numId w:val="20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Include in the Base Call Option Confirmation.</w:t>
      </w:r>
    </w:p>
    <w:p>
      <w:pPr>
        <w:ind w:left="424" w:hanging="424"/>
        <w:spacing w:after="0" w:line="180" w:lineRule="auto"/>
        <w:tabs>
          <w:tab w:leader="none" w:pos="424" w:val="left"/>
        </w:tabs>
        <w:numPr>
          <w:ilvl w:val="0"/>
          <w:numId w:val="20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Include in the Additional Call Option Confirmation.</w:t>
      </w:r>
    </w:p>
    <w:p>
      <w:pPr>
        <w:ind w:left="424" w:hanging="424"/>
        <w:spacing w:after="0" w:line="181" w:lineRule="auto"/>
        <w:tabs>
          <w:tab w:leader="none" w:pos="424" w:val="left"/>
        </w:tabs>
        <w:numPr>
          <w:ilvl w:val="0"/>
          <w:numId w:val="20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Insert if Indenture is not completed at the time of the Confirmation.</w:t>
      </w:r>
    </w:p>
    <w:p>
      <w:pPr>
        <w:ind w:left="424" w:hanging="424"/>
        <w:spacing w:after="0" w:line="180" w:lineRule="auto"/>
        <w:tabs>
          <w:tab w:leader="none" w:pos="424" w:val="left"/>
        </w:tabs>
        <w:numPr>
          <w:ilvl w:val="0"/>
          <w:numId w:val="21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Include in the Base Call Option Confirmation. Include in the Additional Call Option Confirmation if it is executed before closing of the base deal.</w:t>
      </w:r>
    </w:p>
    <w:p>
      <w:pPr>
        <w:ind w:left="424" w:hanging="424"/>
        <w:spacing w:after="0" w:line="180" w:lineRule="auto"/>
        <w:tabs>
          <w:tab w:leader="none" w:pos="424" w:val="left"/>
        </w:tabs>
        <w:numPr>
          <w:ilvl w:val="0"/>
          <w:numId w:val="21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Include in the Additional Call Option Confirmation, but only if the Additional Call Option Confirmation is executed after closing of the base deal.</w:t>
      </w:r>
    </w:p>
    <w:p>
      <w:pPr>
        <w:sectPr>
          <w:pgSz w:w="11900" w:h="16838" w:orient="portrait"/>
          <w:cols w:equalWidth="0" w:num="1">
            <w:col w:w="11024"/>
          </w:cols>
          <w:pgMar w:left="436" w:top="117" w:right="439" w:bottom="1440" w:gutter="0" w:footer="0" w:header="0"/>
        </w:sectPr>
      </w:pPr>
    </w:p>
    <w:bookmarkStart w:id="121" w:name="page122"/>
    <w:bookmarkEnd w:id="121"/>
    <w:p>
      <w:pPr>
        <w:ind w:left="4" w:right="16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party is hereby advised, and each such party acknowledges, that the other party has engaged in, or refrained from engaging in, substantial financial transactions and has taken other material actions in reliance upon the parties’ entry into the Transaction to which this Confirmation relates on the terms and conditions set forth below.</w:t>
      </w:r>
    </w:p>
    <w:p>
      <w:pPr>
        <w:spacing w:after="0" w:line="176" w:lineRule="exact"/>
        <w:rPr>
          <w:sz w:val="20"/>
          <w:szCs w:val="20"/>
          <w:color w:val="auto"/>
        </w:rPr>
      </w:pPr>
    </w:p>
    <w:p>
      <w:pPr>
        <w:ind w:left="4" w:hanging="4"/>
        <w:spacing w:after="0" w:line="245" w:lineRule="auto"/>
        <w:tabs>
          <w:tab w:leader="none" w:pos="184"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Confirmation evidences a complete and binding agreement between Dealer and Counterparty as to the terms of the Transaction to which this Confirmation relates. This Confirmation shall supplement, form a part of, and be subject to an agreement in the form of the 2002 ISDA Master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as if Dealer and Counterparty had executed an agreement in such form on the Trade Date, but without any Schedule except for (i) the election of the laws of the State of New York as the governing law (without reference to choice of law doctrine); (ii) in respect of Section 5(a)(vi) of the Agreement, the election that the “Cross Default” provisions shall apply to Dealer with (a) a “Threshold Amount” with respect to Dealer of three percent of the shareholders’ equity of [Dealer][[</w:t>
      </w:r>
      <w:r>
        <w:rPr>
          <w:rFonts w:ascii="Times New Roman" w:cs="Times New Roman" w:eastAsia="Times New Roman" w:hAnsi="Times New Roman"/>
          <w:sz w:val="18"/>
          <w:szCs w:val="18"/>
          <w:i w:val="1"/>
          <w:iCs w:val="1"/>
          <w:color w:val="auto"/>
        </w:rPr>
        <w:t>Dealer Parent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Dealer Parent</w:t>
      </w:r>
      <w:r>
        <w:rPr>
          <w:rFonts w:ascii="Times New Roman" w:cs="Times New Roman" w:eastAsia="Times New Roman" w:hAnsi="Times New Roman"/>
          <w:sz w:val="18"/>
          <w:szCs w:val="18"/>
          <w:color w:val="auto"/>
        </w:rPr>
        <w:t>”)] as of the Trade Date, (b) the deletion of the phrase “, or becoming capable at such time of being declared,” from clause (1) and (c) the following language added to the end thereof: “Notwithstanding the foregoing, a default under subsection (2) hereof shall not constitute an Event of Default if (x) the default was caused solely by error or omission of an administrative or operational nature, (y) funds were available to enable the party to make the payment when due and (z) the payment is made within two Local Business Days of such party’s receipt of written notice of its failure to pay.”; (iii) the modification that the term “Specified Indebtedness” shall have the meaning specified in Section 14 of the Agreement, except that such term shall not include obligations in respect of deposits received in the ordinary course of a party’s banking business; and (iv) the modification that following the payment of the Premium, the condition precedent in Section 2(a)(iii) of the Agreement with respect to Events of Default or Potential Events of Default (other than an Event of Default or Potential Event of Default arising under Section 5(a)(ii), 5(a)(iv) or 5(a)(vii) of the Agreement) shall not apply to a payment or delivery owing by Dealer to Counterparty.</w:t>
      </w:r>
      <w:r>
        <w:rPr>
          <w:rFonts w:ascii="Times New Roman" w:cs="Times New Roman" w:eastAsia="Times New Roman" w:hAnsi="Times New Roman"/>
          <w:sz w:val="26"/>
          <w:szCs w:val="26"/>
          <w:color w:val="auto"/>
          <w:vertAlign w:val="superscript"/>
        </w:rPr>
        <w:t>11</w:t>
      </w:r>
      <w:r>
        <w:rPr>
          <w:rFonts w:ascii="Times New Roman" w:cs="Times New Roman" w:eastAsia="Times New Roman" w:hAnsi="Times New Roman"/>
          <w:sz w:val="18"/>
          <w:szCs w:val="18"/>
          <w:color w:val="auto"/>
        </w:rPr>
        <w:t xml:space="preserve"> In the event of any inconsistency between provisions of the Agreement and this Confirmation, this Confirmation will prevail for the purpose of the Transaction to which this Confirmation relates. The parties hereby agree that no transaction other than the Transaction to which this Confirmation relates shall be governed by the Agreement.</w:t>
      </w:r>
    </w:p>
    <w:p>
      <w:pPr>
        <w:spacing w:after="0" w:line="202"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particular Transaction to which this Confirmation relates are as follows:</w:t>
      </w:r>
    </w:p>
    <w:p>
      <w:pPr>
        <w:spacing w:after="0" w:line="239" w:lineRule="exact"/>
        <w:rPr>
          <w:sz w:val="20"/>
          <w:szCs w:val="20"/>
          <w:color w:val="auto"/>
        </w:rPr>
      </w:pPr>
    </w:p>
    <w:tbl>
      <w:tblPr>
        <w:tblLayout w:type="fixed"/>
        <w:tblInd w:w="224" w:type="dxa"/>
        <w:tblCellMar>
          <w:top w:w="0" w:type="dxa"/>
          <w:left w:w="0" w:type="dxa"/>
          <w:bottom w:w="0" w:type="dxa"/>
          <w:right w:w="0" w:type="dxa"/>
        </w:tblCellMar>
      </w:tblPr>
      <w:tr>
        <w:trPr>
          <w:trHeight w:val="207"/>
        </w:trPr>
        <w:tc>
          <w:tcPr>
            <w:tcW w:w="1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w w:val="97"/>
              </w:rPr>
              <w:t>General Terms</w:t>
            </w:r>
            <w:r>
              <w:rPr>
                <w:rFonts w:ascii="Times New Roman" w:cs="Times New Roman" w:eastAsia="Times New Roman" w:hAnsi="Times New Roman"/>
                <w:sz w:val="18"/>
                <w:szCs w:val="18"/>
                <w:color w:val="auto"/>
                <w:w w:val="97"/>
              </w:rPr>
              <w:t>.</w:t>
            </w:r>
          </w:p>
        </w:tc>
        <w:tc>
          <w:tcPr>
            <w:tcW w:w="1400" w:type="dxa"/>
            <w:vAlign w:val="bottom"/>
          </w:tcPr>
          <w:p>
            <w:pPr>
              <w:spacing w:after="0"/>
              <w:rPr>
                <w:sz w:val="17"/>
                <w:szCs w:val="17"/>
                <w:color w:val="auto"/>
              </w:rPr>
            </w:pPr>
          </w:p>
        </w:tc>
        <w:tc>
          <w:tcPr>
            <w:tcW w:w="8220" w:type="dxa"/>
            <w:vAlign w:val="bottom"/>
          </w:tcPr>
          <w:p>
            <w:pPr>
              <w:spacing w:after="0"/>
              <w:rPr>
                <w:sz w:val="17"/>
                <w:szCs w:val="17"/>
                <w:color w:val="auto"/>
              </w:rPr>
            </w:pPr>
          </w:p>
        </w:tc>
      </w:tr>
      <w:tr>
        <w:trPr>
          <w:trHeight w:val="345"/>
        </w:trPr>
        <w:tc>
          <w:tcPr>
            <w:tcW w:w="2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Trade Date:</w:t>
            </w:r>
          </w:p>
        </w:tc>
        <w:tc>
          <w:tcPr>
            <w:tcW w:w="822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May [__], 2024</w:t>
            </w:r>
          </w:p>
        </w:tc>
      </w:tr>
      <w:tr>
        <w:trPr>
          <w:trHeight w:val="306"/>
        </w:trPr>
        <w:tc>
          <w:tcPr>
            <w:tcW w:w="2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Effective Date:</w:t>
            </w:r>
          </w:p>
        </w:tc>
        <w:tc>
          <w:tcPr>
            <w:tcW w:w="8220" w:type="dxa"/>
            <w:vAlign w:val="bottom"/>
          </w:tcPr>
          <w:p>
            <w:pPr>
              <w:ind w:left="1040"/>
              <w:spacing w:after="0"/>
              <w:rPr>
                <w:sz w:val="20"/>
                <w:szCs w:val="20"/>
                <w:color w:val="auto"/>
              </w:rPr>
            </w:pPr>
            <w:r>
              <w:rPr>
                <w:rFonts w:ascii="Times New Roman" w:cs="Times New Roman" w:eastAsia="Times New Roman" w:hAnsi="Times New Roman"/>
                <w:sz w:val="18"/>
                <w:szCs w:val="18"/>
                <w:color w:val="auto"/>
                <w:w w:val="99"/>
              </w:rPr>
              <w:t>The closing date of the [initial]</w:t>
            </w:r>
            <w:r>
              <w:rPr>
                <w:rFonts w:ascii="Times New Roman" w:cs="Times New Roman" w:eastAsia="Times New Roman" w:hAnsi="Times New Roman"/>
                <w:sz w:val="26"/>
                <w:szCs w:val="26"/>
                <w:color w:val="auto"/>
                <w:w w:val="99"/>
                <w:vertAlign w:val="superscript"/>
              </w:rPr>
              <w:t>12</w:t>
            </w:r>
            <w:r>
              <w:rPr>
                <w:rFonts w:ascii="Times New Roman" w:cs="Times New Roman" w:eastAsia="Times New Roman" w:hAnsi="Times New Roman"/>
                <w:sz w:val="18"/>
                <w:szCs w:val="18"/>
                <w:color w:val="auto"/>
                <w:w w:val="99"/>
              </w:rPr>
              <w:t xml:space="preserve"> issuance of the Exchangeable Notes [issued pursuant to the option</w:t>
            </w:r>
          </w:p>
        </w:tc>
      </w:tr>
      <w:tr>
        <w:trPr>
          <w:trHeight w:val="324"/>
        </w:trPr>
        <w:tc>
          <w:tcPr>
            <w:tcW w:w="1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22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to purchase additional Exchangeable Notes exercised on the date hereof]</w:t>
            </w:r>
            <w:r>
              <w:rPr>
                <w:rFonts w:ascii="Times New Roman" w:cs="Times New Roman" w:eastAsia="Times New Roman" w:hAnsi="Times New Roman"/>
                <w:sz w:val="26"/>
                <w:szCs w:val="26"/>
                <w:color w:val="auto"/>
                <w:vertAlign w:val="superscript"/>
              </w:rPr>
              <w:t>13</w:t>
            </w:r>
          </w:p>
        </w:tc>
      </w:tr>
      <w:tr>
        <w:trPr>
          <w:trHeight w:val="234"/>
        </w:trPr>
        <w:tc>
          <w:tcPr>
            <w:tcW w:w="2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Option Style:</w:t>
            </w:r>
          </w:p>
        </w:tc>
        <w:tc>
          <w:tcPr>
            <w:tcW w:w="822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“Modified American”, as described under “Procedures for Exercise” below</w:t>
            </w:r>
          </w:p>
        </w:tc>
      </w:tr>
      <w:tr>
        <w:trPr>
          <w:trHeight w:val="324"/>
        </w:trPr>
        <w:tc>
          <w:tcPr>
            <w:tcW w:w="2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Option Type:</w:t>
            </w:r>
          </w:p>
        </w:tc>
        <w:tc>
          <w:tcPr>
            <w:tcW w:w="822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Call</w:t>
            </w:r>
          </w:p>
        </w:tc>
      </w:tr>
      <w:tr>
        <w:trPr>
          <w:trHeight w:val="324"/>
        </w:trPr>
        <w:tc>
          <w:tcPr>
            <w:tcW w:w="2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Buyer:</w:t>
            </w:r>
          </w:p>
        </w:tc>
        <w:tc>
          <w:tcPr>
            <w:tcW w:w="822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Counterparty</w:t>
            </w:r>
          </w:p>
        </w:tc>
      </w:tr>
      <w:tr>
        <w:trPr>
          <w:trHeight w:val="324"/>
        </w:trPr>
        <w:tc>
          <w:tcPr>
            <w:tcW w:w="2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Seller:</w:t>
            </w:r>
          </w:p>
        </w:tc>
        <w:tc>
          <w:tcPr>
            <w:tcW w:w="822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Dealer</w:t>
            </w:r>
          </w:p>
        </w:tc>
      </w:tr>
      <w:tr>
        <w:trPr>
          <w:trHeight w:val="324"/>
        </w:trPr>
        <w:tc>
          <w:tcPr>
            <w:tcW w:w="2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Issuer:</w:t>
            </w:r>
          </w:p>
        </w:tc>
        <w:tc>
          <w:tcPr>
            <w:tcW w:w="822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Spectrum Brands Holdings, Inc.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75" w:lineRule="exact"/>
        <w:rPr>
          <w:sz w:val="20"/>
          <w:szCs w:val="20"/>
          <w:color w:val="auto"/>
        </w:rPr>
      </w:pPr>
    </w:p>
    <w:p>
      <w:pPr>
        <w:ind w:left="424" w:hanging="424"/>
        <w:spacing w:after="0"/>
        <w:tabs>
          <w:tab w:leader="none" w:pos="424" w:val="left"/>
        </w:tabs>
        <w:numPr>
          <w:ilvl w:val="0"/>
          <w:numId w:val="21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To include a customary guarantee if Dealer is not the highest rated entity in group.</w:t>
      </w:r>
    </w:p>
    <w:p>
      <w:pPr>
        <w:spacing w:after="0" w:line="1" w:lineRule="exact"/>
        <w:rPr>
          <w:rFonts w:ascii="Times New Roman" w:cs="Times New Roman" w:eastAsia="Times New Roman" w:hAnsi="Times New Roman"/>
          <w:sz w:val="27"/>
          <w:szCs w:val="27"/>
          <w:color w:val="auto"/>
          <w:vertAlign w:val="superscript"/>
        </w:rPr>
      </w:pPr>
    </w:p>
    <w:p>
      <w:pPr>
        <w:ind w:left="424" w:hanging="424"/>
        <w:spacing w:after="0" w:line="186" w:lineRule="auto"/>
        <w:tabs>
          <w:tab w:leader="none" w:pos="424" w:val="left"/>
        </w:tabs>
        <w:numPr>
          <w:ilvl w:val="0"/>
          <w:numId w:val="21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Include in the Base Call Option Confirmation.</w:t>
      </w:r>
    </w:p>
    <w:p>
      <w:pPr>
        <w:spacing w:after="0" w:line="2" w:lineRule="exact"/>
        <w:rPr>
          <w:rFonts w:ascii="Times New Roman" w:cs="Times New Roman" w:eastAsia="Times New Roman" w:hAnsi="Times New Roman"/>
          <w:sz w:val="24"/>
          <w:szCs w:val="24"/>
          <w:color w:val="auto"/>
          <w:vertAlign w:val="superscript"/>
        </w:rPr>
      </w:pPr>
    </w:p>
    <w:p>
      <w:pPr>
        <w:ind w:left="424" w:hanging="424"/>
        <w:spacing w:after="0" w:line="186" w:lineRule="auto"/>
        <w:tabs>
          <w:tab w:leader="none" w:pos="424" w:val="left"/>
        </w:tabs>
        <w:numPr>
          <w:ilvl w:val="0"/>
          <w:numId w:val="21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Include in the Additional Call Option Confirmation.</w:t>
      </w:r>
    </w:p>
    <w:p>
      <w:pPr>
        <w:spacing w:after="0" w:line="1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70" w:right="459" w:bottom="1440" w:gutter="0" w:footer="0" w:header="0"/>
        </w:sectPr>
      </w:pPr>
    </w:p>
    <w:bookmarkStart w:id="122" w:name="page123"/>
    <w:bookmarkEnd w:id="122"/>
    <w:tbl>
      <w:tblPr>
        <w:tblLayout w:type="fixed"/>
        <w:tblInd w:w="224" w:type="dxa"/>
        <w:tblCellMar>
          <w:top w:w="0" w:type="dxa"/>
          <w:left w:w="0" w:type="dxa"/>
          <w:bottom w:w="0" w:type="dxa"/>
          <w:right w:w="0" w:type="dxa"/>
        </w:tblCellMar>
      </w:tblPr>
      <w:tr>
        <w:trPr>
          <w:trHeight w:val="234"/>
        </w:trPr>
        <w:tc>
          <w:tcPr>
            <w:tcW w:w="29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Shares:</w:t>
            </w:r>
          </w:p>
        </w:tc>
        <w:tc>
          <w:tcPr>
            <w:tcW w:w="78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The common stock of Parent, par value USD 0.01 per share (Exchange symbol “SPB”).</w:t>
            </w:r>
          </w:p>
        </w:tc>
      </w:tr>
      <w:tr>
        <w:trPr>
          <w:trHeight w:val="306"/>
        </w:trPr>
        <w:tc>
          <w:tcPr>
            <w:tcW w:w="29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Number of Options:</w:t>
            </w:r>
          </w:p>
        </w:tc>
        <w:tc>
          <w:tcPr>
            <w:tcW w:w="78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[_______]</w:t>
            </w:r>
            <w:r>
              <w:rPr>
                <w:rFonts w:ascii="Times New Roman" w:cs="Times New Roman" w:eastAsia="Times New Roman" w:hAnsi="Times New Roman"/>
                <w:sz w:val="26"/>
                <w:szCs w:val="26"/>
                <w:color w:val="auto"/>
                <w:vertAlign w:val="superscript"/>
              </w:rPr>
              <w:t>14</w:t>
            </w:r>
            <w:r>
              <w:rPr>
                <w:rFonts w:ascii="Times New Roman" w:cs="Times New Roman" w:eastAsia="Times New Roman" w:hAnsi="Times New Roman"/>
                <w:sz w:val="18"/>
                <w:szCs w:val="18"/>
                <w:color w:val="auto"/>
              </w:rPr>
              <w:t>. For the avoidance of doubt, the Number of Options shall be reduced by any Options</w:t>
            </w:r>
          </w:p>
        </w:tc>
      </w:tr>
      <w:tr>
        <w:trPr>
          <w:trHeight w:val="234"/>
        </w:trPr>
        <w:tc>
          <w:tcPr>
            <w:tcW w:w="17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8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exercised by Counterparty. In no event will the Number of Options be less than zero.</w:t>
            </w:r>
          </w:p>
        </w:tc>
      </w:tr>
      <w:tr>
        <w:trPr>
          <w:trHeight w:val="324"/>
        </w:trPr>
        <w:tc>
          <w:tcPr>
            <w:tcW w:w="29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Applicable Percentage:</w:t>
            </w:r>
          </w:p>
        </w:tc>
        <w:tc>
          <w:tcPr>
            <w:tcW w:w="78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[__]%</w:t>
            </w:r>
          </w:p>
        </w:tc>
      </w:tr>
      <w:tr>
        <w:trPr>
          <w:trHeight w:val="414"/>
        </w:trPr>
        <w:tc>
          <w:tcPr>
            <w:tcW w:w="29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Option Entitlement:</w:t>
            </w:r>
          </w:p>
        </w:tc>
        <w:tc>
          <w:tcPr>
            <w:tcW w:w="78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 number equal to the product of the Applicable Percentage and [______]</w:t>
            </w:r>
            <w:r>
              <w:rPr>
                <w:rFonts w:ascii="Times New Roman" w:cs="Times New Roman" w:eastAsia="Times New Roman" w:hAnsi="Times New Roman"/>
                <w:sz w:val="26"/>
                <w:szCs w:val="26"/>
                <w:color w:val="auto"/>
                <w:vertAlign w:val="superscript"/>
              </w:rPr>
              <w:t>15</w:t>
            </w:r>
            <w:r>
              <w:rPr>
                <w:rFonts w:ascii="Times New Roman" w:cs="Times New Roman" w:eastAsia="Times New Roman" w:hAnsi="Times New Roman"/>
                <w:sz w:val="18"/>
                <w:szCs w:val="18"/>
                <w:color w:val="auto"/>
              </w:rPr>
              <w:t>.</w:t>
            </w:r>
          </w:p>
        </w:tc>
      </w:tr>
      <w:tr>
        <w:trPr>
          <w:trHeight w:val="234"/>
        </w:trPr>
        <w:tc>
          <w:tcPr>
            <w:tcW w:w="29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Strike Price:</w:t>
            </w:r>
          </w:p>
        </w:tc>
        <w:tc>
          <w:tcPr>
            <w:tcW w:w="78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USD [______]</w:t>
            </w:r>
          </w:p>
        </w:tc>
      </w:tr>
      <w:tr>
        <w:trPr>
          <w:trHeight w:val="324"/>
        </w:trPr>
        <w:tc>
          <w:tcPr>
            <w:tcW w:w="29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Cap Price:</w:t>
            </w:r>
          </w:p>
        </w:tc>
        <w:tc>
          <w:tcPr>
            <w:tcW w:w="78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USD [______]</w:t>
            </w:r>
          </w:p>
        </w:tc>
      </w:tr>
      <w:tr>
        <w:trPr>
          <w:trHeight w:val="324"/>
        </w:trPr>
        <w:tc>
          <w:tcPr>
            <w:tcW w:w="29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Premium:</w:t>
            </w:r>
          </w:p>
        </w:tc>
        <w:tc>
          <w:tcPr>
            <w:tcW w:w="78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USD [______]</w:t>
            </w:r>
          </w:p>
        </w:tc>
      </w:tr>
      <w:tr>
        <w:trPr>
          <w:trHeight w:val="324"/>
        </w:trPr>
        <w:tc>
          <w:tcPr>
            <w:tcW w:w="29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Premium Payment Date:</w:t>
            </w:r>
          </w:p>
        </w:tc>
        <w:tc>
          <w:tcPr>
            <w:tcW w:w="78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The Effective Date</w:t>
            </w:r>
          </w:p>
        </w:tc>
      </w:tr>
      <w:tr>
        <w:trPr>
          <w:trHeight w:val="324"/>
        </w:trPr>
        <w:tc>
          <w:tcPr>
            <w:tcW w:w="29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Exchange:</w:t>
            </w:r>
          </w:p>
        </w:tc>
        <w:tc>
          <w:tcPr>
            <w:tcW w:w="78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The New York Stock Exchange</w:t>
            </w:r>
          </w:p>
        </w:tc>
      </w:tr>
      <w:tr>
        <w:trPr>
          <w:trHeight w:val="324"/>
        </w:trPr>
        <w:tc>
          <w:tcPr>
            <w:tcW w:w="29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Related Exchange(s):</w:t>
            </w:r>
          </w:p>
        </w:tc>
        <w:tc>
          <w:tcPr>
            <w:tcW w:w="78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All Exchanges</w:t>
            </w:r>
          </w:p>
        </w:tc>
      </w:tr>
      <w:tr>
        <w:trPr>
          <w:trHeight w:val="324"/>
        </w:trPr>
        <w:tc>
          <w:tcPr>
            <w:tcW w:w="29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Excluded Provisions:</w:t>
            </w:r>
          </w:p>
        </w:tc>
        <w:tc>
          <w:tcPr>
            <w:tcW w:w="78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Section 5.06(A) and Section 5.07 of the Indenture.</w:t>
            </w:r>
          </w:p>
        </w:tc>
      </w:tr>
      <w:tr>
        <w:trPr>
          <w:trHeight w:val="283"/>
        </w:trPr>
        <w:tc>
          <w:tcPr>
            <w:tcW w:w="1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w w:val="98"/>
              </w:rPr>
              <w:t>Procedures for Exercise.</w:t>
            </w:r>
          </w:p>
        </w:tc>
        <w:tc>
          <w:tcPr>
            <w:tcW w:w="1180" w:type="dxa"/>
            <w:vAlign w:val="bottom"/>
          </w:tcPr>
          <w:p>
            <w:pPr>
              <w:spacing w:after="0"/>
              <w:rPr>
                <w:sz w:val="24"/>
                <w:szCs w:val="24"/>
                <w:color w:val="auto"/>
              </w:rPr>
            </w:pPr>
          </w:p>
        </w:tc>
        <w:tc>
          <w:tcPr>
            <w:tcW w:w="7800" w:type="dxa"/>
            <w:vAlign w:val="bottom"/>
          </w:tcPr>
          <w:p>
            <w:pPr>
              <w:spacing w:after="0"/>
              <w:rPr>
                <w:sz w:val="24"/>
                <w:szCs w:val="24"/>
                <w:color w:val="auto"/>
              </w:rPr>
            </w:pPr>
          </w:p>
        </w:tc>
      </w:tr>
      <w:tr>
        <w:trPr>
          <w:trHeight w:val="326"/>
        </w:trPr>
        <w:tc>
          <w:tcPr>
            <w:tcW w:w="29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Exchange Date:</w:t>
            </w:r>
          </w:p>
        </w:tc>
        <w:tc>
          <w:tcPr>
            <w:tcW w:w="78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With respect to any exchange of an Exchangeable Note (other than (x) any exchange of</w:t>
            </w:r>
          </w:p>
        </w:tc>
      </w:tr>
      <w:tr>
        <w:trPr>
          <w:trHeight w:val="216"/>
        </w:trPr>
        <w:tc>
          <w:tcPr>
            <w:tcW w:w="17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Exchangeable Notes with an Exchange Date occurring prior to the Free Exchangeability Date or</w:t>
            </w:r>
          </w:p>
        </w:tc>
      </w:tr>
      <w:tr>
        <w:trPr>
          <w:trHeight w:val="216"/>
        </w:trPr>
        <w:tc>
          <w:tcPr>
            <w:tcW w:w="17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(y) any exchange of an Exchangeable Note in respect of which the “Holder” (as such term is</w:t>
            </w:r>
          </w:p>
        </w:tc>
      </w:tr>
      <w:tr>
        <w:trPr>
          <w:trHeight w:val="216"/>
        </w:trPr>
        <w:tc>
          <w:tcPr>
            <w:tcW w:w="17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defined in the Indenture) of such Exchangeable Note would be entitled to an increase in the</w:t>
            </w:r>
          </w:p>
        </w:tc>
      </w:tr>
      <w:tr>
        <w:trPr>
          <w:trHeight w:val="212"/>
        </w:trPr>
        <w:tc>
          <w:tcPr>
            <w:tcW w:w="17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Exchange Rate pursuant to Section 5.07 of the Indenture (any such exchange described in clause</w:t>
            </w:r>
          </w:p>
        </w:tc>
      </w:tr>
      <w:tr>
        <w:trPr>
          <w:trHeight w:val="220"/>
        </w:trPr>
        <w:tc>
          <w:tcPr>
            <w:tcW w:w="17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8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(x) or clause (y), an “</w:t>
            </w:r>
            <w:r>
              <w:rPr>
                <w:rFonts w:ascii="Times New Roman" w:cs="Times New Roman" w:eastAsia="Times New Roman" w:hAnsi="Times New Roman"/>
                <w:sz w:val="18"/>
                <w:szCs w:val="18"/>
                <w:b w:val="1"/>
                <w:bCs w:val="1"/>
                <w:color w:val="auto"/>
              </w:rPr>
              <w:t>Early Exchange</w:t>
            </w:r>
            <w:r>
              <w:rPr>
                <w:rFonts w:ascii="Times New Roman" w:cs="Times New Roman" w:eastAsia="Times New Roman" w:hAnsi="Times New Roman"/>
                <w:sz w:val="18"/>
                <w:szCs w:val="18"/>
                <w:color w:val="auto"/>
              </w:rPr>
              <w:t>”), to which the provisions of Section 9(i)(i) of this</w:t>
            </w:r>
          </w:p>
        </w:tc>
      </w:tr>
      <w:tr>
        <w:trPr>
          <w:trHeight w:val="216"/>
        </w:trPr>
        <w:tc>
          <w:tcPr>
            <w:tcW w:w="17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9"/>
              </w:rPr>
              <w:t>Confirmation shall apply), the date on which the “Holder” (as such term is defined in the Indenture)</w:t>
            </w:r>
          </w:p>
        </w:tc>
      </w:tr>
      <w:tr>
        <w:trPr>
          <w:trHeight w:val="214"/>
        </w:trPr>
        <w:tc>
          <w:tcPr>
            <w:tcW w:w="17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of such Exchangeable Note satisfies all of the requirements for exchange thereof as set forth in</w:t>
            </w:r>
          </w:p>
        </w:tc>
      </w:tr>
      <w:tr>
        <w:trPr>
          <w:trHeight w:val="218"/>
        </w:trPr>
        <w:tc>
          <w:tcPr>
            <w:tcW w:w="17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 xml:space="preserve">Section 5.02(A) of the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Exchange Date shall be deemed to have</w:t>
            </w:r>
          </w:p>
        </w:tc>
      </w:tr>
      <w:tr>
        <w:trPr>
          <w:trHeight w:val="234"/>
        </w:trPr>
        <w:tc>
          <w:tcPr>
            <w:tcW w:w="17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8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occurred with respect to Exchanged Securities.</w:t>
            </w:r>
          </w:p>
        </w:tc>
      </w:tr>
      <w:tr>
        <w:trPr>
          <w:trHeight w:val="324"/>
        </w:trPr>
        <w:tc>
          <w:tcPr>
            <w:tcW w:w="29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Free Exchangeability Date:</w:t>
            </w:r>
          </w:p>
        </w:tc>
        <w:tc>
          <w:tcPr>
            <w:tcW w:w="78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March 1, 2029</w:t>
            </w:r>
          </w:p>
        </w:tc>
      </w:tr>
      <w:tr>
        <w:trPr>
          <w:trHeight w:val="306"/>
        </w:trPr>
        <w:tc>
          <w:tcPr>
            <w:tcW w:w="29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Exchanged Securities:</w:t>
            </w:r>
          </w:p>
        </w:tc>
        <w:tc>
          <w:tcPr>
            <w:tcW w:w="78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With respect to any Exchange Date, any Exchangeable Notes with respect to which Counterparty</w:t>
            </w:r>
          </w:p>
        </w:tc>
      </w:tr>
      <w:tr>
        <w:trPr>
          <w:trHeight w:val="216"/>
        </w:trPr>
        <w:tc>
          <w:tcPr>
            <w:tcW w:w="17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makes the election described in Section 5.08 of the Indenture and the financial institution</w:t>
            </w:r>
          </w:p>
        </w:tc>
      </w:tr>
      <w:tr>
        <w:trPr>
          <w:trHeight w:val="216"/>
        </w:trPr>
        <w:tc>
          <w:tcPr>
            <w:tcW w:w="17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designated by Counterparty accepts such Exchangeable Notes in accordance with Section 5.08 of</w:t>
            </w:r>
          </w:p>
        </w:tc>
      </w:tr>
      <w:tr>
        <w:trPr>
          <w:trHeight w:val="234"/>
        </w:trPr>
        <w:tc>
          <w:tcPr>
            <w:tcW w:w="17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8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the Indenture, as long as Counterparty does not submit a Notice of Exercise in respect thereof.</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ind w:left="424" w:right="260" w:hanging="424"/>
        <w:spacing w:after="0" w:line="220" w:lineRule="auto"/>
        <w:tabs>
          <w:tab w:leader="none" w:pos="424" w:val="left"/>
        </w:tabs>
        <w:numPr>
          <w:ilvl w:val="0"/>
          <w:numId w:val="21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For the Base Call Option Confirmation, this is equal to the number of Exchangeable Notes in principal amount of $1,000 initially issued on the closing date for the Exchangeable Notes. For the Additional Call Option Confirmation, this is equal to the number of additional Exchangeable Notes in principal amount of $1,000.</w:t>
      </w:r>
    </w:p>
    <w:p>
      <w:pPr>
        <w:spacing w:after="0" w:line="2" w:lineRule="exact"/>
        <w:rPr>
          <w:rFonts w:ascii="Times New Roman" w:cs="Times New Roman" w:eastAsia="Times New Roman" w:hAnsi="Times New Roman"/>
          <w:sz w:val="27"/>
          <w:szCs w:val="27"/>
          <w:color w:val="auto"/>
          <w:vertAlign w:val="superscript"/>
        </w:rPr>
      </w:pPr>
    </w:p>
    <w:p>
      <w:pPr>
        <w:ind w:left="424" w:hanging="424"/>
        <w:spacing w:after="0" w:line="180" w:lineRule="auto"/>
        <w:tabs>
          <w:tab w:leader="none" w:pos="424" w:val="left"/>
        </w:tabs>
        <w:numPr>
          <w:ilvl w:val="0"/>
          <w:numId w:val="21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Insert the initial Exchange Rate for the Exchangeable Notes.</w:t>
      </w:r>
    </w:p>
    <w:p>
      <w:pPr>
        <w:spacing w:after="0" w:line="13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4"/>
          </w:cols>
          <w:pgMar w:left="436" w:top="378" w:right="479" w:bottom="1440" w:gutter="0" w:footer="0" w:header="0"/>
        </w:sectPr>
      </w:pPr>
    </w:p>
    <w:bookmarkStart w:id="123" w:name="page124"/>
    <w:bookmarkEnd w:id="123"/>
    <w:tbl>
      <w:tblPr>
        <w:tblLayout w:type="fixed"/>
        <w:tblInd w:w="584" w:type="dxa"/>
        <w:tblCellMar>
          <w:top w:w="0" w:type="dxa"/>
          <w:left w:w="0" w:type="dxa"/>
          <w:bottom w:w="0" w:type="dxa"/>
          <w:right w:w="0" w:type="dxa"/>
        </w:tblCellMar>
      </w:tblP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Expiration Time:</w:t>
            </w:r>
          </w:p>
        </w:tc>
        <w:tc>
          <w:tcPr>
            <w:tcW w:w="7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The Valuation Time</w:t>
            </w:r>
          </w:p>
        </w:tc>
        <w:tc>
          <w:tcPr>
            <w:tcW w:w="0" w:type="dxa"/>
            <w:vAlign w:val="bottom"/>
          </w:tcPr>
          <w:p>
            <w:pPr>
              <w:spacing w:after="0"/>
              <w:rPr>
                <w:sz w:val="1"/>
                <w:szCs w:val="1"/>
                <w:color w:val="auto"/>
              </w:rPr>
            </w:pPr>
          </w:p>
        </w:tc>
      </w:tr>
      <w:tr>
        <w:trPr>
          <w:trHeight w:val="32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Expiration Date:</w:t>
            </w:r>
          </w:p>
        </w:tc>
        <w:tc>
          <w:tcPr>
            <w:tcW w:w="7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June 1, 2029, subject to earlier exercise.</w:t>
            </w:r>
          </w:p>
        </w:tc>
        <w:tc>
          <w:tcPr>
            <w:tcW w:w="0" w:type="dxa"/>
            <w:vAlign w:val="bottom"/>
          </w:tcPr>
          <w:p>
            <w:pPr>
              <w:spacing w:after="0"/>
              <w:rPr>
                <w:sz w:val="1"/>
                <w:szCs w:val="1"/>
                <w:color w:val="auto"/>
              </w:rPr>
            </w:pPr>
          </w:p>
        </w:tc>
      </w:tr>
      <w:tr>
        <w:trPr>
          <w:trHeight w:val="30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Multiple Exercise:</w:t>
            </w:r>
          </w:p>
        </w:tc>
        <w:tc>
          <w:tcPr>
            <w:tcW w:w="7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Applicable, as described under “Automatic Exercise” and “Automatic Exercise of Remaining</w:t>
            </w:r>
          </w:p>
        </w:tc>
        <w:tc>
          <w:tcPr>
            <w:tcW w:w="0" w:type="dxa"/>
            <w:vAlign w:val="bottom"/>
          </w:tcPr>
          <w:p>
            <w:pPr>
              <w:spacing w:after="0"/>
              <w:rPr>
                <w:sz w:val="1"/>
                <w:szCs w:val="1"/>
                <w:color w:val="auto"/>
              </w:rPr>
            </w:pPr>
          </w:p>
        </w:tc>
      </w:tr>
      <w:tr>
        <w:trPr>
          <w:trHeight w:val="234"/>
        </w:trPr>
        <w:tc>
          <w:tcPr>
            <w:tcW w:w="2840" w:type="dxa"/>
            <w:vAlign w:val="bottom"/>
          </w:tcPr>
          <w:p>
            <w:pPr>
              <w:spacing w:after="0"/>
              <w:rPr>
                <w:sz w:val="20"/>
                <w:szCs w:val="20"/>
                <w:color w:val="auto"/>
              </w:rPr>
            </w:pPr>
          </w:p>
        </w:tc>
        <w:tc>
          <w:tcPr>
            <w:tcW w:w="7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Repurchase Options After Free Exchangeability Date” below.</w:t>
            </w:r>
          </w:p>
        </w:tc>
        <w:tc>
          <w:tcPr>
            <w:tcW w:w="0" w:type="dxa"/>
            <w:vAlign w:val="bottom"/>
          </w:tcPr>
          <w:p>
            <w:pPr>
              <w:spacing w:after="0"/>
              <w:rPr>
                <w:sz w:val="1"/>
                <w:szCs w:val="1"/>
                <w:color w:val="auto"/>
              </w:rPr>
            </w:pPr>
          </w:p>
        </w:tc>
      </w:tr>
      <w:tr>
        <w:trPr>
          <w:trHeight w:val="30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Automatic Exercise:</w:t>
            </w:r>
          </w:p>
        </w:tc>
        <w:tc>
          <w:tcPr>
            <w:tcW w:w="758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Notwithstanding Section 3.4 of the Equity Definitions, on each Exchange Date occurring on or after</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18"/>
                <w:szCs w:val="18"/>
                <w:color w:val="auto"/>
              </w:rPr>
            </w:pPr>
          </w:p>
        </w:tc>
        <w:tc>
          <w:tcPr>
            <w:tcW w:w="7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the Free Exchangeability Date, in respect of which a “Notice of Exchange” (as defined in the</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18"/>
                <w:szCs w:val="18"/>
                <w:color w:val="auto"/>
              </w:rPr>
            </w:pPr>
          </w:p>
        </w:tc>
        <w:tc>
          <w:tcPr>
            <w:tcW w:w="7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Indenture) that is effective as to Counterparty has been delivered by the relevant exchanging</w:t>
            </w:r>
          </w:p>
        </w:tc>
        <w:tc>
          <w:tcPr>
            <w:tcW w:w="0" w:type="dxa"/>
            <w:vAlign w:val="bottom"/>
          </w:tcPr>
          <w:p>
            <w:pPr>
              <w:spacing w:after="0"/>
              <w:rPr>
                <w:sz w:val="1"/>
                <w:szCs w:val="1"/>
                <w:color w:val="auto"/>
              </w:rPr>
            </w:pPr>
          </w:p>
        </w:tc>
      </w:tr>
      <w:tr>
        <w:trPr>
          <w:trHeight w:val="214"/>
        </w:trPr>
        <w:tc>
          <w:tcPr>
            <w:tcW w:w="2840" w:type="dxa"/>
            <w:vAlign w:val="bottom"/>
          </w:tcPr>
          <w:p>
            <w:pPr>
              <w:spacing w:after="0"/>
              <w:rPr>
                <w:sz w:val="18"/>
                <w:szCs w:val="18"/>
                <w:color w:val="auto"/>
              </w:rPr>
            </w:pPr>
          </w:p>
        </w:tc>
        <w:tc>
          <w:tcPr>
            <w:tcW w:w="7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“Holder”, a number of Options equal to [(i)] the number of Exchangeable Notes in denominations</w:t>
            </w:r>
          </w:p>
        </w:tc>
        <w:tc>
          <w:tcPr>
            <w:tcW w:w="0" w:type="dxa"/>
            <w:vAlign w:val="bottom"/>
          </w:tcPr>
          <w:p>
            <w:pPr>
              <w:spacing w:after="0"/>
              <w:rPr>
                <w:sz w:val="1"/>
                <w:szCs w:val="1"/>
                <w:color w:val="auto"/>
              </w:rPr>
            </w:pPr>
          </w:p>
        </w:tc>
      </w:tr>
      <w:tr>
        <w:trPr>
          <w:trHeight w:val="218"/>
        </w:trPr>
        <w:tc>
          <w:tcPr>
            <w:tcW w:w="2840" w:type="dxa"/>
            <w:vAlign w:val="bottom"/>
          </w:tcPr>
          <w:p>
            <w:pPr>
              <w:spacing w:after="0"/>
              <w:rPr>
                <w:sz w:val="18"/>
                <w:szCs w:val="18"/>
                <w:color w:val="auto"/>
              </w:rPr>
            </w:pPr>
          </w:p>
        </w:tc>
        <w:tc>
          <w:tcPr>
            <w:tcW w:w="7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of USD 1,000 as to which such Exchange Date has occurred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(ii) the number of Options that</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18"/>
                <w:szCs w:val="18"/>
                <w:color w:val="auto"/>
              </w:rPr>
            </w:pPr>
          </w:p>
        </w:tc>
        <w:tc>
          <w:tcPr>
            <w:tcW w:w="7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are or are deemed to be automatically exercised on such Exchange Date under the Base Call Option</w:t>
            </w:r>
          </w:p>
        </w:tc>
        <w:tc>
          <w:tcPr>
            <w:tcW w:w="0" w:type="dxa"/>
            <w:vAlign w:val="bottom"/>
          </w:tcPr>
          <w:p>
            <w:pPr>
              <w:spacing w:after="0"/>
              <w:rPr>
                <w:sz w:val="1"/>
                <w:szCs w:val="1"/>
                <w:color w:val="auto"/>
              </w:rPr>
            </w:pPr>
          </w:p>
        </w:tc>
      </w:tr>
      <w:tr>
        <w:trPr>
          <w:trHeight w:val="212"/>
        </w:trPr>
        <w:tc>
          <w:tcPr>
            <w:tcW w:w="2840" w:type="dxa"/>
            <w:vAlign w:val="bottom"/>
          </w:tcPr>
          <w:p>
            <w:pPr>
              <w:spacing w:after="0"/>
              <w:rPr>
                <w:sz w:val="18"/>
                <w:szCs w:val="18"/>
                <w:color w:val="auto"/>
              </w:rPr>
            </w:pPr>
          </w:p>
        </w:tc>
        <w:tc>
          <w:tcPr>
            <w:tcW w:w="758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Transaction Confirmation letter agreement dated [_______], 2024 between Dealer and Counterparty</w:t>
            </w:r>
          </w:p>
        </w:tc>
        <w:tc>
          <w:tcPr>
            <w:tcW w:w="0" w:type="dxa"/>
            <w:vAlign w:val="bottom"/>
          </w:tcPr>
          <w:p>
            <w:pPr>
              <w:spacing w:after="0"/>
              <w:rPr>
                <w:sz w:val="1"/>
                <w:szCs w:val="1"/>
                <w:color w:val="auto"/>
              </w:rPr>
            </w:pPr>
          </w:p>
        </w:tc>
      </w:tr>
      <w:tr>
        <w:trPr>
          <w:trHeight w:val="218"/>
        </w:trPr>
        <w:tc>
          <w:tcPr>
            <w:tcW w:w="2840" w:type="dxa"/>
            <w:vAlign w:val="bottom"/>
          </w:tcPr>
          <w:p>
            <w:pPr>
              <w:spacing w:after="0"/>
              <w:rPr>
                <w:sz w:val="18"/>
                <w:szCs w:val="18"/>
                <w:color w:val="auto"/>
              </w:rPr>
            </w:pPr>
          </w:p>
        </w:tc>
        <w:tc>
          <w:tcPr>
            <w:tcW w:w="7580" w:type="dxa"/>
            <w:vAlign w:val="bottom"/>
          </w:tcPr>
          <w:p>
            <w:pPr>
              <w:ind w:left="360"/>
              <w:spacing w:after="0" w:line="217" w:lineRule="exact"/>
              <w:rPr>
                <w:sz w:val="20"/>
                <w:szCs w:val="20"/>
                <w:color w:val="auto"/>
              </w:rPr>
            </w:pPr>
            <w:r>
              <w:rPr>
                <w:rFonts w:ascii="Times New Roman" w:cs="Times New Roman" w:eastAsia="Times New Roman" w:hAnsi="Times New Roman"/>
                <w:sz w:val="17"/>
                <w:szCs w:val="17"/>
                <w:color w:val="auto"/>
              </w:rPr>
              <w:t>(the “</w:t>
            </w:r>
            <w:r>
              <w:rPr>
                <w:rFonts w:ascii="Times New Roman" w:cs="Times New Roman" w:eastAsia="Times New Roman" w:hAnsi="Times New Roman"/>
                <w:sz w:val="17"/>
                <w:szCs w:val="17"/>
                <w:b w:val="1"/>
                <w:bCs w:val="1"/>
                <w:color w:val="auto"/>
              </w:rPr>
              <w:t>Base Call Option Confirmation</w:t>
            </w:r>
            <w:r>
              <w:rPr>
                <w:rFonts w:ascii="Times New Roman" w:cs="Times New Roman" w:eastAsia="Times New Roman" w:hAnsi="Times New Roman"/>
                <w:sz w:val="17"/>
                <w:szCs w:val="17"/>
                <w:color w:val="auto"/>
              </w:rPr>
              <w:t>”),]</w:t>
            </w:r>
            <w:r>
              <w:rPr>
                <w:rFonts w:ascii="Times New Roman" w:cs="Times New Roman" w:eastAsia="Times New Roman" w:hAnsi="Times New Roman"/>
                <w:sz w:val="25"/>
                <w:szCs w:val="25"/>
                <w:color w:val="auto"/>
                <w:vertAlign w:val="superscript"/>
              </w:rPr>
              <w:t>16</w:t>
            </w:r>
            <w:r>
              <w:rPr>
                <w:rFonts w:ascii="Times New Roman" w:cs="Times New Roman" w:eastAsia="Times New Roman" w:hAnsi="Times New Roman"/>
                <w:sz w:val="17"/>
                <w:szCs w:val="17"/>
                <w:color w:val="auto"/>
              </w:rPr>
              <w:t xml:space="preserve"> shall be deemed to be automatically exercised;</w:t>
            </w:r>
          </w:p>
        </w:tc>
        <w:tc>
          <w:tcPr>
            <w:tcW w:w="0" w:type="dxa"/>
            <w:vAlign w:val="bottom"/>
          </w:tcPr>
          <w:p>
            <w:pPr>
              <w:spacing w:after="0"/>
              <w:rPr>
                <w:sz w:val="1"/>
                <w:szCs w:val="1"/>
                <w:color w:val="auto"/>
              </w:rPr>
            </w:pPr>
          </w:p>
        </w:tc>
      </w:tr>
      <w:tr>
        <w:trPr>
          <w:trHeight w:val="218"/>
        </w:trPr>
        <w:tc>
          <w:tcPr>
            <w:tcW w:w="2840" w:type="dxa"/>
            <w:vAlign w:val="bottom"/>
          </w:tcPr>
          <w:p>
            <w:pPr>
              <w:spacing w:after="0"/>
              <w:rPr>
                <w:sz w:val="18"/>
                <w:szCs w:val="18"/>
                <w:color w:val="auto"/>
              </w:rPr>
            </w:pPr>
          </w:p>
        </w:tc>
        <w:tc>
          <w:tcPr>
            <w:tcW w:w="758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such Options shall be exercised or deemed exercised only if Counterparty has</w:t>
            </w:r>
          </w:p>
        </w:tc>
        <w:tc>
          <w:tcPr>
            <w:tcW w:w="0" w:type="dxa"/>
            <w:vAlign w:val="bottom"/>
          </w:tcPr>
          <w:p>
            <w:pPr>
              <w:spacing w:after="0"/>
              <w:rPr>
                <w:sz w:val="1"/>
                <w:szCs w:val="1"/>
                <w:color w:val="auto"/>
              </w:rPr>
            </w:pPr>
          </w:p>
        </w:tc>
      </w:tr>
      <w:tr>
        <w:trPr>
          <w:trHeight w:val="234"/>
        </w:trPr>
        <w:tc>
          <w:tcPr>
            <w:tcW w:w="2840" w:type="dxa"/>
            <w:vAlign w:val="bottom"/>
          </w:tcPr>
          <w:p>
            <w:pPr>
              <w:spacing w:after="0"/>
              <w:rPr>
                <w:sz w:val="20"/>
                <w:szCs w:val="20"/>
                <w:color w:val="auto"/>
              </w:rPr>
            </w:pPr>
          </w:p>
        </w:tc>
        <w:tc>
          <w:tcPr>
            <w:tcW w:w="7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provided a Notice of Exercise to Dealer in accordance with “Notice of Exercise” below.</w:t>
            </w:r>
          </w:p>
        </w:tc>
        <w:tc>
          <w:tcPr>
            <w:tcW w:w="0" w:type="dxa"/>
            <w:vAlign w:val="bottom"/>
          </w:tcPr>
          <w:p>
            <w:pPr>
              <w:spacing w:after="0"/>
              <w:rPr>
                <w:sz w:val="1"/>
                <w:szCs w:val="1"/>
                <w:color w:val="auto"/>
              </w:rPr>
            </w:pPr>
          </w:p>
        </w:tc>
      </w:tr>
      <w:tr>
        <w:trPr>
          <w:trHeight w:val="306"/>
        </w:trPr>
        <w:tc>
          <w:tcPr>
            <w:tcW w:w="2840" w:type="dxa"/>
            <w:vAlign w:val="bottom"/>
          </w:tcPr>
          <w:p>
            <w:pPr>
              <w:spacing w:after="0"/>
              <w:rPr>
                <w:sz w:val="24"/>
                <w:szCs w:val="24"/>
                <w:color w:val="auto"/>
              </w:rPr>
            </w:pPr>
          </w:p>
        </w:tc>
        <w:tc>
          <w:tcPr>
            <w:tcW w:w="7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Notwithstanding the foregoing, in no event shall the number of Options that are exercised or</w:t>
            </w:r>
          </w:p>
        </w:tc>
        <w:tc>
          <w:tcPr>
            <w:tcW w:w="0" w:type="dxa"/>
            <w:vAlign w:val="bottom"/>
          </w:tcPr>
          <w:p>
            <w:pPr>
              <w:spacing w:after="0"/>
              <w:rPr>
                <w:sz w:val="1"/>
                <w:szCs w:val="1"/>
                <w:color w:val="auto"/>
              </w:rPr>
            </w:pPr>
          </w:p>
        </w:tc>
      </w:tr>
      <w:tr>
        <w:trPr>
          <w:trHeight w:val="234"/>
        </w:trPr>
        <w:tc>
          <w:tcPr>
            <w:tcW w:w="2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Automatic Exercise of Remaining</w:t>
            </w:r>
          </w:p>
        </w:tc>
        <w:tc>
          <w:tcPr>
            <w:tcW w:w="7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deemed exercised hereunder exceed the Number of Options.</w:t>
            </w:r>
          </w:p>
        </w:tc>
        <w:tc>
          <w:tcPr>
            <w:tcW w:w="0" w:type="dxa"/>
            <w:vAlign w:val="bottom"/>
          </w:tcPr>
          <w:p>
            <w:pPr>
              <w:spacing w:after="0"/>
              <w:rPr>
                <w:sz w:val="1"/>
                <w:szCs w:val="1"/>
                <w:color w:val="auto"/>
              </w:rPr>
            </w:pPr>
          </w:p>
        </w:tc>
      </w:tr>
      <w:tr>
        <w:trPr>
          <w:trHeight w:val="198"/>
        </w:trPr>
        <w:tc>
          <w:tcPr>
            <w:tcW w:w="2840" w:type="dxa"/>
            <w:vAlign w:val="bottom"/>
            <w:vMerge w:val="continue"/>
          </w:tcPr>
          <w:p>
            <w:pPr>
              <w:spacing w:after="0"/>
              <w:rPr>
                <w:sz w:val="17"/>
                <w:szCs w:val="17"/>
                <w:color w:val="auto"/>
              </w:rPr>
            </w:pPr>
          </w:p>
        </w:tc>
        <w:tc>
          <w:tcPr>
            <w:tcW w:w="7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Repurchase Options After</w:t>
            </w:r>
          </w:p>
        </w:tc>
        <w:tc>
          <w:tcPr>
            <w:tcW w:w="7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Free Exchangeability Date:</w:t>
            </w:r>
          </w:p>
        </w:tc>
        <w:tc>
          <w:tcPr>
            <w:tcW w:w="7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Notwithstanding anything herein or in Section 3.4 of the Equity Definitions to the contrary, unless</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18"/>
                <w:szCs w:val="18"/>
                <w:color w:val="auto"/>
              </w:rPr>
            </w:pPr>
          </w:p>
        </w:tc>
        <w:tc>
          <w:tcPr>
            <w:tcW w:w="7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Counterparty notifies Dealer in writing prior to 5:00 p.m. (New York City time) on the Expiration</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18"/>
                <w:szCs w:val="18"/>
                <w:color w:val="auto"/>
              </w:rPr>
            </w:pPr>
          </w:p>
        </w:tc>
        <w:tc>
          <w:tcPr>
            <w:tcW w:w="7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Date that it does not wish Automatic Exercise to occur, a number of Options equal to the lesser of</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18"/>
                <w:szCs w:val="18"/>
                <w:color w:val="auto"/>
              </w:rPr>
            </w:pPr>
          </w:p>
        </w:tc>
        <w:tc>
          <w:tcPr>
            <w:tcW w:w="7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 the Number of Options (after giving effect to the provisions opposite the caption “Automatic</w:t>
            </w:r>
          </w:p>
        </w:tc>
        <w:tc>
          <w:tcPr>
            <w:tcW w:w="0" w:type="dxa"/>
            <w:vAlign w:val="bottom"/>
          </w:tcPr>
          <w:p>
            <w:pPr>
              <w:spacing w:after="0"/>
              <w:rPr>
                <w:sz w:val="1"/>
                <w:szCs w:val="1"/>
                <w:color w:val="auto"/>
              </w:rPr>
            </w:pPr>
          </w:p>
        </w:tc>
      </w:tr>
      <w:tr>
        <w:trPr>
          <w:trHeight w:val="214"/>
        </w:trPr>
        <w:tc>
          <w:tcPr>
            <w:tcW w:w="2840" w:type="dxa"/>
            <w:vAlign w:val="bottom"/>
          </w:tcPr>
          <w:p>
            <w:pPr>
              <w:spacing w:after="0"/>
              <w:rPr>
                <w:sz w:val="18"/>
                <w:szCs w:val="18"/>
                <w:color w:val="auto"/>
              </w:rPr>
            </w:pPr>
          </w:p>
        </w:tc>
        <w:tc>
          <w:tcPr>
            <w:tcW w:w="7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Exercise” above) as of 5:00 p.m. (New York City time) on the Expiration Date and (b) the</w:t>
            </w:r>
          </w:p>
        </w:tc>
        <w:tc>
          <w:tcPr>
            <w:tcW w:w="0" w:type="dxa"/>
            <w:vAlign w:val="bottom"/>
          </w:tcPr>
          <w:p>
            <w:pPr>
              <w:spacing w:after="0"/>
              <w:rPr>
                <w:sz w:val="1"/>
                <w:szCs w:val="1"/>
                <w:color w:val="auto"/>
              </w:rPr>
            </w:pPr>
          </w:p>
        </w:tc>
      </w:tr>
      <w:tr>
        <w:trPr>
          <w:trHeight w:val="214"/>
        </w:trPr>
        <w:tc>
          <w:tcPr>
            <w:tcW w:w="2840" w:type="dxa"/>
            <w:vAlign w:val="bottom"/>
          </w:tcPr>
          <w:p>
            <w:pPr>
              <w:spacing w:after="0"/>
              <w:rPr>
                <w:sz w:val="18"/>
                <w:szCs w:val="18"/>
                <w:color w:val="auto"/>
              </w:rPr>
            </w:pPr>
          </w:p>
        </w:tc>
        <w:tc>
          <w:tcPr>
            <w:tcW w:w="7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Remaining Repurchase Options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number of Remaining Options (as defined in the Base</w:t>
            </w:r>
          </w:p>
        </w:tc>
        <w:tc>
          <w:tcPr>
            <w:tcW w:w="0" w:type="dxa"/>
            <w:vAlign w:val="bottom"/>
          </w:tcPr>
          <w:p>
            <w:pPr>
              <w:spacing w:after="0"/>
              <w:rPr>
                <w:sz w:val="1"/>
                <w:szCs w:val="1"/>
                <w:color w:val="auto"/>
              </w:rPr>
            </w:pPr>
          </w:p>
        </w:tc>
      </w:tr>
      <w:tr>
        <w:trPr>
          <w:trHeight w:val="220"/>
        </w:trPr>
        <w:tc>
          <w:tcPr>
            <w:tcW w:w="2840" w:type="dxa"/>
            <w:vAlign w:val="bottom"/>
          </w:tcPr>
          <w:p>
            <w:pPr>
              <w:spacing w:after="0"/>
              <w:rPr>
                <w:sz w:val="19"/>
                <w:szCs w:val="19"/>
                <w:color w:val="auto"/>
              </w:rPr>
            </w:pPr>
          </w:p>
        </w:tc>
        <w:tc>
          <w:tcPr>
            <w:tcW w:w="7580" w:type="dxa"/>
            <w:vAlign w:val="bottom"/>
          </w:tcPr>
          <w:p>
            <w:pPr>
              <w:ind w:left="360"/>
              <w:spacing w:after="0" w:line="220" w:lineRule="exact"/>
              <w:rPr>
                <w:sz w:val="20"/>
                <w:szCs w:val="20"/>
                <w:color w:val="auto"/>
              </w:rPr>
            </w:pPr>
            <w:r>
              <w:rPr>
                <w:rFonts w:ascii="Times New Roman" w:cs="Times New Roman" w:eastAsia="Times New Roman" w:hAnsi="Times New Roman"/>
                <w:sz w:val="17"/>
                <w:szCs w:val="17"/>
                <w:color w:val="auto"/>
              </w:rPr>
              <w:t>Call Option Transaction Confirmation)]</w:t>
            </w:r>
            <w:r>
              <w:rPr>
                <w:rFonts w:ascii="Times New Roman" w:cs="Times New Roman" w:eastAsia="Times New Roman" w:hAnsi="Times New Roman"/>
                <w:sz w:val="25"/>
                <w:szCs w:val="25"/>
                <w:color w:val="auto"/>
                <w:vertAlign w:val="superscript"/>
              </w:rPr>
              <w:t>17</w:t>
            </w:r>
            <w:r>
              <w:rPr>
                <w:rFonts w:ascii="Times New Roman" w:cs="Times New Roman" w:eastAsia="Times New Roman" w:hAnsi="Times New Roman"/>
                <w:sz w:val="17"/>
                <w:szCs w:val="17"/>
                <w:color w:val="auto"/>
              </w:rPr>
              <w:t xml:space="preserve"> (such lesser number, the “</w:t>
            </w:r>
            <w:r>
              <w:rPr>
                <w:rFonts w:ascii="Times New Roman" w:cs="Times New Roman" w:eastAsia="Times New Roman" w:hAnsi="Times New Roman"/>
                <w:sz w:val="17"/>
                <w:szCs w:val="17"/>
                <w:b w:val="1"/>
                <w:bCs w:val="1"/>
                <w:color w:val="auto"/>
              </w:rPr>
              <w:t>Remaining Options</w:t>
            </w:r>
            <w:r>
              <w:rPr>
                <w:rFonts w:ascii="Times New Roman" w:cs="Times New Roman" w:eastAsia="Times New Roman" w:hAnsi="Times New Roman"/>
                <w:sz w:val="17"/>
                <w:szCs w:val="17"/>
                <w:color w:val="auto"/>
              </w:rPr>
              <w:t>”) will be</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18"/>
                <w:szCs w:val="18"/>
                <w:color w:val="auto"/>
              </w:rPr>
            </w:pPr>
          </w:p>
        </w:tc>
        <w:tc>
          <w:tcPr>
            <w:tcW w:w="7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deemed to be automatically exercised as if (i) a number of Exchangeable Notes (in denominations</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18"/>
                <w:szCs w:val="18"/>
                <w:color w:val="auto"/>
              </w:rPr>
            </w:pPr>
          </w:p>
        </w:tc>
        <w:tc>
          <w:tcPr>
            <w:tcW w:w="7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of USD 1,000 principal amount) equal to such number of Remaining Options were exchanged with</w:t>
            </w:r>
          </w:p>
        </w:tc>
        <w:tc>
          <w:tcPr>
            <w:tcW w:w="0" w:type="dxa"/>
            <w:vAlign w:val="bottom"/>
          </w:tcPr>
          <w:p>
            <w:pPr>
              <w:spacing w:after="0"/>
              <w:rPr>
                <w:sz w:val="1"/>
                <w:szCs w:val="1"/>
                <w:color w:val="auto"/>
              </w:rPr>
            </w:pPr>
          </w:p>
        </w:tc>
      </w:tr>
      <w:tr>
        <w:trPr>
          <w:trHeight w:val="234"/>
        </w:trPr>
        <w:tc>
          <w:tcPr>
            <w:tcW w:w="2840" w:type="dxa"/>
            <w:vAlign w:val="bottom"/>
          </w:tcPr>
          <w:p>
            <w:pPr>
              <w:spacing w:after="0"/>
              <w:rPr>
                <w:sz w:val="20"/>
                <w:szCs w:val="20"/>
                <w:color w:val="auto"/>
              </w:rPr>
            </w:pPr>
          </w:p>
        </w:tc>
        <w:tc>
          <w:tcPr>
            <w:tcW w:w="7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an “Exchange Date” (as defined in the Indenture) occurring on or after the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75" w:lineRule="exact"/>
        <w:rPr>
          <w:sz w:val="20"/>
          <w:szCs w:val="20"/>
          <w:color w:val="auto"/>
        </w:rPr>
      </w:pPr>
    </w:p>
    <w:p>
      <w:pPr>
        <w:ind w:left="424" w:hanging="424"/>
        <w:spacing w:after="0"/>
        <w:tabs>
          <w:tab w:leader="none" w:pos="424" w:val="left"/>
        </w:tabs>
        <w:numPr>
          <w:ilvl w:val="0"/>
          <w:numId w:val="21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Include for Additional Call Option Confirmation only.</w:t>
      </w:r>
    </w:p>
    <w:p>
      <w:pPr>
        <w:spacing w:after="0" w:line="1" w:lineRule="exact"/>
        <w:rPr>
          <w:rFonts w:ascii="Times New Roman" w:cs="Times New Roman" w:eastAsia="Times New Roman" w:hAnsi="Times New Roman"/>
          <w:sz w:val="27"/>
          <w:szCs w:val="27"/>
          <w:color w:val="auto"/>
          <w:vertAlign w:val="superscript"/>
        </w:rPr>
      </w:pPr>
    </w:p>
    <w:p>
      <w:pPr>
        <w:ind w:left="424" w:hanging="424"/>
        <w:spacing w:after="0" w:line="186" w:lineRule="auto"/>
        <w:tabs>
          <w:tab w:leader="none" w:pos="424" w:val="left"/>
        </w:tabs>
        <w:numPr>
          <w:ilvl w:val="0"/>
          <w:numId w:val="21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Insert for Additional Call Option Confirmation only.</w:t>
      </w:r>
    </w:p>
    <w:p>
      <w:pPr>
        <w:spacing w:after="0" w:line="1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378" w:right="459" w:bottom="1440" w:gutter="0" w:footer="0" w:header="0"/>
        </w:sectPr>
      </w:pPr>
    </w:p>
    <w:bookmarkStart w:id="124" w:name="page125"/>
    <w:bookmarkEnd w:id="124"/>
    <w:p>
      <w:pPr>
        <w:ind w:left="378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Free Exchangeability Date and (ii) the Relevant Settlement Method applied to such Exchangeable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automatic exercise pursuant to this paragraph will occur if the Relevant Price for each Valid Day during the Settlement Averaging Period is less than or equal to the Strike Price. “</w:t>
      </w:r>
      <w:r>
        <w:rPr>
          <w:rFonts w:ascii="Times New Roman" w:cs="Times New Roman" w:eastAsia="Times New Roman" w:hAnsi="Times New Roman"/>
          <w:sz w:val="18"/>
          <w:szCs w:val="18"/>
          <w:b w:val="1"/>
          <w:bCs w:val="1"/>
          <w:color w:val="auto"/>
        </w:rPr>
        <w:t>Remaining Repurchase Options</w:t>
      </w:r>
      <w:r>
        <w:rPr>
          <w:rFonts w:ascii="Times New Roman" w:cs="Times New Roman" w:eastAsia="Times New Roman" w:hAnsi="Times New Roman"/>
          <w:sz w:val="18"/>
          <w:szCs w:val="18"/>
          <w:color w:val="auto"/>
        </w:rPr>
        <w:t>” shall mean the excess of (I) the aggregate number of Exchangeable Notes (in denominations of USD 1,000 principal amount) that were subject to Repayment Events (as defined below) (other than Repayment Events pursuant to the terms of the Indenture) described in clause (y) of Section 9(i)(iv) (“</w:t>
      </w:r>
      <w:r>
        <w:rPr>
          <w:rFonts w:ascii="Times New Roman" w:cs="Times New Roman" w:eastAsia="Times New Roman" w:hAnsi="Times New Roman"/>
          <w:sz w:val="18"/>
          <w:szCs w:val="18"/>
          <w:b w:val="1"/>
          <w:bCs w:val="1"/>
          <w:color w:val="auto"/>
        </w:rPr>
        <w:t>Repurchase Events</w:t>
      </w:r>
      <w:r>
        <w:rPr>
          <w:rFonts w:ascii="Times New Roman" w:cs="Times New Roman" w:eastAsia="Times New Roman" w:hAnsi="Times New Roman"/>
          <w:sz w:val="18"/>
          <w:szCs w:val="18"/>
          <w:color w:val="auto"/>
        </w:rPr>
        <w:t xml:space="preserve">”) during the term of the Transaction </w:t>
      </w:r>
      <w:r>
        <w:rPr>
          <w:rFonts w:ascii="Times New Roman" w:cs="Times New Roman" w:eastAsia="Times New Roman" w:hAnsi="Times New Roman"/>
          <w:sz w:val="18"/>
          <w:szCs w:val="18"/>
          <w:i w:val="1"/>
          <w:iCs w:val="1"/>
          <w:color w:val="auto"/>
        </w:rPr>
        <w:t>over</w:t>
      </w:r>
      <w:r>
        <w:rPr>
          <w:rFonts w:ascii="Times New Roman" w:cs="Times New Roman" w:eastAsia="Times New Roman" w:hAnsi="Times New Roman"/>
          <w:sz w:val="18"/>
          <w:szCs w:val="18"/>
          <w:color w:val="auto"/>
        </w:rPr>
        <w:t xml:space="preserve"> (II) the aggregate number of Repayment Options (as defined below) that were terminated hereunder relating to Repurchase Events during the term of the Transaction [and the number of Repayment Options (as defined in the Base Call Option Transaction Confirmation) terminated under the Base Call Option Transaction Confirmation relating to Repurchase Events (as defined therein) during the term of the “Transaction” under the Base Call Option Transaction Confirmation]</w:t>
      </w:r>
      <w:r>
        <w:rPr>
          <w:rFonts w:ascii="Times New Roman" w:cs="Times New Roman" w:eastAsia="Times New Roman" w:hAnsi="Times New Roman"/>
          <w:sz w:val="13"/>
          <w:szCs w:val="13"/>
          <w:color w:val="auto"/>
        </w:rPr>
        <w:t>18</w:t>
      </w:r>
      <w:r>
        <w:rPr>
          <w:rFonts w:ascii="Times New Roman" w:cs="Times New Roman" w:eastAsia="Times New Roman" w:hAnsi="Times New Roman"/>
          <w:sz w:val="18"/>
          <w:szCs w:val="18"/>
          <w:color w:val="auto"/>
        </w:rPr>
        <w:t>.</w:t>
      </w:r>
    </w:p>
    <w:p>
      <w:pPr>
        <w:sectPr>
          <w:pgSz w:w="11900" w:h="16838" w:orient="portrait"/>
          <w:cols w:equalWidth="0" w:num="1">
            <w:col w:w="11004"/>
          </w:cols>
          <w:pgMar w:left="436" w:top="270" w:right="459" w:bottom="1440" w:gutter="0" w:footer="0" w:header="0"/>
        </w:sectPr>
      </w:pPr>
    </w:p>
    <w:p>
      <w:pPr>
        <w:spacing w:after="0" w:line="79" w:lineRule="exact"/>
        <w:rPr>
          <w:sz w:val="20"/>
          <w:szCs w:val="20"/>
          <w:color w:val="auto"/>
        </w:rPr>
      </w:pPr>
    </w:p>
    <w:p>
      <w:pPr>
        <w:ind w:left="584"/>
        <w:spacing w:after="0"/>
        <w:rPr>
          <w:sz w:val="20"/>
          <w:szCs w:val="20"/>
          <w:color w:val="auto"/>
        </w:rPr>
      </w:pPr>
      <w:r>
        <w:rPr>
          <w:rFonts w:ascii="Times New Roman" w:cs="Times New Roman" w:eastAsia="Times New Roman" w:hAnsi="Times New Roman"/>
          <w:sz w:val="18"/>
          <w:szCs w:val="18"/>
          <w:color w:val="auto"/>
        </w:rPr>
        <w:t>Notice of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2580640</wp:posOffset>
            </wp:positionV>
            <wp:extent cx="77152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 xml:space="preserve">Notwithstanding anything to the contrary in the Equity Definitions or under “Automatic Exercise” above, but subject to “Automatic Exercise of Remaining Repurchase Options After Free Exchangeability Date” above, in order to exercise any Options relating to Exchangeable Notes with an Exchange Date occurring on or after the Free Exchangeability Date, Counterparty must notify Dealer in writing (which, for the avoidance of doubt, may be by email) before 5:00 p.m. (New York City time) on the Scheduled Valid Day immediately preceding the Expiration Date specifying the number of such Options;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the foregoing, such notice (and the related exercise of Options hereunder) shall be effective if given after the applicable notice deadline specified above but prior to 5:00 P.M., New York City time, on the fifth Exchange Business Day following such notice deadline, in which event the Calculation Agent shall have the right to adjust Dealer’s delivery obligation hereunder and the Settlement Date in a commercially reasonable manner, with respect to the exercise of such Options, as appropriate to reflect the additional commercially reasonable costs (including, but not limited to, losses as a result of hedging mismatches and market losses) and expenses incurred by Dealer in connection with its hedging activities, with such adjustments made assuming that Dealer maintains commercially reasonable hedge positions (including the unwinding of any hedge position), solely resulting from Dealer not having received such notice prior to such notice deadline (it being understood that the adjusted delivery obligation described in the preceding proviso can never be less than zero and can never require any payment by Counterparty);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p>
    <w:p>
      <w:pPr>
        <w:spacing w:after="0" w:line="88" w:lineRule="exact"/>
        <w:rPr>
          <w:sz w:val="20"/>
          <w:szCs w:val="20"/>
          <w:color w:val="auto"/>
        </w:rPr>
      </w:pPr>
    </w:p>
    <w:p>
      <w:pPr>
        <w:sectPr>
          <w:pgSz w:w="11900" w:h="16838" w:orient="portrait"/>
          <w:cols w:equalWidth="0" w:num="2">
            <w:col w:w="3064" w:space="720"/>
            <w:col w:w="7220"/>
          </w:cols>
          <w:pgMar w:left="436" w:top="270" w:right="459" w:bottom="1440" w:gutter="0" w:footer="0" w:header="0"/>
          <w:type w:val="continuous"/>
        </w:sectPr>
      </w:pPr>
    </w:p>
    <w:p>
      <w:pPr>
        <w:ind w:left="424" w:hanging="424"/>
        <w:spacing w:after="0"/>
        <w:tabs>
          <w:tab w:leader="none" w:pos="424" w:val="left"/>
        </w:tabs>
        <w:numPr>
          <w:ilvl w:val="0"/>
          <w:numId w:val="21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Insert for Additional Call Option Confirmation only.</w:t>
      </w:r>
    </w:p>
    <w:p>
      <w:pPr>
        <w:spacing w:after="0" w:line="13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1004"/>
          </w:cols>
          <w:pgMar w:left="436" w:top="270" w:right="459" w:bottom="1440" w:gutter="0" w:footer="0" w:header="0"/>
          <w:type w:val="continuous"/>
        </w:sectPr>
      </w:pPr>
    </w:p>
    <w:bookmarkStart w:id="125" w:name="page126"/>
    <w:bookmarkEnd w:id="125"/>
    <w:tbl>
      <w:tblPr>
        <w:tblLayout w:type="fixed"/>
        <w:tblInd w:w="0" w:type="dxa"/>
        <w:tblCellMar>
          <w:top w:w="0" w:type="dxa"/>
          <w:left w:w="0" w:type="dxa"/>
          <w:bottom w:w="0" w:type="dxa"/>
          <w:right w:w="0" w:type="dxa"/>
        </w:tblCellMar>
      </w:tblPr>
      <w:tr>
        <w:trPr>
          <w:trHeight w:val="214"/>
        </w:trPr>
        <w:tc>
          <w:tcPr>
            <w:tcW w:w="1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820" w:type="dxa"/>
            <w:vAlign w:val="bottom"/>
          </w:tcPr>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further </w:t>
            </w:r>
            <w:r>
              <w:rPr>
                <w:rFonts w:ascii="Times New Roman" w:cs="Times New Roman" w:eastAsia="Times New Roman" w:hAnsi="Times New Roman"/>
                <w:sz w:val="18"/>
                <w:szCs w:val="18"/>
                <w:color w:val="auto"/>
              </w:rPr>
              <w:t>that if the Relevant Settlement Method for such Options is (x) Cash Settlement or</w:t>
            </w:r>
          </w:p>
        </w:tc>
      </w:tr>
      <w:tr>
        <w:trPr>
          <w:trHeight w:val="216"/>
        </w:trPr>
        <w:tc>
          <w:tcPr>
            <w:tcW w:w="1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(y) Combination Settlement, Dealer shall have received a separate notice (the “</w:t>
            </w:r>
            <w:r>
              <w:rPr>
                <w:rFonts w:ascii="Times New Roman" w:cs="Times New Roman" w:eastAsia="Times New Roman" w:hAnsi="Times New Roman"/>
                <w:sz w:val="18"/>
                <w:szCs w:val="18"/>
                <w:b w:val="1"/>
                <w:bCs w:val="1"/>
                <w:color w:val="auto"/>
              </w:rPr>
              <w:t>Notice of Final</w:t>
            </w:r>
          </w:p>
        </w:tc>
      </w:tr>
      <w:tr>
        <w:trPr>
          <w:trHeight w:val="220"/>
        </w:trPr>
        <w:tc>
          <w:tcPr>
            <w:tcW w:w="12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782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Settlement Method</w:t>
            </w:r>
            <w:r>
              <w:rPr>
                <w:rFonts w:ascii="Times New Roman" w:cs="Times New Roman" w:eastAsia="Times New Roman" w:hAnsi="Times New Roman"/>
                <w:sz w:val="18"/>
                <w:szCs w:val="18"/>
                <w:color w:val="auto"/>
              </w:rPr>
              <w:t>”) (which, for the avoidance of doubt, may be by email) in respect of all such</w:t>
            </w:r>
          </w:p>
        </w:tc>
      </w:tr>
      <w:tr>
        <w:trPr>
          <w:trHeight w:val="216"/>
        </w:trPr>
        <w:tc>
          <w:tcPr>
            <w:tcW w:w="1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Exchangeable Notes before 5:00 p.m. (New York City time) on the Free Exchangeability Date</w:t>
            </w:r>
          </w:p>
        </w:tc>
      </w:tr>
      <w:tr>
        <w:trPr>
          <w:trHeight w:val="216"/>
        </w:trPr>
        <w:tc>
          <w:tcPr>
            <w:tcW w:w="1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specifying (1) the Relevant Settlement Method for such Options, and (2) if the settlement method</w:t>
            </w:r>
          </w:p>
        </w:tc>
      </w:tr>
      <w:tr>
        <w:trPr>
          <w:trHeight w:val="216"/>
        </w:trPr>
        <w:tc>
          <w:tcPr>
            <w:tcW w:w="1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for the related Exchangeable Notes is not Settlement in Cash (as defined below), the fixed amount</w:t>
            </w:r>
          </w:p>
        </w:tc>
      </w:tr>
      <w:tr>
        <w:trPr>
          <w:trHeight w:val="212"/>
        </w:trPr>
        <w:tc>
          <w:tcPr>
            <w:tcW w:w="1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of cash per Exchangeable Note that Counterparty has elected to deliver to “Holders” (as such term</w:t>
            </w:r>
          </w:p>
        </w:tc>
      </w:tr>
      <w:tr>
        <w:trPr>
          <w:trHeight w:val="220"/>
        </w:trPr>
        <w:tc>
          <w:tcPr>
            <w:tcW w:w="12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7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is defined in the Indenture) of the related Exchangeable Notes (the “</w:t>
            </w:r>
            <w:r>
              <w:rPr>
                <w:rFonts w:ascii="Times New Roman" w:cs="Times New Roman" w:eastAsia="Times New Roman" w:hAnsi="Times New Roman"/>
                <w:sz w:val="18"/>
                <w:szCs w:val="18"/>
                <w:b w:val="1"/>
                <w:bCs w:val="1"/>
                <w:color w:val="auto"/>
              </w:rPr>
              <w:t>Specified Cash Amount</w:t>
            </w:r>
            <w:r>
              <w:rPr>
                <w:rFonts w:ascii="Times New Roman" w:cs="Times New Roman" w:eastAsia="Times New Roman" w:hAnsi="Times New Roman"/>
                <w:sz w:val="18"/>
                <w:szCs w:val="18"/>
                <w:color w:val="auto"/>
              </w:rPr>
              <w:t>”).</w:t>
            </w:r>
          </w:p>
        </w:tc>
      </w:tr>
      <w:tr>
        <w:trPr>
          <w:trHeight w:val="216"/>
        </w:trPr>
        <w:tc>
          <w:tcPr>
            <w:tcW w:w="1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Each of Counterparty and Issuer acknowledges its responsibilities under applicable securities laws,</w:t>
            </w:r>
          </w:p>
        </w:tc>
      </w:tr>
      <w:tr>
        <w:trPr>
          <w:trHeight w:val="216"/>
        </w:trPr>
        <w:tc>
          <w:tcPr>
            <w:tcW w:w="1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and in particular Section 9 and Section 10(b) of the Exchange Act (as defined below) and the rules</w:t>
            </w:r>
          </w:p>
        </w:tc>
      </w:tr>
      <w:tr>
        <w:trPr>
          <w:trHeight w:val="216"/>
        </w:trPr>
        <w:tc>
          <w:tcPr>
            <w:tcW w:w="1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and regulations thereunder, in respect of any election of a settlement method with respect to the</w:t>
            </w:r>
          </w:p>
        </w:tc>
      </w:tr>
      <w:tr>
        <w:trPr>
          <w:trHeight w:val="234"/>
        </w:trPr>
        <w:tc>
          <w:tcPr>
            <w:tcW w:w="12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7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Exchangeable Notes.</w:t>
            </w:r>
          </w:p>
        </w:tc>
      </w:tr>
      <w:tr>
        <w:trPr>
          <w:trHeight w:val="306"/>
        </w:trPr>
        <w:tc>
          <w:tcPr>
            <w:tcW w:w="2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Valuation Time:</w:t>
            </w:r>
          </w:p>
        </w:tc>
        <w:tc>
          <w:tcPr>
            <w:tcW w:w="782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9"/>
              </w:rPr>
              <w:t xml:space="preserve">At the close of trading of the regular trading session on the Exchange; </w:t>
            </w:r>
            <w:r>
              <w:rPr>
                <w:rFonts w:ascii="Times New Roman" w:cs="Times New Roman" w:eastAsia="Times New Roman" w:hAnsi="Times New Roman"/>
                <w:sz w:val="18"/>
                <w:szCs w:val="18"/>
                <w:i w:val="1"/>
                <w:iCs w:val="1"/>
                <w:color w:val="auto"/>
                <w:w w:val="99"/>
              </w:rPr>
              <w:t>provided</w:t>
            </w:r>
            <w:r>
              <w:rPr>
                <w:rFonts w:ascii="Times New Roman" w:cs="Times New Roman" w:eastAsia="Times New Roman" w:hAnsi="Times New Roman"/>
                <w:sz w:val="18"/>
                <w:szCs w:val="18"/>
                <w:color w:val="auto"/>
                <w:w w:val="99"/>
              </w:rPr>
              <w:t xml:space="preserve"> that if the principal</w:t>
            </w:r>
          </w:p>
        </w:tc>
      </w:tr>
      <w:tr>
        <w:trPr>
          <w:trHeight w:val="216"/>
        </w:trPr>
        <w:tc>
          <w:tcPr>
            <w:tcW w:w="1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trading session is extended, the Calculation Agent shall determine the Valuation Time in its</w:t>
            </w:r>
          </w:p>
        </w:tc>
      </w:tr>
      <w:tr>
        <w:trPr>
          <w:trHeight w:val="234"/>
        </w:trPr>
        <w:tc>
          <w:tcPr>
            <w:tcW w:w="12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7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commercially reasonable discretion.</w:t>
            </w:r>
          </w:p>
        </w:tc>
      </w:tr>
      <w:tr>
        <w:trPr>
          <w:trHeight w:val="324"/>
        </w:trPr>
        <w:tc>
          <w:tcPr>
            <w:tcW w:w="2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Market Disruption Event:</w:t>
            </w:r>
          </w:p>
        </w:tc>
        <w:tc>
          <w:tcPr>
            <w:tcW w:w="7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6.3(a) of the Equity Definitions is hereby replaced in its entirety by the following:</w:t>
            </w:r>
          </w:p>
        </w:tc>
      </w:tr>
      <w:tr>
        <w:trPr>
          <w:trHeight w:val="306"/>
        </w:trPr>
        <w:tc>
          <w:tcPr>
            <w:tcW w:w="1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“‘Market Disruption Event’ means, with respect to any date (i) a failure by the principal U.S.</w:t>
            </w:r>
          </w:p>
        </w:tc>
      </w:tr>
      <w:tr>
        <w:trPr>
          <w:trHeight w:val="216"/>
        </w:trPr>
        <w:tc>
          <w:tcPr>
            <w:tcW w:w="1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national or regional securities exchange or market on which the Shares are then listed or admitted</w:t>
            </w:r>
          </w:p>
        </w:tc>
      </w:tr>
      <w:tr>
        <w:trPr>
          <w:trHeight w:val="216"/>
        </w:trPr>
        <w:tc>
          <w:tcPr>
            <w:tcW w:w="1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for trading to open for trading during its regular trading session on such date; or (ii) the occurrence</w:t>
            </w:r>
          </w:p>
        </w:tc>
      </w:tr>
      <w:tr>
        <w:trPr>
          <w:trHeight w:val="216"/>
        </w:trPr>
        <w:tc>
          <w:tcPr>
            <w:tcW w:w="1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82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9"/>
              </w:rPr>
              <w:t>or existence prior to 1:00 p.m., New York City time, on any Scheduled Valid Day for the Shares for</w:t>
            </w:r>
          </w:p>
        </w:tc>
      </w:tr>
      <w:tr>
        <w:trPr>
          <w:trHeight w:val="216"/>
        </w:trPr>
        <w:tc>
          <w:tcPr>
            <w:tcW w:w="1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more than one half-hour period in the aggregate during regular trading hours of any suspension or</w:t>
            </w:r>
          </w:p>
        </w:tc>
      </w:tr>
      <w:tr>
        <w:trPr>
          <w:trHeight w:val="216"/>
        </w:trPr>
        <w:tc>
          <w:tcPr>
            <w:tcW w:w="1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limitation imposed on trading (by reason of movements in price exceeding limits permitted by the</w:t>
            </w:r>
          </w:p>
        </w:tc>
      </w:tr>
      <w:tr>
        <w:trPr>
          <w:trHeight w:val="216"/>
        </w:trPr>
        <w:tc>
          <w:tcPr>
            <w:tcW w:w="1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relevant stock exchange or otherwise) in the Shares or in any options contracts or futures contracts</w:t>
            </w:r>
          </w:p>
        </w:tc>
      </w:tr>
      <w:tr>
        <w:trPr>
          <w:trHeight w:val="234"/>
        </w:trPr>
        <w:tc>
          <w:tcPr>
            <w:tcW w:w="12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7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relating to the Shares.”</w:t>
            </w:r>
          </w:p>
        </w:tc>
      </w:tr>
      <w:tr>
        <w:trPr>
          <w:trHeight w:val="283"/>
        </w:trPr>
        <w:tc>
          <w:tcPr>
            <w:tcW w:w="1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w w:val="97"/>
              </w:rPr>
              <w:t>Settlement Terms.</w:t>
            </w:r>
          </w:p>
        </w:tc>
        <w:tc>
          <w:tcPr>
            <w:tcW w:w="1620" w:type="dxa"/>
            <w:vAlign w:val="bottom"/>
          </w:tcPr>
          <w:p>
            <w:pPr>
              <w:spacing w:after="0"/>
              <w:rPr>
                <w:sz w:val="24"/>
                <w:szCs w:val="24"/>
                <w:color w:val="auto"/>
              </w:rPr>
            </w:pPr>
          </w:p>
        </w:tc>
        <w:tc>
          <w:tcPr>
            <w:tcW w:w="7820" w:type="dxa"/>
            <w:vAlign w:val="bottom"/>
          </w:tcPr>
          <w:p>
            <w:pPr>
              <w:spacing w:after="0"/>
              <w:rPr>
                <w:sz w:val="24"/>
                <w:szCs w:val="24"/>
                <w:color w:val="auto"/>
              </w:rPr>
            </w:pPr>
          </w:p>
        </w:tc>
      </w:tr>
      <w:tr>
        <w:trPr>
          <w:trHeight w:val="326"/>
        </w:trPr>
        <w:tc>
          <w:tcPr>
            <w:tcW w:w="2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Settlement Method:</w:t>
            </w:r>
          </w:p>
        </w:tc>
        <w:tc>
          <w:tcPr>
            <w:tcW w:w="7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 xml:space="preserve">For any Option, Net Share Settlement;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Relevant Settlement Method set forth</w:t>
            </w:r>
          </w:p>
        </w:tc>
      </w:tr>
      <w:tr>
        <w:trPr>
          <w:trHeight w:val="216"/>
        </w:trPr>
        <w:tc>
          <w:tcPr>
            <w:tcW w:w="1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below for such Option is not Net Share Settlement, then the Settlement Method for such Option</w:t>
            </w:r>
          </w:p>
        </w:tc>
      </w:tr>
      <w:tr>
        <w:trPr>
          <w:trHeight w:val="216"/>
        </w:trPr>
        <w:tc>
          <w:tcPr>
            <w:tcW w:w="1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shall be such Relevant Settlement Method, but only if Counterparty shall have notified Dealer of</w:t>
            </w:r>
          </w:p>
        </w:tc>
      </w:tr>
      <w:tr>
        <w:trPr>
          <w:trHeight w:val="234"/>
        </w:trPr>
        <w:tc>
          <w:tcPr>
            <w:tcW w:w="12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7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Relevant Settlement Method in the Notice of Final Settlement Method for such Option.</w:t>
            </w:r>
          </w:p>
        </w:tc>
      </w:tr>
      <w:tr>
        <w:trPr>
          <w:trHeight w:val="365"/>
        </w:trPr>
        <w:tc>
          <w:tcPr>
            <w:tcW w:w="1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82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6</w:t>
            </w:r>
          </w:p>
        </w:tc>
      </w:tr>
    </w:tbl>
    <w:p>
      <w:pPr>
        <w:ind w:left="2340"/>
        <w:spacing w:after="0"/>
        <w:rPr>
          <w:sz w:val="20"/>
          <w:szCs w:val="20"/>
          <w:color w:val="auto"/>
        </w:rPr>
        <w:sectPr>
          <w:pgSz w:w="11900" w:h="16838" w:orient="portrait"/>
          <w:cols w:equalWidth="0" w:num="1">
            <w:col w:w="10720"/>
          </w:cols>
          <w:pgMar w:left="660" w:top="376" w:right="51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126" w:name="page127"/>
    <w:bookmarkEnd w:id="126"/>
    <w:p>
      <w:pPr>
        <w:spacing w:after="0"/>
        <w:rPr>
          <w:sz w:val="20"/>
          <w:szCs w:val="20"/>
          <w:color w:val="auto"/>
        </w:rPr>
      </w:pPr>
      <w:r>
        <w:rPr>
          <w:rFonts w:ascii="Times New Roman" w:cs="Times New Roman" w:eastAsia="Times New Roman" w:hAnsi="Times New Roman"/>
          <w:sz w:val="18"/>
          <w:szCs w:val="18"/>
          <w:color w:val="auto"/>
        </w:rPr>
        <w:t>Relevant Settlement Method: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In respect of any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-2483485</wp:posOffset>
            </wp:positionH>
            <wp:positionV relativeFrom="paragraph">
              <wp:posOffset>-206375</wp:posOffset>
            </wp:positionV>
            <wp:extent cx="71748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28" w:lineRule="exact"/>
        <w:rPr>
          <w:sz w:val="20"/>
          <w:szCs w:val="20"/>
          <w:color w:val="auto"/>
        </w:rPr>
      </w:pPr>
    </w:p>
    <w:p>
      <w:pPr>
        <w:sectPr>
          <w:pgSz w:w="11900" w:h="16838" w:orient="portrait"/>
          <w:cols w:equalWidth="0" w:num="2">
            <w:col w:w="2480" w:space="720"/>
            <w:col w:w="7200"/>
          </w:cols>
          <w:pgMar w:left="1020" w:top="270" w:right="479" w:bottom="1440" w:gutter="0" w:footer="0" w:header="0"/>
        </w:sectPr>
      </w:pPr>
    </w:p>
    <w:p>
      <w:pPr>
        <w:ind w:left="3200"/>
        <w:spacing w:after="0"/>
        <w:rPr>
          <w:sz w:val="20"/>
          <w:szCs w:val="20"/>
          <w:color w:val="auto"/>
        </w:rPr>
      </w:pPr>
      <w:r>
        <w:rPr>
          <w:rFonts w:ascii="Times New Roman" w:cs="Times New Roman" w:eastAsia="Times New Roman" w:hAnsi="Times New Roman"/>
          <w:sz w:val="18"/>
          <w:szCs w:val="18"/>
          <w:color w:val="auto"/>
        </w:rPr>
        <w:t>(i) if Counterparty has elected, or is deemed to have elected, to settle its exchange obligations in</w:t>
      </w:r>
    </w:p>
    <w:p>
      <w:pPr>
        <w:spacing w:after="0" w:line="2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respect of the related Exchangeable Note in a combination of cash and Shares pursuant to</w:t>
      </w:r>
    </w:p>
    <w:p>
      <w:pPr>
        <w:spacing w:after="0" w:line="9"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Section 5.03(B)(i)(2) of the Indenture with a Specified Cash Amount equal to USD 1,000, then the</w:t>
      </w:r>
    </w:p>
    <w:p>
      <w:pPr>
        <w:spacing w:after="0" w:line="9"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Relevant Settlement Method for such Option shall be Net Share Settlement;</w:t>
      </w:r>
    </w:p>
    <w:p>
      <w:pPr>
        <w:spacing w:after="0" w:line="99" w:lineRule="exact"/>
        <w:rPr>
          <w:sz w:val="20"/>
          <w:szCs w:val="20"/>
          <w:color w:val="auto"/>
        </w:rPr>
      </w:pPr>
    </w:p>
    <w:p>
      <w:pPr>
        <w:ind w:left="3200" w:right="280"/>
        <w:spacing w:after="0" w:line="261" w:lineRule="auto"/>
        <w:rPr>
          <w:sz w:val="20"/>
          <w:szCs w:val="20"/>
          <w:color w:val="auto"/>
        </w:rPr>
      </w:pPr>
      <w:r>
        <w:rPr>
          <w:rFonts w:ascii="Times New Roman" w:cs="Times New Roman" w:eastAsia="Times New Roman" w:hAnsi="Times New Roman"/>
          <w:sz w:val="18"/>
          <w:szCs w:val="18"/>
          <w:color w:val="auto"/>
        </w:rPr>
        <w:t>(ii) if Counterparty has elected to settle its exchange obligations in respect of the related Exchangeable Note in a combination of cash and Shares pursuant to Section 5.03(B)(i)(2) of the Indenture with a Specified Cash Amount greater than USD 1,000, then the Relevant Settlement Method for such Option shall be Combination Settlement; and</w:t>
      </w:r>
    </w:p>
    <w:p>
      <w:pPr>
        <w:spacing w:after="0" w:line="72" w:lineRule="exact"/>
        <w:rPr>
          <w:sz w:val="20"/>
          <w:szCs w:val="20"/>
          <w:color w:val="auto"/>
        </w:rPr>
      </w:pPr>
    </w:p>
    <w:p>
      <w:pPr>
        <w:ind w:left="3200" w:right="160"/>
        <w:spacing w:after="0" w:line="261" w:lineRule="auto"/>
        <w:rPr>
          <w:sz w:val="20"/>
          <w:szCs w:val="20"/>
          <w:color w:val="auto"/>
        </w:rPr>
      </w:pPr>
      <w:r>
        <w:rPr>
          <w:rFonts w:ascii="Times New Roman" w:cs="Times New Roman" w:eastAsia="Times New Roman" w:hAnsi="Times New Roman"/>
          <w:sz w:val="18"/>
          <w:szCs w:val="18"/>
          <w:color w:val="auto"/>
        </w:rPr>
        <w:t>(iii) if Counterparty has elected to settle its exchange obligations in respect of the related Exchangeable Note entirely in cash pursuant to Section 5.03(B)(i)(1) of the Indenture (such settlement method, “</w:t>
      </w:r>
      <w:r>
        <w:rPr>
          <w:rFonts w:ascii="Times New Roman" w:cs="Times New Roman" w:eastAsia="Times New Roman" w:hAnsi="Times New Roman"/>
          <w:sz w:val="18"/>
          <w:szCs w:val="18"/>
          <w:b w:val="1"/>
          <w:bCs w:val="1"/>
          <w:color w:val="auto"/>
        </w:rPr>
        <w:t>Settlement in Cash</w:t>
      </w:r>
      <w:r>
        <w:rPr>
          <w:rFonts w:ascii="Times New Roman" w:cs="Times New Roman" w:eastAsia="Times New Roman" w:hAnsi="Times New Roman"/>
          <w:sz w:val="18"/>
          <w:szCs w:val="18"/>
          <w:color w:val="auto"/>
        </w:rPr>
        <w:t>”), then the Relevant Settlement Method for such Option shall be Cash Settlement.</w:t>
      </w:r>
    </w:p>
    <w:p>
      <w:pPr>
        <w:sectPr>
          <w:pgSz w:w="11900" w:h="16838" w:orient="portrait"/>
          <w:cols w:equalWidth="0" w:num="1">
            <w:col w:w="10400"/>
          </w:cols>
          <w:pgMar w:left="1020" w:top="270" w:right="479" w:bottom="1440" w:gutter="0" w:footer="0" w:header="0"/>
          <w:type w:val="continuous"/>
        </w:sectPr>
      </w:pP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Net Share Settlement:</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If Net Share Settlement is applicable to any Option exercised or deemed exercised hereunder, Dealer will deliver to Counterparty, on the relevant Settlement Date for each such Option, a number of Shares (the “</w:t>
      </w:r>
      <w:r>
        <w:rPr>
          <w:rFonts w:ascii="Times New Roman" w:cs="Times New Roman" w:eastAsia="Times New Roman" w:hAnsi="Times New Roman"/>
          <w:sz w:val="18"/>
          <w:szCs w:val="18"/>
          <w:b w:val="1"/>
          <w:bCs w:val="1"/>
          <w:color w:val="auto"/>
        </w:rPr>
        <w:t>Net Share Settlement Amount</w:t>
      </w:r>
      <w:r>
        <w:rPr>
          <w:rFonts w:ascii="Times New Roman" w:cs="Times New Roman" w:eastAsia="Times New Roman" w:hAnsi="Times New Roman"/>
          <w:sz w:val="18"/>
          <w:szCs w:val="18"/>
          <w:color w:val="auto"/>
        </w:rPr>
        <w:t xml:space="preserve">”) equal to the sum, for each Valid Day during the Settlement Averaging Period for each such Option, of (i) (a) the Daily Option Value for such Valid Day,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(b) the Relevant Price on such Valid Day,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(ii) the number of Valid Days in the Settlement Averaging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the Net Share Settlement Amount for any Option exceed a number of Shares equal to the Applicable Limit for such Option </w:t>
      </w:r>
      <w:r>
        <w:rPr>
          <w:rFonts w:ascii="Times New Roman" w:cs="Times New Roman" w:eastAsia="Times New Roman" w:hAnsi="Times New Roman"/>
          <w:sz w:val="18"/>
          <w:szCs w:val="18"/>
          <w:i w:val="1"/>
          <w:iCs w:val="1"/>
          <w:color w:val="auto"/>
        </w:rPr>
        <w:t xml:space="preserve">divided by </w:t>
      </w:r>
      <w:r>
        <w:rPr>
          <w:rFonts w:ascii="Times New Roman" w:cs="Times New Roman" w:eastAsia="Times New Roman" w:hAnsi="Times New Roman"/>
          <w:sz w:val="18"/>
          <w:szCs w:val="18"/>
          <w:color w:val="auto"/>
        </w:rPr>
        <w:t>the Applicable Limit Price on the Settlement Date for such Option.</w:t>
      </w:r>
    </w:p>
    <w:p>
      <w:pPr>
        <w:spacing w:after="0" w:line="84" w:lineRule="exact"/>
        <w:rPr>
          <w:sz w:val="20"/>
          <w:szCs w:val="20"/>
          <w:color w:val="auto"/>
        </w:rPr>
      </w:pPr>
    </w:p>
    <w:p>
      <w:pPr>
        <w:sectPr>
          <w:pgSz w:w="11900" w:h="16838" w:orient="portrait"/>
          <w:cols w:equalWidth="0" w:num="2">
            <w:col w:w="2480" w:space="720"/>
            <w:col w:w="7200"/>
          </w:cols>
          <w:pgMar w:left="1020" w:top="270" w:right="479" w:bottom="1440" w:gutter="0" w:footer="0" w:header="0"/>
          <w:type w:val="continuous"/>
        </w:sectPr>
      </w:pPr>
    </w:p>
    <w:p>
      <w:pPr>
        <w:jc w:val="both"/>
        <w:ind w:left="3200" w:right="100"/>
        <w:spacing w:after="0" w:line="266" w:lineRule="auto"/>
        <w:rPr>
          <w:sz w:val="20"/>
          <w:szCs w:val="20"/>
          <w:color w:val="auto"/>
        </w:rPr>
      </w:pPr>
      <w:r>
        <w:rPr>
          <w:rFonts w:ascii="Times New Roman" w:cs="Times New Roman" w:eastAsia="Times New Roman" w:hAnsi="Times New Roman"/>
          <w:sz w:val="18"/>
          <w:szCs w:val="18"/>
          <w:color w:val="auto"/>
        </w:rPr>
        <w:t>Dealer will pay cash in lieu of delivering any fractional Shares to be delivered with respect to any Net Share Settlement Amount valued at the Relevant Price for the last Valid Day of the Settlement Averaging Period.</w:t>
      </w:r>
    </w:p>
    <w:p>
      <w:pPr>
        <w:sectPr>
          <w:pgSz w:w="11900" w:h="16838" w:orient="portrait"/>
          <w:cols w:equalWidth="0" w:num="1">
            <w:col w:w="10400"/>
          </w:cols>
          <w:pgMar w:left="1020" w:top="270" w:right="479" w:bottom="1440" w:gutter="0" w:footer="0" w:header="0"/>
          <w:type w:val="continuous"/>
        </w:sectPr>
      </w:pP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Combination Settlement:</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If Combination Settlement is applicable to any Option exercised or deemed exercised hereunder, Dealer will pay or deliver, as the case may be, to Counterparty, on the relevant Settlement Date for each such Option:</w:t>
      </w:r>
    </w:p>
    <w:p>
      <w:pPr>
        <w:spacing w:after="0" w:line="64" w:lineRule="exact"/>
        <w:rPr>
          <w:sz w:val="20"/>
          <w:szCs w:val="20"/>
          <w:color w:val="auto"/>
        </w:rPr>
      </w:pPr>
    </w:p>
    <w:p>
      <w:pPr>
        <w:sectPr>
          <w:pgSz w:w="11900" w:h="16838" w:orient="portrait"/>
          <w:cols w:equalWidth="0" w:num="2">
            <w:col w:w="2480" w:space="720"/>
            <w:col w:w="7200"/>
          </w:cols>
          <w:pgMar w:left="1020" w:top="270" w:right="479" w:bottom="1440" w:gutter="0" w:footer="0" w:header="0"/>
          <w:type w:val="continuous"/>
        </w:sectPr>
      </w:pPr>
    </w:p>
    <w:p>
      <w:pPr>
        <w:spacing w:after="0" w:line="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 xml:space="preserve">(i) </w:t>
      </w:r>
    </w:p>
    <w:p>
      <w:pPr>
        <w:spacing w:after="0" w:line="20" w:lineRule="exact"/>
        <w:rPr>
          <w:sz w:val="20"/>
          <w:szCs w:val="20"/>
          <w:color w:val="auto"/>
        </w:rPr>
      </w:pPr>
      <w:r>
        <w:rPr>
          <w:sz w:val="20"/>
          <w:szCs w:val="20"/>
          <w:color w:val="auto"/>
        </w:rPr>
        <w:br w:type="column"/>
      </w:r>
    </w:p>
    <w:p>
      <w:pPr>
        <w:ind w:hanging="9"/>
        <w:spacing w:after="0" w:line="255" w:lineRule="auto"/>
        <w:rPr>
          <w:sz w:val="20"/>
          <w:szCs w:val="20"/>
          <w:color w:val="auto"/>
        </w:rPr>
      </w:pPr>
      <w:r>
        <w:rPr>
          <w:rFonts w:ascii="Times New Roman" w:cs="Times New Roman" w:eastAsia="Times New Roman" w:hAnsi="Times New Roman"/>
          <w:sz w:val="18"/>
          <w:szCs w:val="18"/>
          <w:color w:val="auto"/>
        </w:rPr>
        <w:t>cash (the “</w:t>
      </w:r>
      <w:r>
        <w:rPr>
          <w:rFonts w:ascii="Times New Roman" w:cs="Times New Roman" w:eastAsia="Times New Roman" w:hAnsi="Times New Roman"/>
          <w:sz w:val="18"/>
          <w:szCs w:val="18"/>
          <w:b w:val="1"/>
          <w:bCs w:val="1"/>
          <w:color w:val="auto"/>
        </w:rPr>
        <w:t>Combination Settlement Cash Amount</w:t>
      </w:r>
      <w:r>
        <w:rPr>
          <w:rFonts w:ascii="Times New Roman" w:cs="Times New Roman" w:eastAsia="Times New Roman" w:hAnsi="Times New Roman"/>
          <w:sz w:val="18"/>
          <w:szCs w:val="18"/>
          <w:color w:val="auto"/>
        </w:rPr>
        <w:t>”) equal to the sum, for each Valid Day during the Settlement Averaging Period for such Option, of (A) an amount (the “</w:t>
      </w:r>
      <w:r>
        <w:rPr>
          <w:rFonts w:ascii="Times New Roman" w:cs="Times New Roman" w:eastAsia="Times New Roman" w:hAnsi="Times New Roman"/>
          <w:sz w:val="18"/>
          <w:szCs w:val="18"/>
          <w:b w:val="1"/>
          <w:bCs w:val="1"/>
          <w:color w:val="auto"/>
        </w:rPr>
        <w:t>Daily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Combination Settlement Cash Amount</w:t>
      </w:r>
      <w:r>
        <w:rPr>
          <w:rFonts w:ascii="Times New Roman" w:cs="Times New Roman" w:eastAsia="Times New Roman" w:hAnsi="Times New Roman"/>
          <w:sz w:val="18"/>
          <w:szCs w:val="18"/>
          <w:color w:val="auto"/>
        </w:rPr>
        <w:t>”) equal to the lesser of (1) the product of (x)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Applicable Percentage and (y) the Specified Cash Amount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USD 1,000 and (2) the Daily Option Value,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(B) the number of Valid Days in the Settlement Averaging Period;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if the calculation in clause (A) above results in zero or a negative number for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Valid Day, the Daily Combination Settlement Cash Amount for such Valid Day shall be deemed to be zero; and</w:t>
      </w:r>
    </w:p>
    <w:p>
      <w:pPr>
        <w:spacing w:after="0" w:line="121" w:lineRule="exact"/>
        <w:rPr>
          <w:sz w:val="20"/>
          <w:szCs w:val="20"/>
          <w:color w:val="auto"/>
        </w:rPr>
      </w:pPr>
    </w:p>
    <w:p>
      <w:pPr>
        <w:sectPr>
          <w:pgSz w:w="11900" w:h="16838" w:orient="portrait"/>
          <w:cols w:equalWidth="0" w:num="2">
            <w:col w:w="3420" w:space="140"/>
            <w:col w:w="6840"/>
          </w:cols>
          <w:pgMar w:left="1020" w:top="270" w:right="479" w:bottom="1440" w:gutter="0" w:footer="0" w:header="0"/>
          <w:type w:val="continuous"/>
        </w:sectPr>
      </w:pPr>
    </w:p>
    <w:p>
      <w:pPr>
        <w:ind w:left="4880"/>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0400"/>
          </w:cols>
          <w:pgMar w:left="1020" w:top="270" w:right="479" w:bottom="1440" w:gutter="0" w:footer="0" w:header="0"/>
          <w:type w:val="continuous"/>
        </w:sectPr>
      </w:pPr>
    </w:p>
    <w:bookmarkStart w:id="127" w:name="page128"/>
    <w:bookmarkEnd w:id="127"/>
    <w:p>
      <w:pPr>
        <w:ind w:left="3560" w:hanging="359"/>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(ii)   Shares (the “</w:t>
      </w:r>
      <w:r>
        <w:rPr>
          <w:rFonts w:ascii="Times New Roman" w:cs="Times New Roman" w:eastAsia="Times New Roman" w:hAnsi="Times New Roman"/>
          <w:sz w:val="18"/>
          <w:szCs w:val="18"/>
          <w:b w:val="1"/>
          <w:bCs w:val="1"/>
          <w:color w:val="auto"/>
        </w:rPr>
        <w:t>Combination Settlement Share Amount</w:t>
      </w:r>
      <w:r>
        <w:rPr>
          <w:rFonts w:ascii="Times New Roman" w:cs="Times New Roman" w:eastAsia="Times New Roman" w:hAnsi="Times New Roman"/>
          <w:sz w:val="18"/>
          <w:szCs w:val="18"/>
          <w:color w:val="auto"/>
        </w:rPr>
        <w:t>”) equal to the sum, for each Valid Day during the Settlement Averaging Period for such Option, of a number of Shares for such Valid Day (the “</w:t>
      </w:r>
      <w:r>
        <w:rPr>
          <w:rFonts w:ascii="Times New Roman" w:cs="Times New Roman" w:eastAsia="Times New Roman" w:hAnsi="Times New Roman"/>
          <w:sz w:val="18"/>
          <w:szCs w:val="18"/>
          <w:b w:val="1"/>
          <w:bCs w:val="1"/>
          <w:color w:val="auto"/>
        </w:rPr>
        <w:t>Daily Combination Settlement Share Amount</w:t>
      </w:r>
      <w:r>
        <w:rPr>
          <w:rFonts w:ascii="Times New Roman" w:cs="Times New Roman" w:eastAsia="Times New Roman" w:hAnsi="Times New Roman"/>
          <w:sz w:val="18"/>
          <w:szCs w:val="18"/>
          <w:color w:val="auto"/>
        </w:rPr>
        <w:t xml:space="preserve">”) equal to (A) (1) the Daily Option Value on such Valid Day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Daily Combination Settlement Cash Amount for such Valid Day,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(2) the Relevant Price on such Valid Day,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(B) the number of Valid Days in the Settlement Averaging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calculation in sub-clause (A)(1) above results in zero or a negative number for any Valid Day, the Daily Combination Settlement Share Amount for such Valid Day shall be deemed to be zero;</w:t>
      </w:r>
    </w:p>
    <w:p>
      <w:pPr>
        <w:spacing w:after="0" w:line="79" w:lineRule="exact"/>
        <w:rPr>
          <w:sz w:val="20"/>
          <w:szCs w:val="20"/>
          <w:color w:val="auto"/>
        </w:rPr>
      </w:pPr>
    </w:p>
    <w:p>
      <w:pPr>
        <w:ind w:left="3200" w:right="3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in no event shall the sum of (x) the Combination Settlement Cash Amount for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Option and (y) the Combination Settlement Share Amount for such Option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the Applicable Limit Price on the Settlement Date for such Option, exceed the Applicable Limit for such Option.</w:t>
      </w:r>
    </w:p>
    <w:p>
      <w:pPr>
        <w:spacing w:after="0" w:line="74" w:lineRule="exact"/>
        <w:rPr>
          <w:sz w:val="20"/>
          <w:szCs w:val="20"/>
          <w:color w:val="auto"/>
        </w:rPr>
      </w:pPr>
    </w:p>
    <w:p>
      <w:pPr>
        <w:jc w:val="both"/>
        <w:ind w:left="3200" w:right="180"/>
        <w:spacing w:after="0" w:line="266" w:lineRule="auto"/>
        <w:rPr>
          <w:sz w:val="20"/>
          <w:szCs w:val="20"/>
          <w:color w:val="auto"/>
        </w:rPr>
      </w:pPr>
      <w:r>
        <w:rPr>
          <w:rFonts w:ascii="Times New Roman" w:cs="Times New Roman" w:eastAsia="Times New Roman" w:hAnsi="Times New Roman"/>
          <w:sz w:val="18"/>
          <w:szCs w:val="18"/>
          <w:color w:val="auto"/>
        </w:rPr>
        <w:t>Dealer will pay cash in lieu of delivering any fractional Shares to be delivered with respect to any Combination Settlement Share Amount valued at the Relevant Price for the last Valid Day of the Settlement Averaging Period.</w:t>
      </w:r>
    </w:p>
    <w:p>
      <w:pPr>
        <w:sectPr>
          <w:pgSz w:w="11900" w:h="16838" w:orient="portrait"/>
          <w:cols w:equalWidth="0" w:num="1">
            <w:col w:w="10420"/>
          </w:cols>
          <w:pgMar w:left="1020" w:top="266" w:right="459" w:bottom="1440" w:gutter="0" w:footer="0" w:header="0"/>
        </w:sectPr>
      </w:pP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Cash Settlement:</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If Cash Settlement is applicable to any Option exercised or deemed exercised hereunder, in lieu of Section 8.1 of the Equity Definitions, Dealer will pay to Counterparty, on the relevant Settlement Date for each such Option, an amount of cash (the “</w:t>
      </w:r>
      <w:r>
        <w:rPr>
          <w:rFonts w:ascii="Times New Roman" w:cs="Times New Roman" w:eastAsia="Times New Roman" w:hAnsi="Times New Roman"/>
          <w:sz w:val="18"/>
          <w:szCs w:val="18"/>
          <w:b w:val="1"/>
          <w:bCs w:val="1"/>
          <w:color w:val="auto"/>
        </w:rPr>
        <w:t>Cash Settlement Amount</w:t>
      </w:r>
      <w:r>
        <w:rPr>
          <w:rFonts w:ascii="Times New Roman" w:cs="Times New Roman" w:eastAsia="Times New Roman" w:hAnsi="Times New Roman"/>
          <w:sz w:val="18"/>
          <w:szCs w:val="18"/>
          <w:color w:val="auto"/>
        </w:rPr>
        <w:t xml:space="preserve">”) equal to the sum, for each Valid Day during the Settlement Averaging Period for such Option, of (i) the Daily Option Value for such Valid Day,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(ii) the number of Valid Days in the Settlement Averaging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the Cash Settlement Amount for any Option exceed the Applicable Limit for such Option.</w:t>
      </w:r>
    </w:p>
    <w:p>
      <w:pPr>
        <w:spacing w:after="0" w:line="79" w:lineRule="exact"/>
        <w:rPr>
          <w:sz w:val="20"/>
          <w:szCs w:val="20"/>
          <w:color w:val="auto"/>
        </w:rPr>
      </w:pPr>
    </w:p>
    <w:p>
      <w:pPr>
        <w:sectPr>
          <w:pgSz w:w="11900" w:h="16838" w:orient="portrait"/>
          <w:cols w:equalWidth="0" w:num="2">
            <w:col w:w="2480" w:space="720"/>
            <w:col w:w="7220"/>
          </w:cols>
          <w:pgMar w:left="1020" w:top="266" w:right="45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Daily Option Value:</w:t>
      </w:r>
    </w:p>
    <w:p>
      <w:pPr>
        <w:spacing w:after="0" w:line="20" w:lineRule="exact"/>
        <w:rPr>
          <w:sz w:val="20"/>
          <w:szCs w:val="20"/>
          <w:color w:val="auto"/>
        </w:rPr>
      </w:pPr>
      <w:r>
        <w:rPr>
          <w:sz w:val="20"/>
          <w:szCs w:val="20"/>
          <w:color w:val="auto"/>
        </w:rPr>
        <w:br w:type="column"/>
      </w:r>
    </w:p>
    <w:p>
      <w:pPr>
        <w:spacing w:after="0" w:line="258" w:lineRule="auto"/>
        <w:rPr>
          <w:sz w:val="20"/>
          <w:szCs w:val="20"/>
          <w:color w:val="auto"/>
        </w:rPr>
      </w:pPr>
      <w:r>
        <w:rPr>
          <w:rFonts w:ascii="Times New Roman" w:cs="Times New Roman" w:eastAsia="Times New Roman" w:hAnsi="Times New Roman"/>
          <w:sz w:val="18"/>
          <w:szCs w:val="18"/>
          <w:color w:val="auto"/>
        </w:rPr>
        <w:t xml:space="preserve">For any Valid Day, an amount equal to (i) the Option Entitlement on such Valid Day,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(ii) (A) the lesser of the Relevant Price on such Valid Day and the Cap Price,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(B) the Strike Price on such Valid Day;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calculation contained in clause (ii) above results in a negative number, the Daily Option Value for such Valid Day shall be deemed to be zero. In no event will the Daily Option Value be less than zero.</w:t>
      </w:r>
    </w:p>
    <w:p>
      <w:pPr>
        <w:spacing w:after="0" w:line="75" w:lineRule="exact"/>
        <w:rPr>
          <w:sz w:val="20"/>
          <w:szCs w:val="20"/>
          <w:color w:val="auto"/>
        </w:rPr>
      </w:pPr>
    </w:p>
    <w:p>
      <w:pPr>
        <w:sectPr>
          <w:pgSz w:w="11900" w:h="16838" w:orient="portrait"/>
          <w:cols w:equalWidth="0" w:num="2">
            <w:col w:w="2480" w:space="720"/>
            <w:col w:w="7220"/>
          </w:cols>
          <w:pgMar w:left="1020" w:top="266" w:right="459" w:bottom="1440" w:gutter="0" w:footer="0" w:header="0"/>
          <w:type w:val="continuous"/>
        </w:sectPr>
      </w:pPr>
    </w:p>
    <w:p>
      <w:pPr>
        <w:spacing w:after="0"/>
        <w:tabs>
          <w:tab w:leader="none" w:pos="3180" w:val="left"/>
        </w:tabs>
        <w:rPr>
          <w:sz w:val="20"/>
          <w:szCs w:val="20"/>
          <w:color w:val="auto"/>
        </w:rPr>
      </w:pPr>
      <w:r>
        <w:rPr>
          <w:rFonts w:ascii="Times New Roman" w:cs="Times New Roman" w:eastAsia="Times New Roman" w:hAnsi="Times New Roman"/>
          <w:sz w:val="18"/>
          <w:szCs w:val="18"/>
          <w:color w:val="auto"/>
        </w:rPr>
        <w:t>Applicable Limit:</w:t>
      </w:r>
      <w:r>
        <w:rPr>
          <w:sz w:val="20"/>
          <w:szCs w:val="20"/>
          <w:color w:val="auto"/>
        </w:rPr>
        <w:tab/>
      </w:r>
      <w:r>
        <w:rPr>
          <w:rFonts w:ascii="Times New Roman" w:cs="Times New Roman" w:eastAsia="Times New Roman" w:hAnsi="Times New Roman"/>
          <w:sz w:val="17"/>
          <w:szCs w:val="17"/>
          <w:color w:val="auto"/>
        </w:rPr>
        <w:t xml:space="preserve">For any Option, an amount of cash equal to the Applicable Percentage </w:t>
      </w:r>
      <w:r>
        <w:rPr>
          <w:rFonts w:ascii="Times New Roman" w:cs="Times New Roman" w:eastAsia="Times New Roman" w:hAnsi="Times New Roman"/>
          <w:sz w:val="17"/>
          <w:szCs w:val="17"/>
          <w:i w:val="1"/>
          <w:iCs w:val="1"/>
          <w:color w:val="auto"/>
        </w:rPr>
        <w:t>multiplied by</w:t>
      </w:r>
      <w:r>
        <w:rPr>
          <w:rFonts w:ascii="Times New Roman" w:cs="Times New Roman" w:eastAsia="Times New Roman" w:hAnsi="Times New Roman"/>
          <w:sz w:val="17"/>
          <w:szCs w:val="17"/>
          <w:color w:val="auto"/>
        </w:rPr>
        <w:t xml:space="preserve"> the excess of</w:t>
      </w:r>
    </w:p>
    <w:p>
      <w:pPr>
        <w:spacing w:after="0" w:line="29" w:lineRule="exact"/>
        <w:rPr>
          <w:sz w:val="20"/>
          <w:szCs w:val="20"/>
          <w:color w:val="auto"/>
        </w:rPr>
      </w:pPr>
    </w:p>
    <w:p>
      <w:pPr>
        <w:ind w:left="3200" w:right="20" w:firstLine="9"/>
        <w:spacing w:after="0" w:line="253" w:lineRule="auto"/>
        <w:tabs>
          <w:tab w:leader="none" w:pos="3415"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of (A) the amount of cash paid to the “Holder” (as such term is defined in the Indenture) of the related Exchangeable Note upon exchange of such Exchangeable Note and (B) the number of Shares, if any, delivered to the “Holder” (as such term is defined in the Indenture) of the related Exchangeable Note upon exchange of such Exchangeable Note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the Applicable Limit Price on the Settlement Date for such Option, over (ii) USD 1,000.</w:t>
      </w:r>
    </w:p>
    <w:p>
      <w:pPr>
        <w:spacing w:after="0" w:line="11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420"/>
          </w:cols>
          <w:pgMar w:left="1020" w:top="266" w:right="459" w:bottom="1440" w:gutter="0" w:footer="0" w:header="0"/>
          <w:type w:val="continuous"/>
        </w:sectPr>
      </w:pPr>
    </w:p>
    <w:bookmarkStart w:id="128" w:name="page129"/>
    <w:bookmarkEnd w:id="128"/>
    <w:p>
      <w:pPr>
        <w:spacing w:after="0"/>
        <w:rPr>
          <w:sz w:val="20"/>
          <w:szCs w:val="20"/>
          <w:color w:val="auto"/>
        </w:rPr>
      </w:pPr>
      <w:r>
        <w:rPr>
          <w:rFonts w:ascii="Times New Roman" w:cs="Times New Roman" w:eastAsia="Times New Roman" w:hAnsi="Times New Roman"/>
          <w:sz w:val="17"/>
          <w:szCs w:val="17"/>
          <w:color w:val="auto"/>
        </w:rPr>
        <w:t>Applicable Limit Price:</w:t>
      </w:r>
    </w:p>
    <w:p>
      <w:pPr>
        <w:spacing w:after="0" w:line="20" w:lineRule="exact"/>
        <w:rPr>
          <w:sz w:val="20"/>
          <w:szCs w:val="20"/>
          <w:color w:val="auto"/>
        </w:rPr>
      </w:pPr>
      <w:r>
        <w:rPr>
          <w:sz w:val="20"/>
          <w:szCs w:val="20"/>
          <w:color w:val="auto"/>
        </w:rPr>
        <w:br w:type="column"/>
      </w:r>
    </w:p>
    <w:p>
      <w:pPr>
        <w:ind w:right="540"/>
        <w:spacing w:after="0" w:line="282" w:lineRule="auto"/>
        <w:rPr>
          <w:sz w:val="20"/>
          <w:szCs w:val="20"/>
          <w:color w:val="auto"/>
        </w:rPr>
      </w:pPr>
      <w:r>
        <w:rPr>
          <w:rFonts w:ascii="Times New Roman" w:cs="Times New Roman" w:eastAsia="Times New Roman" w:hAnsi="Times New Roman"/>
          <w:sz w:val="18"/>
          <w:szCs w:val="18"/>
          <w:color w:val="auto"/>
        </w:rPr>
        <w:t>On any day, the opening price as displayed under the heading “Op” on Bloomberg page SPB &lt;equity&gt; (or any successor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-2483485</wp:posOffset>
            </wp:positionH>
            <wp:positionV relativeFrom="paragraph">
              <wp:posOffset>-459740</wp:posOffset>
            </wp:positionV>
            <wp:extent cx="71748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54" w:lineRule="exact"/>
        <w:rPr>
          <w:sz w:val="20"/>
          <w:szCs w:val="20"/>
          <w:color w:val="auto"/>
        </w:rPr>
      </w:pPr>
    </w:p>
    <w:p>
      <w:pPr>
        <w:sectPr>
          <w:pgSz w:w="11900" w:h="16838" w:orient="portrait"/>
          <w:cols w:equalWidth="0" w:num="2">
            <w:col w:w="2480" w:space="720"/>
            <w:col w:w="7220"/>
          </w:cols>
          <w:pgMar w:left="1020" w:top="378" w:right="459" w:bottom="1440" w:gutter="0" w:footer="0" w:header="0"/>
        </w:sectPr>
      </w:pPr>
    </w:p>
    <w:p>
      <w:pPr>
        <w:spacing w:after="0"/>
        <w:rPr>
          <w:sz w:val="20"/>
          <w:szCs w:val="20"/>
          <w:color w:val="auto"/>
        </w:rPr>
      </w:pPr>
      <w:r>
        <w:rPr>
          <w:rFonts w:ascii="Times New Roman" w:cs="Times New Roman" w:eastAsia="Times New Roman" w:hAnsi="Times New Roman"/>
          <w:sz w:val="17"/>
          <w:szCs w:val="17"/>
          <w:color w:val="auto"/>
        </w:rPr>
        <w:t>Valid Day:</w:t>
      </w:r>
    </w:p>
    <w:p>
      <w:pPr>
        <w:spacing w:after="0" w:line="20" w:lineRule="exact"/>
        <w:rPr>
          <w:sz w:val="20"/>
          <w:szCs w:val="20"/>
          <w:color w:val="auto"/>
        </w:rPr>
      </w:pPr>
      <w:r>
        <w:rPr>
          <w:sz w:val="20"/>
          <w:szCs w:val="20"/>
          <w:color w:val="auto"/>
        </w:rPr>
        <w:br w:type="column"/>
      </w:r>
    </w:p>
    <w:p>
      <w:pPr>
        <w:spacing w:after="0" w:line="256" w:lineRule="auto"/>
        <w:rPr>
          <w:sz w:val="20"/>
          <w:szCs w:val="20"/>
          <w:color w:val="auto"/>
        </w:rPr>
      </w:pPr>
      <w:r>
        <w:rPr>
          <w:rFonts w:ascii="Times New Roman" w:cs="Times New Roman" w:eastAsia="Times New Roman" w:hAnsi="Times New Roman"/>
          <w:sz w:val="18"/>
          <w:szCs w:val="18"/>
          <w:color w:val="auto"/>
        </w:rPr>
        <w:t>A day on which (i) there is no Market Disruption Event and (ii) trading in the Shares generally occurs on the Exchange or, if the Shares are not then listed on the Exchange, on the principal other U.S. national or regional securities exchange on which the Shares are then listed or, if the Shares are not then listed on a U.S. national or regional securities exchange, on the principal other market on which the Shares are then listed or admitted for trading. If the Shares are not so listed or admitted for trading, “Valid Day” means a Business Day.</w:t>
      </w:r>
    </w:p>
    <w:p>
      <w:pPr>
        <w:spacing w:after="0" w:line="79" w:lineRule="exact"/>
        <w:rPr>
          <w:sz w:val="20"/>
          <w:szCs w:val="20"/>
          <w:color w:val="auto"/>
        </w:rPr>
      </w:pPr>
    </w:p>
    <w:p>
      <w:pPr>
        <w:sectPr>
          <w:pgSz w:w="11900" w:h="16838" w:orient="portrait"/>
          <w:cols w:equalWidth="0" w:num="2">
            <w:col w:w="2480" w:space="720"/>
            <w:col w:w="7220"/>
          </w:cols>
          <w:pgMar w:left="1020" w:top="378"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Scheduled Valid Day:</w:t>
      </w:r>
    </w:p>
    <w:p>
      <w:pPr>
        <w:spacing w:after="0" w:line="20" w:lineRule="exact"/>
        <w:rPr>
          <w:sz w:val="20"/>
          <w:szCs w:val="20"/>
          <w:color w:val="auto"/>
        </w:rPr>
      </w:pPr>
      <w:r>
        <w:rPr>
          <w:sz w:val="20"/>
          <w:szCs w:val="20"/>
          <w:color w:val="auto"/>
        </w:rPr>
        <w:br w:type="column"/>
      </w:r>
    </w:p>
    <w:p>
      <w:pPr>
        <w:ind w:right="120"/>
        <w:spacing w:after="0" w:line="266" w:lineRule="auto"/>
        <w:rPr>
          <w:sz w:val="20"/>
          <w:szCs w:val="20"/>
          <w:color w:val="auto"/>
        </w:rPr>
      </w:pPr>
      <w:r>
        <w:rPr>
          <w:rFonts w:ascii="Times New Roman" w:cs="Times New Roman" w:eastAsia="Times New Roman" w:hAnsi="Times New Roman"/>
          <w:sz w:val="18"/>
          <w:szCs w:val="18"/>
          <w:color w:val="auto"/>
        </w:rPr>
        <w:t>A day that is scheduled to be a Valid Day on the principal U.S. national or regional securities exchange on which the Shares are then listed or admitted for trading. If the Shares are not so listed or admitted for trading, “Scheduled Valid Day” means a Business Day.</w:t>
      </w:r>
    </w:p>
    <w:p>
      <w:pPr>
        <w:spacing w:after="0" w:line="68" w:lineRule="exact"/>
        <w:rPr>
          <w:sz w:val="20"/>
          <w:szCs w:val="20"/>
          <w:color w:val="auto"/>
        </w:rPr>
      </w:pPr>
    </w:p>
    <w:p>
      <w:pPr>
        <w:sectPr>
          <w:pgSz w:w="11900" w:h="16838" w:orient="portrait"/>
          <w:cols w:equalWidth="0" w:num="2">
            <w:col w:w="2480" w:space="720"/>
            <w:col w:w="7220"/>
          </w:cols>
          <w:pgMar w:left="1020" w:top="378"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Business Day:</w:t>
      </w:r>
    </w:p>
    <w:p>
      <w:pPr>
        <w:spacing w:after="0" w:line="20" w:lineRule="exact"/>
        <w:rPr>
          <w:sz w:val="20"/>
          <w:szCs w:val="20"/>
          <w:color w:val="auto"/>
        </w:rPr>
      </w:pPr>
      <w:r>
        <w:rPr>
          <w:sz w:val="20"/>
          <w:szCs w:val="20"/>
          <w:color w:val="auto"/>
        </w:rPr>
        <w:br w:type="column"/>
      </w:r>
    </w:p>
    <w:p>
      <w:pPr>
        <w:ind w:right="160"/>
        <w:spacing w:after="0" w:line="266" w:lineRule="auto"/>
        <w:rPr>
          <w:sz w:val="20"/>
          <w:szCs w:val="20"/>
          <w:color w:val="auto"/>
        </w:rPr>
      </w:pPr>
      <w:r>
        <w:rPr>
          <w:rFonts w:ascii="Times New Roman" w:cs="Times New Roman" w:eastAsia="Times New Roman" w:hAnsi="Times New Roman"/>
          <w:sz w:val="18"/>
          <w:szCs w:val="18"/>
          <w:color w:val="auto"/>
        </w:rPr>
        <w:t>Any day other than a Saturday or Sunday, that is neither a legal holiday nor a day on which the Federal Reserve Bank of New York is authorized or required by law or executive order to close or be closed.</w:t>
      </w:r>
    </w:p>
    <w:p>
      <w:pPr>
        <w:spacing w:after="0" w:line="68" w:lineRule="exact"/>
        <w:rPr>
          <w:sz w:val="20"/>
          <w:szCs w:val="20"/>
          <w:color w:val="auto"/>
        </w:rPr>
      </w:pPr>
    </w:p>
    <w:p>
      <w:pPr>
        <w:sectPr>
          <w:pgSz w:w="11900" w:h="16838" w:orient="portrait"/>
          <w:cols w:equalWidth="0" w:num="2">
            <w:col w:w="2480" w:space="720"/>
            <w:col w:w="7220"/>
          </w:cols>
          <w:pgMar w:left="1020" w:top="378"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Relevant Price:</w:t>
      </w:r>
    </w:p>
    <w:p>
      <w:pPr>
        <w:spacing w:after="0" w:line="20" w:lineRule="exact"/>
        <w:rPr>
          <w:sz w:val="20"/>
          <w:szCs w:val="20"/>
          <w:color w:val="auto"/>
        </w:rPr>
      </w:pPr>
      <w:r>
        <w:rPr>
          <w:sz w:val="20"/>
          <w:szCs w:val="20"/>
          <w:color w:val="auto"/>
        </w:rPr>
        <w:br w:type="column"/>
      </w:r>
    </w:p>
    <w:p>
      <w:pPr>
        <w:spacing w:after="0" w:line="254" w:lineRule="auto"/>
        <w:rPr>
          <w:sz w:val="20"/>
          <w:szCs w:val="20"/>
          <w:color w:val="auto"/>
        </w:rPr>
      </w:pPr>
      <w:r>
        <w:rPr>
          <w:rFonts w:ascii="Times New Roman" w:cs="Times New Roman" w:eastAsia="Times New Roman" w:hAnsi="Times New Roman"/>
          <w:sz w:val="18"/>
          <w:szCs w:val="18"/>
          <w:color w:val="auto"/>
        </w:rPr>
        <w:t>On any Valid Day, the per Share volume-weighted average price as displayed under the heading “Bloomberg VWAP” on Bloomberg page “SPB &lt;equity&gt; AQR” (or its equivalent successor if such page is not available) in respect of the period from the scheduled open of trading until the scheduled close of trading at the primary trading session on such Valid Day (or if such volume-weighted average price is unavailable at such time, the market value of one Share on such Valid Day, as determined by the Calculation Agent in a commercially reasonable manner using, if practicable, a volume-weighted average method). The Relevant Price will be determined without regard to after-hours trading or any other trading outside of the regular trading session trading hours.</w:t>
      </w:r>
    </w:p>
    <w:p>
      <w:pPr>
        <w:spacing w:after="0" w:line="84" w:lineRule="exact"/>
        <w:rPr>
          <w:sz w:val="20"/>
          <w:szCs w:val="20"/>
          <w:color w:val="auto"/>
        </w:rPr>
      </w:pPr>
    </w:p>
    <w:p>
      <w:pPr>
        <w:sectPr>
          <w:pgSz w:w="11900" w:h="16838" w:orient="portrait"/>
          <w:cols w:equalWidth="0" w:num="2">
            <w:col w:w="2480" w:space="720"/>
            <w:col w:w="7220"/>
          </w:cols>
          <w:pgMar w:left="1020" w:top="378"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Settlement Averaging Period:</w:t>
      </w:r>
    </w:p>
    <w:p>
      <w:pPr>
        <w:spacing w:after="0" w:line="20" w:lineRule="exact"/>
        <w:rPr>
          <w:sz w:val="20"/>
          <w:szCs w:val="20"/>
          <w:color w:val="auto"/>
        </w:rPr>
      </w:pPr>
      <w:r>
        <w:rPr>
          <w:sz w:val="20"/>
          <w:szCs w:val="20"/>
          <w:color w:val="auto"/>
        </w:rPr>
        <w:br w:type="column"/>
      </w:r>
    </w:p>
    <w:p>
      <w:pPr>
        <w:ind w:right="120"/>
        <w:spacing w:after="0" w:line="266" w:lineRule="auto"/>
        <w:rPr>
          <w:sz w:val="20"/>
          <w:szCs w:val="20"/>
          <w:color w:val="auto"/>
        </w:rPr>
      </w:pPr>
      <w:r>
        <w:rPr>
          <w:rFonts w:ascii="Times New Roman" w:cs="Times New Roman" w:eastAsia="Times New Roman" w:hAnsi="Times New Roman"/>
          <w:sz w:val="18"/>
          <w:szCs w:val="18"/>
          <w:color w:val="auto"/>
        </w:rPr>
        <w:t>For any Option and regardless of the Settlement Method applicable to such Option, the 40 consecutive Valid Days commencing on, and including, the 41</w:t>
      </w:r>
      <w:r>
        <w:rPr>
          <w:rFonts w:ascii="Times New Roman" w:cs="Times New Roman" w:eastAsia="Times New Roman" w:hAnsi="Times New Roman"/>
          <w:sz w:val="13"/>
          <w:szCs w:val="13"/>
          <w:color w:val="auto"/>
        </w:rPr>
        <w:t>st</w:t>
      </w:r>
      <w:r>
        <w:rPr>
          <w:rFonts w:ascii="Times New Roman" w:cs="Times New Roman" w:eastAsia="Times New Roman" w:hAnsi="Times New Roman"/>
          <w:sz w:val="18"/>
          <w:szCs w:val="18"/>
          <w:color w:val="auto"/>
        </w:rPr>
        <w:t xml:space="preserve"> Scheduled Valid Day immediately prior to the Expiration Date.</w:t>
      </w:r>
    </w:p>
    <w:p>
      <w:pPr>
        <w:spacing w:after="0" w:line="68" w:lineRule="exact"/>
        <w:rPr>
          <w:sz w:val="20"/>
          <w:szCs w:val="20"/>
          <w:color w:val="auto"/>
        </w:rPr>
      </w:pPr>
    </w:p>
    <w:p>
      <w:pPr>
        <w:sectPr>
          <w:pgSz w:w="11900" w:h="16838" w:orient="portrait"/>
          <w:cols w:equalWidth="0" w:num="2">
            <w:col w:w="2480" w:space="720"/>
            <w:col w:w="7220"/>
          </w:cols>
          <w:pgMar w:left="1020" w:top="378"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Settlement Date:</w:t>
      </w:r>
    </w:p>
    <w:p>
      <w:pPr>
        <w:spacing w:after="0" w:line="20" w:lineRule="exact"/>
        <w:rPr>
          <w:sz w:val="20"/>
          <w:szCs w:val="20"/>
          <w:color w:val="auto"/>
        </w:rPr>
      </w:pPr>
      <w:r>
        <w:rPr>
          <w:sz w:val="20"/>
          <w:szCs w:val="20"/>
          <w:color w:val="auto"/>
        </w:rPr>
        <w:br w:type="column"/>
      </w:r>
    </w:p>
    <w:p>
      <w:pPr>
        <w:ind w:right="660"/>
        <w:spacing w:after="0" w:line="282" w:lineRule="auto"/>
        <w:rPr>
          <w:sz w:val="20"/>
          <w:szCs w:val="20"/>
          <w:color w:val="auto"/>
        </w:rPr>
      </w:pPr>
      <w:r>
        <w:rPr>
          <w:rFonts w:ascii="Times New Roman" w:cs="Times New Roman" w:eastAsia="Times New Roman" w:hAnsi="Times New Roman"/>
          <w:sz w:val="18"/>
          <w:szCs w:val="18"/>
          <w:color w:val="auto"/>
        </w:rPr>
        <w:t>For any Option, the second Business Day immediately following the final Valid Day of the Settlement Averaging Period for such Option.</w:t>
      </w:r>
    </w:p>
    <w:p>
      <w:pPr>
        <w:spacing w:after="0" w:line="54" w:lineRule="exact"/>
        <w:rPr>
          <w:sz w:val="20"/>
          <w:szCs w:val="20"/>
          <w:color w:val="auto"/>
        </w:rPr>
      </w:pPr>
    </w:p>
    <w:p>
      <w:pPr>
        <w:sectPr>
          <w:pgSz w:w="11900" w:h="16838" w:orient="portrait"/>
          <w:cols w:equalWidth="0" w:num="2">
            <w:col w:w="2480" w:space="720"/>
            <w:col w:w="7220"/>
          </w:cols>
          <w:pgMar w:left="1020" w:top="378"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Settlement Currency: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USD</w:t>
      </w:r>
    </w:p>
    <w:p>
      <w:pPr>
        <w:spacing w:after="0" w:line="158" w:lineRule="exact"/>
        <w:rPr>
          <w:sz w:val="20"/>
          <w:szCs w:val="20"/>
          <w:color w:val="auto"/>
        </w:rPr>
      </w:pPr>
    </w:p>
    <w:p>
      <w:pPr>
        <w:sectPr>
          <w:pgSz w:w="11900" w:h="16838" w:orient="portrait"/>
          <w:cols w:equalWidth="0" w:num="2">
            <w:col w:w="2480" w:space="720"/>
            <w:col w:w="7220"/>
          </w:cols>
          <w:pgMar w:left="1020" w:top="378" w:right="459" w:bottom="1440" w:gutter="0" w:footer="0" w:header="0"/>
          <w:type w:val="continuous"/>
        </w:sectPr>
      </w:pPr>
    </w:p>
    <w:p>
      <w:pPr>
        <w:ind w:left="4880"/>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0420"/>
          </w:cols>
          <w:pgMar w:left="1020" w:top="378" w:right="459" w:bottom="1440" w:gutter="0" w:footer="0" w:header="0"/>
          <w:type w:val="continuous"/>
        </w:sectPr>
      </w:pPr>
    </w:p>
    <w:bookmarkStart w:id="129" w:name="page130"/>
    <w:bookmarkEnd w:id="129"/>
    <w:p>
      <w:pPr>
        <w:jc w:val="center"/>
        <w:ind w:left="700"/>
        <w:spacing w:after="0"/>
        <w:rPr>
          <w:sz w:val="20"/>
          <w:szCs w:val="20"/>
          <w:color w:val="auto"/>
        </w:rPr>
      </w:pPr>
      <w:r>
        <w:rPr>
          <w:rFonts w:ascii="Times New Roman" w:cs="Times New Roman" w:eastAsia="Times New Roman" w:hAnsi="Times New Roman"/>
          <w:sz w:val="17"/>
          <w:szCs w:val="17"/>
          <w:color w:val="auto"/>
        </w:rPr>
        <w:t>Other Applicable Provisions:</w:t>
      </w:r>
    </w:p>
    <w:p>
      <w:pPr>
        <w:spacing w:after="0" w:line="20" w:lineRule="exact"/>
        <w:rPr>
          <w:sz w:val="20"/>
          <w:szCs w:val="20"/>
          <w:color w:val="auto"/>
        </w:rPr>
      </w:pPr>
      <w:r>
        <w:rPr>
          <w:sz w:val="20"/>
          <w:szCs w:val="20"/>
          <w:color w:val="auto"/>
        </w:rPr>
        <w:br w:type="column"/>
      </w:r>
    </w:p>
    <w:p>
      <w:pPr>
        <w:ind w:right="300"/>
        <w:spacing w:after="0" w:line="261" w:lineRule="auto"/>
        <w:rPr>
          <w:sz w:val="20"/>
          <w:szCs w:val="20"/>
          <w:color w:val="auto"/>
        </w:rPr>
      </w:pPr>
      <w:r>
        <w:rPr>
          <w:rFonts w:ascii="Times New Roman" w:cs="Times New Roman" w:eastAsia="Times New Roman" w:hAnsi="Times New Roman"/>
          <w:sz w:val="18"/>
          <w:szCs w:val="18"/>
          <w:color w:val="auto"/>
        </w:rPr>
        <w:t>The provisions of Sections 9.1(c), 9.8, 9.9 and 9.11 of the Equity Definitions will be applicable, except that all references in such provisions to “Physically-settled” shall be read as references to “Share Settled”. “Share Settled” in relation to any Option means that Net Share Settlement or Combination Settlement is applicable to that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-2483485</wp:posOffset>
            </wp:positionH>
            <wp:positionV relativeFrom="paragraph">
              <wp:posOffset>-654050</wp:posOffset>
            </wp:positionV>
            <wp:extent cx="71748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72" w:lineRule="exact"/>
        <w:rPr>
          <w:sz w:val="20"/>
          <w:szCs w:val="20"/>
          <w:color w:val="auto"/>
        </w:rPr>
      </w:pPr>
    </w:p>
    <w:p>
      <w:pPr>
        <w:sectPr>
          <w:pgSz w:w="11900" w:h="16838" w:orient="portrait"/>
          <w:cols w:equalWidth="0" w:num="2">
            <w:col w:w="2840" w:space="720"/>
            <w:col w:w="7240"/>
          </w:cols>
          <w:pgMar w:left="660" w:top="270" w:right="439" w:bottom="1440" w:gutter="0" w:footer="0" w:header="0"/>
        </w:sectPr>
      </w:pPr>
    </w:p>
    <w:p>
      <w:pPr>
        <w:ind w:left="720"/>
        <w:spacing w:after="0"/>
        <w:rPr>
          <w:sz w:val="20"/>
          <w:szCs w:val="20"/>
          <w:color w:val="auto"/>
        </w:rPr>
      </w:pPr>
      <w:r>
        <w:rPr>
          <w:rFonts w:ascii="Times New Roman" w:cs="Times New Roman" w:eastAsia="Times New Roman" w:hAnsi="Times New Roman"/>
          <w:sz w:val="17"/>
          <w:szCs w:val="17"/>
          <w:color w:val="auto"/>
        </w:rPr>
        <w:t>Representation and Agreement:</w:t>
      </w:r>
    </w:p>
    <w:p>
      <w:pPr>
        <w:spacing w:after="0" w:line="20" w:lineRule="exact"/>
        <w:rPr>
          <w:sz w:val="20"/>
          <w:szCs w:val="20"/>
          <w:color w:val="auto"/>
        </w:rPr>
      </w:pPr>
      <w:r>
        <w:rPr>
          <w:sz w:val="20"/>
          <w:szCs w:val="20"/>
          <w:color w:val="auto"/>
        </w:rPr>
        <w:br w:type="column"/>
      </w:r>
    </w:p>
    <w:p>
      <w:pPr>
        <w:spacing w:after="0" w:line="255" w:lineRule="auto"/>
        <w:rPr>
          <w:sz w:val="20"/>
          <w:szCs w:val="20"/>
          <w:color w:val="auto"/>
        </w:rPr>
      </w:pPr>
      <w:r>
        <w:rPr>
          <w:rFonts w:ascii="Times New Roman" w:cs="Times New Roman" w:eastAsia="Times New Roman" w:hAnsi="Times New Roman"/>
          <w:sz w:val="18"/>
          <w:szCs w:val="18"/>
          <w:color w:val="auto"/>
        </w:rPr>
        <w:t>Notwithstanding anything to the contrary in the Equity Definitions (including, but not limited to, Section 9.11 thereof), the parties acknowledge that (i) any Shares delivered to Counterparty shall be, upon delivery, subject to restrictions and limitations arising from Counterparty’s status as an affiliate of the Issuer under applicable securities laws, (ii) Dealer may deliver any Shares required to be delivered hereunder in certificated form in lieu of delivery through the Clearance System and (iii) any Shares delivered to Counterparty may be “restricted securities” (as defined in Rule 144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sectPr>
          <w:pgSz w:w="11900" w:h="16838" w:orient="portrait"/>
          <w:cols w:equalWidth="0" w:num="2">
            <w:col w:w="3000" w:space="560"/>
            <w:col w:w="7240"/>
          </w:cols>
          <w:pgMar w:left="660" w:top="270"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 xml:space="preserve">3.    </w:t>
      </w:r>
      <w:r>
        <w:rPr>
          <w:rFonts w:ascii="Times New Roman" w:cs="Times New Roman" w:eastAsia="Times New Roman" w:hAnsi="Times New Roman"/>
          <w:sz w:val="17"/>
          <w:szCs w:val="17"/>
          <w:b w:val="1"/>
          <w:bCs w:val="1"/>
          <w:u w:val="single" w:color="auto"/>
          <w:color w:val="auto"/>
        </w:rPr>
        <w:t>Additional Terms applicable to the Transaction</w:t>
      </w:r>
      <w:r>
        <w:rPr>
          <w:rFonts w:ascii="Times New Roman" w:cs="Times New Roman" w:eastAsia="Times New Roman" w:hAnsi="Times New Roman"/>
          <w:sz w:val="17"/>
          <w:szCs w:val="17"/>
          <w:b w:val="1"/>
          <w:bCs w:val="1"/>
          <w:color w:val="auto"/>
        </w:rPr>
        <w:t>.</w:t>
      </w:r>
    </w:p>
    <w:p>
      <w:pPr>
        <w:spacing w:after="0" w:line="13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Adjustments applicable to the</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Transaction:</w:t>
      </w:r>
    </w:p>
    <w:p>
      <w:pPr>
        <w:sectPr>
          <w:pgSz w:w="11900" w:h="16838" w:orient="portrait"/>
          <w:cols w:equalWidth="0" w:num="1">
            <w:col w:w="10800"/>
          </w:cols>
          <w:pgMar w:left="660" w:top="270" w:right="439" w:bottom="1440" w:gutter="0" w:footer="0" w:header="0"/>
          <w:type w:val="continuous"/>
        </w:sectPr>
      </w:pPr>
    </w:p>
    <w:p>
      <w:pPr>
        <w:spacing w:after="0" w:line="99" w:lineRule="exact"/>
        <w:rPr>
          <w:sz w:val="20"/>
          <w:szCs w:val="20"/>
          <w:color w:val="auto"/>
        </w:rPr>
      </w:pPr>
    </w:p>
    <w:p>
      <w:pPr>
        <w:jc w:val="center"/>
        <w:ind w:left="720"/>
        <w:spacing w:after="0"/>
        <w:rPr>
          <w:sz w:val="20"/>
          <w:szCs w:val="20"/>
          <w:color w:val="auto"/>
        </w:rPr>
      </w:pPr>
      <w:r>
        <w:rPr>
          <w:rFonts w:ascii="Times New Roman" w:cs="Times New Roman" w:eastAsia="Times New Roman" w:hAnsi="Times New Roman"/>
          <w:sz w:val="18"/>
          <w:szCs w:val="18"/>
          <w:color w:val="auto"/>
        </w:rPr>
        <w:t>Potential Adjustment Events:</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 xml:space="preserve">Notwithstanding Section 11.2(e) of the Equity Definitions, a “Potential Adjustment Event” means an occurrence of any event or condition, as set forth in any Dilution Adjustment Provision, that would result in an adjustment under the Indenture to the “Exchange Rate” or the composition of a “Reference Property Unit” or to any “Closing Price,” “Daily VWAP,” “Daily Exchange Value,” or “Daily Settlement Amount” (each as defined in the Indenture). For the avoidance of doubt, Dealer shall not have any delivery or payment obligation hereunder, and no adjustment shall be made to the terms of the Transaction, on account of (x) any distribution of cash, property or securities by Counterparty and/or Issuer to holders of the Exchangeable Notes (upon exchange or otherwise) or (y) any other transaction in which holders of the Exchangeable Notes are entitled to participate, in each case, in lieu of an adjustment under the Indenture of the type referred to in the immediately preceding sentence (including, without limitation, pursuant to the </w:t>
      </w:r>
      <w:r>
        <w:rPr>
          <w:rFonts w:ascii="Times New Roman" w:cs="Times New Roman" w:eastAsia="Times New Roman" w:hAnsi="Times New Roman"/>
          <w:sz w:val="18"/>
          <w:szCs w:val="18"/>
          <w:i w:val="1"/>
          <w:iCs w:val="1"/>
          <w:color w:val="auto"/>
        </w:rPr>
        <w:t>proviso</w:t>
      </w:r>
      <w:r>
        <w:rPr>
          <w:rFonts w:ascii="Times New Roman" w:cs="Times New Roman" w:eastAsia="Times New Roman" w:hAnsi="Times New Roman"/>
          <w:sz w:val="18"/>
          <w:szCs w:val="18"/>
          <w:color w:val="auto"/>
        </w:rPr>
        <w:t xml:space="preserve"> in the first paragraph of Section 5.05(A)(iii)(1) of the Indenture or the </w:t>
      </w:r>
      <w:r>
        <w:rPr>
          <w:rFonts w:ascii="Times New Roman" w:cs="Times New Roman" w:eastAsia="Times New Roman" w:hAnsi="Times New Roman"/>
          <w:sz w:val="18"/>
          <w:szCs w:val="18"/>
          <w:i w:val="1"/>
          <w:iCs w:val="1"/>
          <w:color w:val="auto"/>
        </w:rPr>
        <w:t>proviso</w:t>
      </w:r>
      <w:r>
        <w:rPr>
          <w:rFonts w:ascii="Times New Roman" w:cs="Times New Roman" w:eastAsia="Times New Roman" w:hAnsi="Times New Roman"/>
          <w:sz w:val="18"/>
          <w:szCs w:val="18"/>
          <w:color w:val="auto"/>
        </w:rPr>
        <w:t xml:space="preserve"> in the first paragraph of Section 5.05(A)(iv) of the Indenture).</w:t>
      </w:r>
    </w:p>
    <w:p>
      <w:pPr>
        <w:spacing w:after="0" w:line="79" w:lineRule="exact"/>
        <w:rPr>
          <w:sz w:val="20"/>
          <w:szCs w:val="20"/>
          <w:color w:val="auto"/>
        </w:rPr>
      </w:pPr>
    </w:p>
    <w:p>
      <w:pPr>
        <w:sectPr>
          <w:pgSz w:w="11900" w:h="16838" w:orient="portrait"/>
          <w:cols w:equalWidth="0" w:num="2">
            <w:col w:w="2840" w:space="720"/>
            <w:col w:w="7240"/>
          </w:cols>
          <w:pgMar w:left="660" w:top="270" w:right="439" w:bottom="1440" w:gutter="0" w:footer="0" w:header="0"/>
          <w:type w:val="continuous"/>
        </w:sectPr>
      </w:pPr>
    </w:p>
    <w:p>
      <w:pPr>
        <w:ind w:left="720"/>
        <w:spacing w:after="0"/>
        <w:rPr>
          <w:sz w:val="20"/>
          <w:szCs w:val="20"/>
          <w:color w:val="auto"/>
        </w:rPr>
      </w:pPr>
      <w:r>
        <w:rPr>
          <w:rFonts w:ascii="Times New Roman" w:cs="Times New Roman" w:eastAsia="Times New Roman" w:hAnsi="Times New Roman"/>
          <w:sz w:val="18"/>
          <w:szCs w:val="18"/>
          <w:color w:val="auto"/>
        </w:rPr>
        <w:t>Method of Adjustment:</w:t>
      </w:r>
    </w:p>
    <w:p>
      <w:pPr>
        <w:spacing w:after="0" w:line="20" w:lineRule="exact"/>
        <w:rPr>
          <w:sz w:val="20"/>
          <w:szCs w:val="20"/>
          <w:color w:val="auto"/>
        </w:rPr>
      </w:pPr>
      <w:r>
        <w:rPr>
          <w:sz w:val="20"/>
          <w:szCs w:val="20"/>
          <w:color w:val="auto"/>
        </w:rPr>
        <w:br w:type="column"/>
      </w:r>
    </w:p>
    <w:p>
      <w:pPr>
        <w:ind w:right="320"/>
        <w:spacing w:after="0" w:line="258" w:lineRule="auto"/>
        <w:rPr>
          <w:sz w:val="20"/>
          <w:szCs w:val="20"/>
          <w:color w:val="auto"/>
        </w:rPr>
      </w:pPr>
      <w:r>
        <w:rPr>
          <w:rFonts w:ascii="Times New Roman" w:cs="Times New Roman" w:eastAsia="Times New Roman" w:hAnsi="Times New Roman"/>
          <w:sz w:val="18"/>
          <w:szCs w:val="18"/>
          <w:color w:val="auto"/>
        </w:rPr>
        <w:t>Calculation Agent Adjustment, which means that, notwithstanding Section 11.2(c) of the Equity Definitions, upon any Potential Adjustment Event, the Calculation Agent shall make a corresponding adjustment to any one or more of the Strike Price, Number of Options, Option Entitlement and any other variable relevant to the exercise, settlement or payment for the Transaction in a commercially reasonable manner.</w:t>
      </w:r>
    </w:p>
    <w:p>
      <w:pPr>
        <w:spacing w:after="0" w:line="116" w:lineRule="exact"/>
        <w:rPr>
          <w:sz w:val="20"/>
          <w:szCs w:val="20"/>
          <w:color w:val="auto"/>
        </w:rPr>
      </w:pPr>
    </w:p>
    <w:p>
      <w:pPr>
        <w:sectPr>
          <w:pgSz w:w="11900" w:h="16838" w:orient="portrait"/>
          <w:cols w:equalWidth="0" w:num="2">
            <w:col w:w="2840" w:space="720"/>
            <w:col w:w="7240"/>
          </w:cols>
          <w:pgMar w:left="660" w:top="270" w:right="439" w:bottom="1440" w:gutter="0" w:footer="0" w:header="0"/>
          <w:type w:val="continuous"/>
        </w:sectPr>
      </w:pPr>
    </w:p>
    <w:p>
      <w:pPr>
        <w:jc w:val="center"/>
        <w:ind w:right="2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800"/>
          </w:cols>
          <w:pgMar w:left="660" w:top="270" w:right="439" w:bottom="1440" w:gutter="0" w:footer="0" w:header="0"/>
          <w:type w:val="continuous"/>
        </w:sectPr>
      </w:pPr>
    </w:p>
    <w:bookmarkStart w:id="130" w:name="page131"/>
    <w:bookmarkEnd w:id="130"/>
    <w:p>
      <w:pPr>
        <w:ind w:left="27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the foregoing and “Consequences of Merger Events / Tender Offers” below:</w:t>
      </w:r>
    </w:p>
    <w:p>
      <w:pPr>
        <w:spacing w:after="0" w:line="117" w:lineRule="exact"/>
        <w:rPr>
          <w:sz w:val="20"/>
          <w:szCs w:val="20"/>
          <w:color w:val="auto"/>
        </w:rPr>
      </w:pPr>
    </w:p>
    <w:p>
      <w:pPr>
        <w:ind w:left="3140" w:hanging="359"/>
        <w:spacing w:after="0" w:line="252" w:lineRule="auto"/>
        <w:rPr>
          <w:sz w:val="20"/>
          <w:szCs w:val="20"/>
          <w:color w:val="auto"/>
        </w:rPr>
      </w:pPr>
      <w:r>
        <w:rPr>
          <w:rFonts w:ascii="Times New Roman" w:cs="Times New Roman" w:eastAsia="Times New Roman" w:hAnsi="Times New Roman"/>
          <w:sz w:val="18"/>
          <w:szCs w:val="18"/>
          <w:color w:val="auto"/>
        </w:rPr>
        <w:t xml:space="preserve">(i)  if the Calculation Agent in good faith disagrees with any adjustment to the Exchangeable Notes that involves an exercise of discretion by Counterparty, Parent or either of their respective boards of directors (including, without limitation, pursuant to Section 5.05(H) of the Indenture, Section 5.09 of the Indenture or any supplemental indenture entered into thereunder or in connection with any proportional adjustment or the determination of the fair value of any securities, property, rights or other assets), then in each such case, the Calculation Agent will, in good faith and in a commercially reasonable manner and, if applicable, consistent with the methodology set forth in the Indenture, determine the adjustment to be made to any one or more of the Strike Price, Number of Options, Option Entitlement and any other variable relevant to the exercise, settlement or payment for the Transaction;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the foregoing, if any Potential Adjustment Event occurs during the Settlement Averaging Period but no adjustment was made to any Exchangeable Note under the Indenture because the relevant “Holder” (as such term is defined in the Indenture) was deemed to be a record owner of the underlying Shares on the related Exchange Date, then the Calculation Agent shall make a commercially reasonable adjustment, as determined by it, to the terms hereof in order to account for such Potential Adjustment Event;</w:t>
      </w:r>
    </w:p>
    <w:p>
      <w:pPr>
        <w:spacing w:after="0" w:line="87" w:lineRule="exact"/>
        <w:rPr>
          <w:sz w:val="20"/>
          <w:szCs w:val="20"/>
          <w:color w:val="auto"/>
        </w:rPr>
      </w:pPr>
    </w:p>
    <w:p>
      <w:pPr>
        <w:ind w:left="3140" w:right="20" w:hanging="359"/>
        <w:spacing w:after="0" w:line="253" w:lineRule="auto"/>
        <w:rPr>
          <w:sz w:val="20"/>
          <w:szCs w:val="20"/>
          <w:color w:val="auto"/>
        </w:rPr>
      </w:pPr>
      <w:r>
        <w:rPr>
          <w:rFonts w:ascii="Times New Roman" w:cs="Times New Roman" w:eastAsia="Times New Roman" w:hAnsi="Times New Roman"/>
          <w:sz w:val="18"/>
          <w:szCs w:val="18"/>
          <w:color w:val="auto"/>
        </w:rPr>
        <w:t>(ii)   in connection with any Potential Adjustment Event as a result of an event or condition set forth in Section 5.05(A)(ii) of the Indenture or Section 5.05(A)(iii)(1) of the Indenture where, in either case, the period for determining “Y” (as such term is used in Section 5.05(A)(ii) of the Indenture) or “SP” (as such term is used in Section 5.05(A)(iii)(1) of the Indenture), as the case may be, begins before Parent has publicly announced the event or condition giving rise to such Potential Adjustment Event, then the Calculation Agent shall, in good faith and in a commercially reasonable manner, have the right to adjust any variable relevant to the exercise, settlement or payment for the Transaction as appropriate to reflect the costs (including, but not limited to, hedging mismatches and market losses) and commercially reasonable out-of-pocket expenses incurred by Dealer in connection with its hedging activities, with such adjustments made assuming that Dealer maintains commercially reasonable hedge positions, as a result of such event or condition not having been publicly announced prior to the beginning of such period; and</w:t>
      </w:r>
    </w:p>
    <w:p>
      <w:pPr>
        <w:spacing w:after="0" w:line="12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000"/>
          </w:cols>
          <w:pgMar w:left="1440" w:top="378" w:right="459" w:bottom="1440" w:gutter="0" w:footer="0" w:header="0"/>
        </w:sectPr>
      </w:pPr>
    </w:p>
    <w:bookmarkStart w:id="131" w:name="page132"/>
    <w:bookmarkEnd w:id="131"/>
    <w:p>
      <w:pPr>
        <w:ind w:left="35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(iii)  if any Potential Adjustment Event is declared and (a) the event or condition giving rise to such</w:t>
      </w:r>
    </w:p>
    <w:p>
      <w:pPr>
        <w:spacing w:after="0" w:line="2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Potential Adjustment Event is subsequently amended, modified, cancelled or abandoned,</w:t>
      </w:r>
    </w:p>
    <w:p>
      <w:pPr>
        <w:spacing w:after="0" w:line="9"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7"/>
          <w:szCs w:val="17"/>
          <w:color w:val="auto"/>
        </w:rPr>
        <w:t>(b) the “Exchange Rate” (as defined in the Indenture) is otherwise not adjusted at the time or in</w:t>
      </w:r>
    </w:p>
    <w:p>
      <w:pPr>
        <w:spacing w:after="0" w:line="21"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the manner contemplated by the relevant Dilution Adjustment Provision based on such</w:t>
      </w:r>
    </w:p>
    <w:p>
      <w:pPr>
        <w:spacing w:after="0" w:line="9"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declaration or (c) the “Exchange Rate” (as defined in the Indenture) is adjusted as a result of</w:t>
      </w:r>
    </w:p>
    <w:p>
      <w:pPr>
        <w:spacing w:after="0" w:line="9"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such Potential Adjustment Event and subsequently re-adjusted (each of clauses (a), (b) and (c),</w:t>
      </w:r>
    </w:p>
    <w:p>
      <w:pPr>
        <w:spacing w:after="0" w:line="9"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Potential Adjustment Event Change</w:t>
      </w:r>
      <w:r>
        <w:rPr>
          <w:rFonts w:ascii="Times New Roman" w:cs="Times New Roman" w:eastAsia="Times New Roman" w:hAnsi="Times New Roman"/>
          <w:sz w:val="18"/>
          <w:szCs w:val="18"/>
          <w:color w:val="auto"/>
        </w:rPr>
        <w:t>”) then, in each case, the Calculation Agent shall, in</w:t>
      </w:r>
    </w:p>
    <w:p>
      <w:pPr>
        <w:spacing w:after="0" w:line="9"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good faith and in a commercially reasonable manner, have the right to adjust any variable</w:t>
      </w:r>
    </w:p>
    <w:p>
      <w:pPr>
        <w:spacing w:after="0" w:line="9"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relevant to the exercise, settlement or payment for the Transaction as appropriate to reflect the</w:t>
      </w:r>
    </w:p>
    <w:p>
      <w:pPr>
        <w:spacing w:after="0" w:line="9"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costs (including, but not limited to, hedging mismatches and market losses) and commercially</w:t>
      </w:r>
    </w:p>
    <w:p>
      <w:pPr>
        <w:spacing w:after="0" w:line="9"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reasonable out-of-pocket expenses incurred by Dealer in connection with its hedging activities,</w:t>
      </w:r>
    </w:p>
    <w:p>
      <w:pPr>
        <w:spacing w:after="0" w:line="9"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with such adjustments made assuming that Dealer maintains commercially reasonable hedge</w:t>
      </w:r>
    </w:p>
    <w:p>
      <w:pPr>
        <w:spacing w:after="0" w:line="9"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positions, as a result of such Potential Adjustment Event Change.</w:t>
      </w:r>
    </w:p>
    <w:p>
      <w:pPr>
        <w:sectPr>
          <w:pgSz w:w="11900" w:h="16838" w:orient="portrait"/>
          <w:cols w:equalWidth="0" w:num="1">
            <w:col w:w="10780"/>
          </w:cols>
          <w:pgMar w:left="660" w:top="378" w:right="459" w:bottom="1440" w:gutter="0" w:footer="0" w:header="0"/>
        </w:sectPr>
      </w:pPr>
    </w:p>
    <w:p>
      <w:pPr>
        <w:spacing w:after="0" w:line="9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Dilution Adjustment Provisions:</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Sections 5.05(A)(i), (ii), (iii), (iv) and (v) and Section 5.05(H) of the Indenture.</w:t>
      </w:r>
    </w:p>
    <w:p>
      <w:pPr>
        <w:spacing w:after="0" w:line="117" w:lineRule="exact"/>
        <w:rPr>
          <w:sz w:val="20"/>
          <w:szCs w:val="20"/>
          <w:color w:val="auto"/>
        </w:rPr>
      </w:pPr>
    </w:p>
    <w:p>
      <w:pPr>
        <w:sectPr>
          <w:pgSz w:w="11900" w:h="16838" w:orient="portrait"/>
          <w:cols w:equalWidth="0" w:num="2">
            <w:col w:w="2840" w:space="720"/>
            <w:col w:w="7220"/>
          </w:cols>
          <w:pgMar w:left="660" w:top="378"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Extraordinary Events applicable to the Transaction:</w:t>
      </w:r>
    </w:p>
    <w:p>
      <w:pPr>
        <w:sectPr>
          <w:pgSz w:w="11900" w:h="16838" w:orient="portrait"/>
          <w:cols w:equalWidth="0" w:num="1">
            <w:col w:w="10780"/>
          </w:cols>
          <w:pgMar w:left="660" w:top="378" w:right="459" w:bottom="1440" w:gutter="0" w:footer="0" w:header="0"/>
          <w:type w:val="continuous"/>
        </w:sectPr>
      </w:pPr>
    </w:p>
    <w:p>
      <w:pPr>
        <w:spacing w:after="0" w:line="1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Merger Events:</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jc w:val="both"/>
        <w:ind w:right="360"/>
        <w:spacing w:after="0" w:line="267" w:lineRule="auto"/>
        <w:rPr>
          <w:sz w:val="20"/>
          <w:szCs w:val="20"/>
          <w:color w:val="auto"/>
        </w:rPr>
      </w:pPr>
      <w:r>
        <w:rPr>
          <w:rFonts w:ascii="Times New Roman" w:cs="Times New Roman" w:eastAsia="Times New Roman" w:hAnsi="Times New Roman"/>
          <w:sz w:val="18"/>
          <w:szCs w:val="18"/>
          <w:color w:val="auto"/>
        </w:rPr>
        <w:t xml:space="preserve">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Section 12.1(b) of the Equity Definitions, a “Merger Event” means the occurrence of any event or condition set forth in the definition of “Common Stock Change Event” in Section 5.09(A) of the Indenture.</w:t>
      </w:r>
    </w:p>
    <w:p>
      <w:pPr>
        <w:spacing w:after="0" w:line="65" w:lineRule="exact"/>
        <w:rPr>
          <w:sz w:val="20"/>
          <w:szCs w:val="20"/>
          <w:color w:val="auto"/>
        </w:rPr>
      </w:pPr>
    </w:p>
    <w:p>
      <w:pPr>
        <w:sectPr>
          <w:pgSz w:w="11900" w:h="16838" w:orient="portrait"/>
          <w:cols w:equalWidth="0" w:num="2">
            <w:col w:w="2840" w:space="720"/>
            <w:col w:w="7220"/>
          </w:cols>
          <w:pgMar w:left="660" w:top="378" w:right="459" w:bottom="1440" w:gutter="0" w:footer="0" w:header="0"/>
          <w:type w:val="continuous"/>
        </w:sectPr>
      </w:pPr>
    </w:p>
    <w:p>
      <w:pPr>
        <w:spacing w:after="0" w:line="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Tender Offers:</w:t>
      </w:r>
    </w:p>
    <w:p>
      <w:pPr>
        <w:spacing w:after="0" w:line="20" w:lineRule="exact"/>
        <w:rPr>
          <w:sz w:val="20"/>
          <w:szCs w:val="20"/>
          <w:color w:val="auto"/>
        </w:rPr>
      </w:pPr>
      <w:r>
        <w:rPr>
          <w:sz w:val="20"/>
          <w:szCs w:val="20"/>
          <w:color w:val="auto"/>
        </w:rPr>
        <w:br w:type="column"/>
      </w:r>
    </w:p>
    <w:p>
      <w:pPr>
        <w:ind w:right="380"/>
        <w:spacing w:after="0" w:line="267" w:lineRule="auto"/>
        <w:rPr>
          <w:sz w:val="20"/>
          <w:szCs w:val="20"/>
          <w:color w:val="auto"/>
        </w:rPr>
      </w:pPr>
      <w:r>
        <w:rPr>
          <w:rFonts w:ascii="Times New Roman" w:cs="Times New Roman" w:eastAsia="Times New Roman" w:hAnsi="Times New Roman"/>
          <w:sz w:val="18"/>
          <w:szCs w:val="18"/>
          <w:color w:val="auto"/>
        </w:rPr>
        <w:t xml:space="preserve">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Section 12.1(d) of the Equity Definitions, a “Tender Offer” means the occurrence of any event or condition set forth in Section 5.05(A)(v) of the Indenture.</w:t>
      </w:r>
    </w:p>
    <w:p>
      <w:pPr>
        <w:spacing w:after="0" w:line="67" w:lineRule="exact"/>
        <w:rPr>
          <w:sz w:val="20"/>
          <w:szCs w:val="20"/>
          <w:color w:val="auto"/>
        </w:rPr>
      </w:pPr>
    </w:p>
    <w:p>
      <w:pPr>
        <w:sectPr>
          <w:pgSz w:w="11900" w:h="16838" w:orient="portrait"/>
          <w:cols w:equalWidth="0" w:num="2">
            <w:col w:w="2840" w:space="720"/>
            <w:col w:w="7220"/>
          </w:cols>
          <w:pgMar w:left="660" w:top="378" w:right="459" w:bottom="1440" w:gutter="0" w:footer="0" w:header="0"/>
          <w:type w:val="continuous"/>
        </w:sectPr>
      </w:pPr>
    </w:p>
    <w:p>
      <w:pPr>
        <w:ind w:left="360"/>
        <w:spacing w:after="0" w:line="282" w:lineRule="auto"/>
        <w:rPr>
          <w:sz w:val="20"/>
          <w:szCs w:val="20"/>
          <w:color w:val="auto"/>
        </w:rPr>
      </w:pPr>
      <w:r>
        <w:rPr>
          <w:rFonts w:ascii="Times New Roman" w:cs="Times New Roman" w:eastAsia="Times New Roman" w:hAnsi="Times New Roman"/>
          <w:sz w:val="18"/>
          <w:szCs w:val="18"/>
          <w:color w:val="auto"/>
        </w:rPr>
        <w:t>Consequences of Merger Events/ Tender Offers:</w:t>
      </w:r>
    </w:p>
    <w:p>
      <w:pPr>
        <w:spacing w:after="0" w:line="20" w:lineRule="exact"/>
        <w:rPr>
          <w:sz w:val="20"/>
          <w:szCs w:val="20"/>
          <w:color w:val="auto"/>
        </w:rPr>
      </w:pPr>
      <w:r>
        <w:rPr>
          <w:sz w:val="20"/>
          <w:szCs w:val="20"/>
          <w:color w:val="auto"/>
        </w:rPr>
        <w:br w:type="column"/>
      </w:r>
    </w:p>
    <w:p>
      <w:pPr>
        <w:ind w:right="60"/>
        <w:spacing w:after="0" w:line="256" w:lineRule="auto"/>
        <w:rPr>
          <w:sz w:val="20"/>
          <w:szCs w:val="20"/>
          <w:color w:val="auto"/>
        </w:rPr>
      </w:pPr>
      <w:r>
        <w:rPr>
          <w:rFonts w:ascii="Times New Roman" w:cs="Times New Roman" w:eastAsia="Times New Roman" w:hAnsi="Times New Roman"/>
          <w:sz w:val="18"/>
          <w:szCs w:val="18"/>
          <w:color w:val="auto"/>
        </w:rPr>
        <w:t>Notwithstanding Section 12.2 and Section 12.3 of the Equity Definitions, upon the occurrence of a Merger Event or a Tender Offer, the Calculation Agent shall make a corresponding adjustment in respect of any adjustment under the Indenture to any one or more of the nature of the Shares (in the case of a Merger Event), Strike Price, Number of Options, Option Entitlement and any other variable relevant to the exercise, settlement or payment for the Transaction, to the extent an analogous adjustment is</w:t>
      </w:r>
    </w:p>
    <w:p>
      <w:pPr>
        <w:spacing w:after="0" w:line="120" w:lineRule="exact"/>
        <w:rPr>
          <w:sz w:val="20"/>
          <w:szCs w:val="20"/>
          <w:color w:val="auto"/>
        </w:rPr>
      </w:pPr>
    </w:p>
    <w:p>
      <w:pPr>
        <w:sectPr>
          <w:pgSz w:w="11900" w:h="16838" w:orient="portrait"/>
          <w:cols w:equalWidth="0" w:num="2">
            <w:col w:w="3280" w:space="280"/>
            <w:col w:w="7220"/>
          </w:cols>
          <w:pgMar w:left="660" w:top="378" w:right="459" w:bottom="1440" w:gutter="0" w:footer="0" w:header="0"/>
          <w:type w:val="continuous"/>
        </w:sectPr>
      </w:pPr>
    </w:p>
    <w:p>
      <w:pPr>
        <w:jc w:val="center"/>
        <w:ind w:right="20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780"/>
          </w:cols>
          <w:pgMar w:left="660" w:top="378" w:right="459" w:bottom="1440" w:gutter="0" w:footer="0" w:header="0"/>
          <w:type w:val="continuous"/>
        </w:sectPr>
      </w:pPr>
    </w:p>
    <w:bookmarkStart w:id="132" w:name="page133"/>
    <w:bookmarkEnd w:id="132"/>
    <w:p>
      <w:pPr>
        <w:ind w:left="27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required under Section 5.09(A) of the Indenture in respect of such Merger Event or Section 5.05(A)</w:t>
      </w:r>
    </w:p>
    <w:p>
      <w:pPr>
        <w:spacing w:after="0" w:line="27" w:lineRule="exact"/>
        <w:rPr>
          <w:sz w:val="20"/>
          <w:szCs w:val="20"/>
          <w:color w:val="auto"/>
        </w:rPr>
      </w:pPr>
    </w:p>
    <w:p>
      <w:pPr>
        <w:ind w:left="2780" w:firstLine="9"/>
        <w:spacing w:after="0" w:line="251" w:lineRule="auto"/>
        <w:tabs>
          <w:tab w:leader="none" w:pos="3035"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the Indenture in respect of such Tender Offer, as the case may be, as determined in good faith and in a commercially reasonable manner by the Calculation Agent by reference to such Section, subject to the second paragraph under “Method of Adjustment”;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such adjustment shall be made without regard to any adjustment to the “Exchange Rate” (as defined in the Indenture) pursuant to any Excluded Provision;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if, with respect to a Merger Event or a Tender Offer, (i) the consideration for the Shares includes (or, at the option of a holder of Shares, may include) shares of an entity or person that is not a corporation or is not organized under the laws of the United States, any State thereof or the District of Columbia or (ii) the Counterparty to the Transaction following such Merger Event or Tender Offer will not be a corporation organized under the laws of the United States, any State thereof or the District of Columbia, then, in either case, Cancellation and Payment (Calculation Agent Determination) may apply at Dealer’s reasonable election;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for the avoidance of doubt, adjustments shall be made pursuant to the provisions set forth above regardless of whether any Merger Event or Tender Offer gives rise to an Early Exchange.</w:t>
      </w:r>
    </w:p>
    <w:p>
      <w:pPr>
        <w:spacing w:after="0" w:line="83" w:lineRule="exact"/>
        <w:rPr>
          <w:sz w:val="20"/>
          <w:szCs w:val="20"/>
          <w:color w:val="auto"/>
        </w:rPr>
      </w:pPr>
    </w:p>
    <w:p>
      <w:pPr>
        <w:ind w:left="2780" w:hanging="3203"/>
        <w:spacing w:after="0" w:line="252" w:lineRule="auto"/>
        <w:tabs>
          <w:tab w:leader="none" w:pos="2760" w:val="left"/>
        </w:tabs>
        <w:rPr>
          <w:sz w:val="20"/>
          <w:szCs w:val="20"/>
          <w:color w:val="auto"/>
        </w:rPr>
      </w:pPr>
      <w:r>
        <w:rPr>
          <w:rFonts w:ascii="Times New Roman" w:cs="Times New Roman" w:eastAsia="Times New Roman" w:hAnsi="Times New Roman"/>
          <w:sz w:val="18"/>
          <w:szCs w:val="18"/>
          <w:color w:val="auto"/>
        </w:rPr>
        <w:t>Consequences of Announcement Events:</w:t>
        <w:tab/>
        <w:t xml:space="preserve">Modified Calculation Agent Adjustment as set forth in Section 12.3(d) of the Equity Definitions;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in respect of an Announcement Event, (w) references to “Tender Offer” shall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replaced by references to “Announcement Event” and references to “Tender Offer Date” shall be replaced by references to “date of such Announcement Event”, (x) the phrase “exercise, settlement, payment or any other terms of the Transaction (including, without limitation, the spread)” shall be replaced with the phrase “Cap Price (provided that in no event shall the Cap Price be less than the Strike Price)”, (y) the phrases “whether within a commercially reasonable (as determined by the Calculation Agent) period of time prior to or after the Announcement Event,” shall be inserted prior to the word “which” in the seventh line, and (z) for the avoidance of doubt, the Calculation Agent shall, in good faith and in a commercially reasonable manner, determine whether the relevant Announcement Event has had an economic effect on the Transaction (including, among other terms, the Strike Price and Cap Price) and, if so, shall adjust the Cap Price accordingly on one or more occasions on or after the date of the Announcement Event up to, and including, the Expiration Date, any Early Termination Date and/or any other date of cancellation, it being understood that (i) any adjustment in respect of an Announcement Event shall take into account any earlier adjustment relating to the same Announcement Event and (ii) in making any adjustment the Calculation Agent shall take into account volatility, liquidity or other factors before and after such Announcement Event. An Announcement Event shall be an “Extraordinary Event” for purposes of the Equity Definitions, to which Article 12 of the Equity Definitions is applicable.</w:t>
      </w:r>
    </w:p>
    <w:p>
      <w:pPr>
        <w:spacing w:after="0" w:line="12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000"/>
          </w:cols>
          <w:pgMar w:left="1440" w:top="270" w:right="45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color w:val="auto"/>
        </w:rPr>
        <w:t>Announcement Event:</w:t>
      </w:r>
    </w:p>
    <w:p>
      <w:pPr>
        <w:spacing w:after="0" w:line="20" w:lineRule="exact"/>
        <w:rPr>
          <w:sz w:val="20"/>
          <w:szCs w:val="20"/>
          <w:color w:val="auto"/>
        </w:rPr>
      </w:pPr>
      <w:r>
        <w:rPr>
          <w:sz w:val="20"/>
          <w:szCs w:val="20"/>
          <w:color w:val="auto"/>
        </w:rPr>
        <w:br w:type="column"/>
      </w:r>
    </w:p>
    <w:p>
      <w:pPr>
        <w:spacing w:after="0" w:line="251" w:lineRule="auto"/>
        <w:rPr>
          <w:sz w:val="20"/>
          <w:szCs w:val="20"/>
          <w:color w:val="auto"/>
        </w:rPr>
      </w:pPr>
      <w:r>
        <w:rPr>
          <w:rFonts w:ascii="Times New Roman" w:cs="Times New Roman" w:eastAsia="Times New Roman" w:hAnsi="Times New Roman"/>
          <w:sz w:val="18"/>
          <w:szCs w:val="18"/>
          <w:color w:val="auto"/>
        </w:rPr>
        <w:t>(i) The public announcement by Issuer, any subsidiary, agent or representative of Issuer or any Valid Third-Party Entity (any such person or entity, a “</w:t>
      </w:r>
      <w:r>
        <w:rPr>
          <w:rFonts w:ascii="Times New Roman" w:cs="Times New Roman" w:eastAsia="Times New Roman" w:hAnsi="Times New Roman"/>
          <w:sz w:val="18"/>
          <w:szCs w:val="18"/>
          <w:b w:val="1"/>
          <w:bCs w:val="1"/>
          <w:color w:val="auto"/>
        </w:rPr>
        <w:t>Relevant Party</w:t>
      </w:r>
      <w:r>
        <w:rPr>
          <w:rFonts w:ascii="Times New Roman" w:cs="Times New Roman" w:eastAsia="Times New Roman" w:hAnsi="Times New Roman"/>
          <w:sz w:val="18"/>
          <w:szCs w:val="18"/>
          <w:color w:val="auto"/>
        </w:rPr>
        <w:t>”) of (x) any transaction or event that, if completed, would constitute a Merger Event or Tender Offer, (y) any potential acquisition or disposition by Issuer and/or its subsidiaries where the aggregate consideration exceeds 35% of the market capitalization of Issuer as of the date of such announcement (an “</w:t>
      </w:r>
      <w:r>
        <w:rPr>
          <w:rFonts w:ascii="Times New Roman" w:cs="Times New Roman" w:eastAsia="Times New Roman" w:hAnsi="Times New Roman"/>
          <w:sz w:val="18"/>
          <w:szCs w:val="18"/>
          <w:b w:val="1"/>
          <w:bCs w:val="1"/>
          <w:color w:val="auto"/>
        </w:rPr>
        <w:t>Acquisition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or (z) the intention to enter into a Merger Event or Tender Offer or an Acquisition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Transaction, (ii) the public announcement by Issuer of an intention to solicit or enter into, or to explore strategic alternatives or other similar undertaking that may include, a Merger Event or Tender Offer or an Acquisition Transaction or (iii) any subsequent public announcement by a Relevant Party (in the case of a transaction or intention pursuant to clause (i)) or Issuer (in the case of a transaction or intention pursuant to clause (ii)) of a change to a transaction or intention that is the subject of an announcement of the type described in clause (i) or (ii) of this sentence (including, without limitation, a new announcement, whether or not by the same party, relating to such a transaction or intention or the announcement of a withdrawal from, or the abandonment or discontinuation of, such a transaction or intention), as determined by the Calculation Agent. For the avoidance of doubt, the occurrence of an Announcement Event with respect to any transaction or intention shall not preclude the occurrence of a later Announcement Event with respect to such transaction or intention. For purposes of this definition of “Announcement Event,” (A) “Merger Event” shall mean such term as defined under Section 12.1(b) of the Equity Definitions (but, for the avoidance of doubt, the remainder of the definition of “Merger Event” in Section 12.1(b) of the Equity Definitions following the definition of “Reverse Merger” therein shall be disregarded) and (B) “Tender Offer” shall mean such term as defined under Section 12.1(d) of the Equity Definitions;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(1) Section 12.1(d) of the Equity Definitions is hereby amended by (x) replacing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 with “25%” in the third line thereof and (y) replacing the words “voting shares of the Issuer” in the fourth line thereof with the word “Shares” and (2) Section 12.1(e) of the Equity Definitions is hereby amended by replacing the words “voting shares” in the first line thereof with the word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-2483485</wp:posOffset>
            </wp:positionH>
            <wp:positionV relativeFrom="paragraph">
              <wp:posOffset>-3862070</wp:posOffset>
            </wp:positionV>
            <wp:extent cx="71748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95" w:lineRule="exact"/>
        <w:rPr>
          <w:sz w:val="20"/>
          <w:szCs w:val="20"/>
          <w:color w:val="auto"/>
        </w:rPr>
      </w:pPr>
    </w:p>
    <w:p>
      <w:pPr>
        <w:sectPr>
          <w:pgSz w:w="11900" w:h="16838" w:orient="portrait"/>
          <w:cols w:equalWidth="0" w:num="2">
            <w:col w:w="2840" w:space="720"/>
            <w:col w:w="7240"/>
          </w:cols>
          <w:pgMar w:left="660" w:top="378" w:right="439" w:bottom="1440" w:gutter="0" w:footer="0" w:header="0"/>
        </w:sectPr>
      </w:pPr>
    </w:p>
    <w:p>
      <w:pPr>
        <w:ind w:left="360"/>
        <w:spacing w:after="0"/>
        <w:rPr>
          <w:sz w:val="20"/>
          <w:szCs w:val="20"/>
          <w:color w:val="auto"/>
        </w:rPr>
      </w:pPr>
      <w:r>
        <w:rPr>
          <w:rFonts w:ascii="Times New Roman" w:cs="Times New Roman" w:eastAsia="Times New Roman" w:hAnsi="Times New Roman"/>
          <w:sz w:val="17"/>
          <w:szCs w:val="17"/>
          <w:color w:val="auto"/>
        </w:rPr>
        <w:t>Valid Third Party Entity:</w:t>
      </w:r>
    </w:p>
    <w:p>
      <w:pPr>
        <w:spacing w:after="0" w:line="20" w:lineRule="exact"/>
        <w:rPr>
          <w:sz w:val="20"/>
          <w:szCs w:val="20"/>
          <w:color w:val="auto"/>
        </w:rPr>
      </w:pPr>
      <w:r>
        <w:rPr>
          <w:sz w:val="20"/>
          <w:szCs w:val="20"/>
          <w:color w:val="auto"/>
        </w:rPr>
        <w:br w:type="column"/>
      </w:r>
    </w:p>
    <w:p>
      <w:pPr>
        <w:ind w:right="220"/>
        <w:spacing w:after="0" w:line="258" w:lineRule="auto"/>
        <w:rPr>
          <w:sz w:val="20"/>
          <w:szCs w:val="20"/>
          <w:color w:val="auto"/>
        </w:rPr>
      </w:pPr>
      <w:r>
        <w:rPr>
          <w:rFonts w:ascii="Times New Roman" w:cs="Times New Roman" w:eastAsia="Times New Roman" w:hAnsi="Times New Roman"/>
          <w:sz w:val="18"/>
          <w:szCs w:val="18"/>
          <w:color w:val="auto"/>
        </w:rPr>
        <w:t>In respect of any transaction or event, any third party that has a bona fide intent to enter into or consummate such transaction (it being understood and agreed that in determining, in a commercially reasonable manner, whether such third party has such a bona fide intent, the Calculation Agent shall take into consideration whether the relevant announcement by such party has had a material economic effect on the Shares and/or Options on the Shares).</w:t>
      </w:r>
    </w:p>
    <w:p>
      <w:pPr>
        <w:spacing w:after="0" w:line="116" w:lineRule="exact"/>
        <w:rPr>
          <w:sz w:val="20"/>
          <w:szCs w:val="20"/>
          <w:color w:val="auto"/>
        </w:rPr>
      </w:pPr>
    </w:p>
    <w:p>
      <w:pPr>
        <w:sectPr>
          <w:pgSz w:w="11900" w:h="16838" w:orient="portrait"/>
          <w:cols w:equalWidth="0" w:num="2">
            <w:col w:w="2840" w:space="720"/>
            <w:col w:w="7240"/>
          </w:cols>
          <w:pgMar w:left="660" w:top="378" w:right="439" w:bottom="1440" w:gutter="0" w:footer="0" w:header="0"/>
          <w:type w:val="continuous"/>
        </w:sectPr>
      </w:pPr>
    </w:p>
    <w:p>
      <w:pPr>
        <w:jc w:val="center"/>
        <w:ind w:right="22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800"/>
          </w:cols>
          <w:pgMar w:left="660" w:top="378" w:right="439" w:bottom="1440" w:gutter="0" w:footer="0" w:header="0"/>
          <w:type w:val="continuous"/>
        </w:sectPr>
      </w:pPr>
    </w:p>
    <w:bookmarkStart w:id="134" w:name="page135"/>
    <w:bookmarkEnd w:id="134"/>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Nationalization, Insolvency or Delisting:</w:t>
      </w:r>
    </w:p>
    <w:p>
      <w:pPr>
        <w:spacing w:after="0" w:line="20" w:lineRule="exact"/>
        <w:rPr>
          <w:sz w:val="20"/>
          <w:szCs w:val="20"/>
          <w:color w:val="auto"/>
        </w:rPr>
      </w:pPr>
      <w:r>
        <w:rPr>
          <w:sz w:val="20"/>
          <w:szCs w:val="20"/>
          <w:color w:val="auto"/>
        </w:rPr>
        <w:br w:type="column"/>
      </w: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Cancellation and Payment (Calculation Agent Determination);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addition to the provisions of Section 12.6(a)(iii) of the Equity Definitions, it will also constitute a Delisting if the Exchange is located in the United States and the Shares are not immediately re-listed, re-traded or re-quoted on any of the New York Stock Exchange, The Nasdaq Global Select Market or The Nasdaq Global Market (or their respective successors); if the Shares are immediately re-listed, re-traded or re-quoted on any of the New York Stock Exchange, The Nasdaq Global Select Market or The Nasdaq Global Market (or their respective successors), such exchange or quotation system shall thereafter be deemed to be the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-2483485</wp:posOffset>
            </wp:positionH>
            <wp:positionV relativeFrom="paragraph">
              <wp:posOffset>-1266190</wp:posOffset>
            </wp:positionV>
            <wp:extent cx="71748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79" w:lineRule="exact"/>
        <w:rPr>
          <w:sz w:val="20"/>
          <w:szCs w:val="20"/>
          <w:color w:val="auto"/>
        </w:rPr>
      </w:pPr>
    </w:p>
    <w:p>
      <w:pPr>
        <w:sectPr>
          <w:pgSz w:w="11900" w:h="16838" w:orient="portrait"/>
          <w:cols w:equalWidth="0" w:num="2">
            <w:col w:w="2940" w:space="260"/>
            <w:col w:w="7120"/>
          </w:cols>
          <w:pgMar w:left="1020" w:top="376" w:right="55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Additional Disruption Events:</w:t>
      </w:r>
    </w:p>
    <w:p>
      <w:pPr>
        <w:sectPr>
          <w:pgSz w:w="11900" w:h="16838" w:orient="portrait"/>
          <w:cols w:equalWidth="0" w:num="1">
            <w:col w:w="10320"/>
          </w:cols>
          <w:pgMar w:left="1020" w:top="376" w:right="559" w:bottom="1440" w:gutter="0" w:footer="0" w:header="0"/>
          <w:type w:val="continuous"/>
        </w:sectPr>
      </w:pP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in Law:</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Section 12.9(a)(ii) of the Equity Definitions is hereby amended by (i) replacing the phrase “the interpretation” in the third line thereof with the phrase “, or public announcement of, the formal or informal interpretation”, (ii) replacing the word “Shares” where it appears in clause (X) thereof with the words “Hedge Position” and (iii) replacing the parenthetical beginning after the word “regulation” in the second line thereof with the words “(including, for the avoidance of doubt and without limitation, (x) any tax law or (y) adoption, effectiveness or promulgation of new regulations authorized or mandated by existing statute)”. Notwithstanding anything to the contrary in the Equity Definitions, a Change in Law described in clause (Y) of Section 12.9(a)(ii) of the Equity Definitions shall not constitute a Change in Law and instead shall constitute an Increased Cost of Hedging as described in Section 12.9(a)(vi) of the Equity Definitions, and any such determination of a Change in Law shall be consistently applied by the Determining Party across transactions similar to the Transaction and for counterparties similar to Counterparty.</w:t>
      </w:r>
    </w:p>
    <w:p>
      <w:pPr>
        <w:spacing w:after="0" w:line="81" w:lineRule="exact"/>
        <w:rPr>
          <w:sz w:val="20"/>
          <w:szCs w:val="20"/>
          <w:color w:val="auto"/>
        </w:rPr>
      </w:pPr>
    </w:p>
    <w:p>
      <w:pPr>
        <w:sectPr>
          <w:pgSz w:w="11900" w:h="16838" w:orient="portrait"/>
          <w:cols w:equalWidth="0" w:num="2">
            <w:col w:w="2480" w:space="720"/>
            <w:col w:w="7120"/>
          </w:cols>
          <w:pgMar w:left="1020" w:top="376" w:right="5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Failure to Deliver: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Applicable</w:t>
      </w:r>
    </w:p>
    <w:p>
      <w:pPr>
        <w:spacing w:after="0" w:line="115" w:lineRule="exact"/>
        <w:rPr>
          <w:sz w:val="20"/>
          <w:szCs w:val="20"/>
          <w:color w:val="auto"/>
        </w:rPr>
      </w:pPr>
    </w:p>
    <w:p>
      <w:pPr>
        <w:sectPr>
          <w:pgSz w:w="11900" w:h="16838" w:orient="portrait"/>
          <w:cols w:equalWidth="0" w:num="2">
            <w:col w:w="2480" w:space="720"/>
            <w:col w:w="7120"/>
          </w:cols>
          <w:pgMar w:left="1020" w:top="376" w:right="55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Hedging Disruption: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 xml:space="preserve">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119" w:lineRule="exact"/>
        <w:rPr>
          <w:sz w:val="20"/>
          <w:szCs w:val="20"/>
          <w:color w:val="auto"/>
        </w:rPr>
      </w:pPr>
    </w:p>
    <w:p>
      <w:pPr>
        <w:sectPr>
          <w:pgSz w:w="11900" w:h="16838" w:orient="portrait"/>
          <w:cols w:equalWidth="0" w:num="2">
            <w:col w:w="2480" w:space="720"/>
            <w:col w:w="7120"/>
          </w:cols>
          <w:pgMar w:left="1020" w:top="376" w:right="559" w:bottom="1440" w:gutter="0" w:footer="0" w:header="0"/>
          <w:type w:val="continuous"/>
        </w:sectPr>
      </w:pPr>
    </w:p>
    <w:p>
      <w:pPr>
        <w:ind w:left="3200"/>
        <w:spacing w:after="0"/>
        <w:rPr>
          <w:sz w:val="20"/>
          <w:szCs w:val="20"/>
          <w:color w:val="auto"/>
        </w:rPr>
      </w:pPr>
      <w:r>
        <w:rPr>
          <w:rFonts w:ascii="Times New Roman" w:cs="Times New Roman" w:eastAsia="Times New Roman" w:hAnsi="Times New Roman"/>
          <w:sz w:val="18"/>
          <w:szCs w:val="18"/>
          <w:color w:val="auto"/>
        </w:rPr>
        <w:t xml:space="preserve">(i) </w:t>
      </w:r>
    </w:p>
    <w:p>
      <w:pPr>
        <w:spacing w:after="0" w:line="20" w:lineRule="exact"/>
        <w:rPr>
          <w:sz w:val="20"/>
          <w:szCs w:val="20"/>
          <w:color w:val="auto"/>
        </w:rPr>
      </w:pPr>
      <w:r>
        <w:rPr>
          <w:sz w:val="20"/>
          <w:szCs w:val="20"/>
          <w:color w:val="auto"/>
        </w:rPr>
        <w:br w:type="column"/>
      </w:r>
    </w:p>
    <w:p>
      <w:pPr>
        <w:ind w:hanging="9"/>
        <w:spacing w:after="0" w:line="282" w:lineRule="auto"/>
        <w:rPr>
          <w:sz w:val="20"/>
          <w:szCs w:val="20"/>
          <w:color w:val="auto"/>
        </w:rPr>
      </w:pPr>
      <w:r>
        <w:rPr>
          <w:rFonts w:ascii="Times New Roman" w:cs="Times New Roman" w:eastAsia="Times New Roman" w:hAnsi="Times New Roman"/>
          <w:sz w:val="18"/>
          <w:szCs w:val="18"/>
          <w:color w:val="auto"/>
        </w:rPr>
        <w:t>Section 12.9(a)(v) of the Equity Definitions is hereby amended by inserting the following two phrases at the end of such Section:</w:t>
      </w:r>
    </w:p>
    <w:p>
      <w:pPr>
        <w:spacing w:after="0" w:line="54" w:lineRule="exact"/>
        <w:rPr>
          <w:sz w:val="20"/>
          <w:szCs w:val="20"/>
          <w:color w:val="auto"/>
        </w:rPr>
      </w:pPr>
    </w:p>
    <w:p>
      <w:pPr>
        <w:sectPr>
          <w:pgSz w:w="11900" w:h="16838" w:orient="portrait"/>
          <w:cols w:equalWidth="0" w:num="2">
            <w:col w:w="3420" w:space="140"/>
            <w:col w:w="6760"/>
          </w:cols>
          <w:pgMar w:left="1020" w:top="376" w:right="559" w:bottom="1440" w:gutter="0" w:footer="0" w:header="0"/>
          <w:type w:val="continuous"/>
        </w:sectPr>
      </w:pPr>
    </w:p>
    <w:p>
      <w:pPr>
        <w:ind w:left="3560"/>
        <w:spacing w:after="0" w:line="261" w:lineRule="auto"/>
        <w:rPr>
          <w:sz w:val="20"/>
          <w:szCs w:val="20"/>
          <w:color w:val="auto"/>
        </w:rPr>
      </w:pPr>
      <w:r>
        <w:rPr>
          <w:rFonts w:ascii="Times New Roman" w:cs="Times New Roman" w:eastAsia="Times New Roman" w:hAnsi="Times New Roman"/>
          <w:sz w:val="18"/>
          <w:szCs w:val="18"/>
          <w:color w:val="auto"/>
        </w:rPr>
        <w:t>“For the avoidance of doubt, the term “equity price risk” shall be deemed to include, but shall not be limited to, stock price and volatility risk. And, for the further avoidance of doubt, any such transactions or assets referred to in phrases (A) or (B) above must be available on commercially reasonable pricing terms.”; and</w:t>
      </w:r>
    </w:p>
    <w:p>
      <w:pPr>
        <w:spacing w:after="0" w:line="112"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320"/>
          </w:cols>
          <w:pgMar w:left="1020" w:top="376" w:right="559" w:bottom="1440" w:gutter="0" w:footer="0" w:header="0"/>
          <w:type w:val="continuous"/>
        </w:sectPr>
      </w:pPr>
    </w:p>
    <w:bookmarkStart w:id="135" w:name="page136"/>
    <w:bookmarkEnd w:id="135"/>
    <w:p>
      <w:pPr>
        <w:ind w:left="3560" w:right="180" w:hanging="359"/>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(ii)   Section 12.9(b)(iii) of the Equity Definitions is hereby amended by inserting in the third line thereof, after the words “to terminate the Transaction”, the words “or a portion of the Transaction affected by such Hedging Disruption”.</w:t>
      </w:r>
    </w:p>
    <w:p>
      <w:pPr>
        <w:sectPr>
          <w:pgSz w:w="11900" w:h="16838" w:orient="portrait"/>
          <w:cols w:equalWidth="0" w:num="1">
            <w:col w:w="10400"/>
          </w:cols>
          <w:pgMar w:left="1020" w:top="378" w:right="479" w:bottom="1440" w:gutter="0" w:footer="0" w:header="0"/>
        </w:sectPr>
      </w:pP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Increased Cost of Hedging:</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Applicable solely with respect to a “Change in Law” described in clause (Y) of Section 12.9(a)(ii) of the Equity Definitions as set forth in the last sentence opposite the caption “Change in Law” above.</w:t>
      </w:r>
    </w:p>
    <w:p>
      <w:pPr>
        <w:spacing w:after="0" w:line="68" w:lineRule="exact"/>
        <w:rPr>
          <w:sz w:val="20"/>
          <w:szCs w:val="20"/>
          <w:color w:val="auto"/>
        </w:rPr>
      </w:pPr>
    </w:p>
    <w:p>
      <w:pPr>
        <w:sectPr>
          <w:pgSz w:w="11900" w:h="16838" w:orient="portrait"/>
          <w:cols w:equalWidth="0" w:num="2">
            <w:col w:w="2480" w:space="720"/>
            <w:col w:w="7200"/>
          </w:cols>
          <w:pgMar w:left="1020" w:top="378"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Hedging Party: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For all applicable Additional Disruption Events, Dealer.</w:t>
      </w:r>
    </w:p>
    <w:p>
      <w:pPr>
        <w:spacing w:after="0" w:line="128" w:lineRule="exact"/>
        <w:rPr>
          <w:sz w:val="20"/>
          <w:szCs w:val="20"/>
          <w:color w:val="auto"/>
        </w:rPr>
      </w:pPr>
    </w:p>
    <w:p>
      <w:pPr>
        <w:sectPr>
          <w:pgSz w:w="11900" w:h="16838" w:orient="portrait"/>
          <w:cols w:equalWidth="0" w:num="2">
            <w:col w:w="2480" w:space="720"/>
            <w:col w:w="7200"/>
          </w:cols>
          <w:pgMar w:left="1020" w:top="378"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Determining Party:</w:t>
      </w:r>
    </w:p>
    <w:p>
      <w:pPr>
        <w:spacing w:after="0" w:line="20" w:lineRule="exact"/>
        <w:rPr>
          <w:sz w:val="20"/>
          <w:szCs w:val="20"/>
          <w:color w:val="auto"/>
        </w:rPr>
      </w:pPr>
      <w:r>
        <w:rPr>
          <w:sz w:val="20"/>
          <w:szCs w:val="20"/>
          <w:color w:val="auto"/>
        </w:rPr>
        <w:br w:type="column"/>
      </w:r>
    </w:p>
    <w:p>
      <w:pPr>
        <w:ind w:right="120"/>
        <w:spacing w:after="0" w:line="254" w:lineRule="auto"/>
        <w:rPr>
          <w:sz w:val="20"/>
          <w:szCs w:val="20"/>
          <w:color w:val="auto"/>
        </w:rPr>
      </w:pPr>
      <w:r>
        <w:rPr>
          <w:rFonts w:ascii="Times New Roman" w:cs="Times New Roman" w:eastAsia="Times New Roman" w:hAnsi="Times New Roman"/>
          <w:sz w:val="18"/>
          <w:szCs w:val="18"/>
          <w:color w:val="auto"/>
        </w:rPr>
        <w:t>For all applicable Extraordinary Events, Dealer. All calculations and determinations by the Determining Party shall be made in good faith and in a commercially reasonable manner. The Determining Party will promptly (but in any event within five (5) Exchange Business Days), upon written notice from Counterparty, provide a statement displaying in reasonable detail the basis for such determination or calculation, as the case may be (including any quotations, market data or information from internal or external sources used in making such determination or calculation, it being understood that the Determining Party shall not be required to disclose any confidential information or proprietary models used by it in connection with such determination or calculation, as the case may be).</w:t>
      </w:r>
    </w:p>
    <w:p>
      <w:pPr>
        <w:spacing w:after="0" w:line="80" w:lineRule="exact"/>
        <w:rPr>
          <w:sz w:val="20"/>
          <w:szCs w:val="20"/>
          <w:color w:val="auto"/>
        </w:rPr>
      </w:pPr>
    </w:p>
    <w:p>
      <w:pPr>
        <w:sectPr>
          <w:pgSz w:w="11900" w:h="16838" w:orient="portrait"/>
          <w:cols w:equalWidth="0" w:num="2">
            <w:col w:w="2480" w:space="720"/>
            <w:col w:w="7200"/>
          </w:cols>
          <w:pgMar w:left="1020" w:top="378"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Non-Reliance: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Applicable</w:t>
      </w:r>
    </w:p>
    <w:p>
      <w:pPr>
        <w:spacing w:after="0" w:line="117" w:lineRule="exact"/>
        <w:rPr>
          <w:sz w:val="20"/>
          <w:szCs w:val="20"/>
          <w:color w:val="auto"/>
        </w:rPr>
      </w:pPr>
    </w:p>
    <w:p>
      <w:pPr>
        <w:sectPr>
          <w:pgSz w:w="11900" w:h="16838" w:orient="portrait"/>
          <w:cols w:equalWidth="0" w:num="2">
            <w:col w:w="2480" w:space="720"/>
            <w:col w:w="7200"/>
          </w:cols>
          <w:pgMar w:left="1020" w:top="378"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Agreements and Acknowledgments</w:t>
      </w:r>
    </w:p>
    <w:p>
      <w:pPr>
        <w:sectPr>
          <w:pgSz w:w="11900" w:h="16838" w:orient="portrait"/>
          <w:cols w:equalWidth="0" w:num="1">
            <w:col w:w="10400"/>
          </w:cols>
          <w:pgMar w:left="1020" w:top="378" w:right="479" w:bottom="1440" w:gutter="0" w:footer="0" w:header="0"/>
          <w:type w:val="continuous"/>
        </w:sectPr>
      </w:pP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Regarding Hedging Activities: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w:t>
      </w:r>
    </w:p>
    <w:p>
      <w:pPr>
        <w:spacing w:after="0" w:line="117" w:lineRule="exact"/>
        <w:rPr>
          <w:sz w:val="20"/>
          <w:szCs w:val="20"/>
          <w:color w:val="auto"/>
        </w:rPr>
      </w:pPr>
    </w:p>
    <w:p>
      <w:pPr>
        <w:sectPr>
          <w:pgSz w:w="11900" w:h="16838" w:orient="portrait"/>
          <w:cols w:equalWidth="0" w:num="2">
            <w:col w:w="2480" w:space="720"/>
            <w:col w:w="7200"/>
          </w:cols>
          <w:pgMar w:left="1020" w:top="378"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Additional Acknowledgments: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Applicable</w:t>
      </w:r>
    </w:p>
    <w:p>
      <w:pPr>
        <w:spacing w:after="0" w:line="117" w:lineRule="exact"/>
        <w:rPr>
          <w:sz w:val="20"/>
          <w:szCs w:val="20"/>
          <w:color w:val="auto"/>
        </w:rPr>
      </w:pPr>
    </w:p>
    <w:p>
      <w:pPr>
        <w:sectPr>
          <w:pgSz w:w="11900" w:h="16838" w:orient="portrait"/>
          <w:cols w:equalWidth="0" w:num="2">
            <w:col w:w="2480" w:space="720"/>
            <w:col w:w="7200"/>
          </w:cols>
          <w:pgMar w:left="1020" w:top="378"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Hedging Adjustment:</w:t>
      </w:r>
    </w:p>
    <w:p>
      <w:pPr>
        <w:spacing w:after="0" w:line="20" w:lineRule="exact"/>
        <w:rPr>
          <w:sz w:val="20"/>
          <w:szCs w:val="20"/>
          <w:color w:val="auto"/>
        </w:rPr>
      </w:pPr>
      <w:r>
        <w:rPr>
          <w:sz w:val="20"/>
          <w:szCs w:val="20"/>
          <w:color w:val="auto"/>
        </w:rPr>
        <w:br w:type="column"/>
      </w:r>
    </w:p>
    <w:p>
      <w:pPr>
        <w:spacing w:after="0" w:line="254" w:lineRule="auto"/>
        <w:rPr>
          <w:sz w:val="20"/>
          <w:szCs w:val="20"/>
          <w:color w:val="auto"/>
        </w:rPr>
      </w:pPr>
      <w:r>
        <w:rPr>
          <w:rFonts w:ascii="Times New Roman" w:cs="Times New Roman" w:eastAsia="Times New Roman" w:hAnsi="Times New Roman"/>
          <w:sz w:val="18"/>
          <w:szCs w:val="18"/>
          <w:color w:val="auto"/>
        </w:rPr>
        <w:t>For the avoidance of doubt, whenever Hedging Party, Determining Party or the Calculation Agent makes an adjustment, calculation or determination permitted or required to be made pursuant to the terms of this Confirmation or the Equity Definitions to take into account the effect of any event (other than an adjustment, calculation or determination made by reference to the Indenture), the Calculation Agent, Determining Party or Hedging Party, as the case may be, shall make such adjustment, calculation or determination in a commercially reasonable manner and by reference to the effect of such event on Dealer assuming that Dealer maintains a commercially reasonable hedge position.</w:t>
      </w:r>
    </w:p>
    <w:p>
      <w:pPr>
        <w:spacing w:after="0" w:line="124" w:lineRule="exact"/>
        <w:rPr>
          <w:sz w:val="20"/>
          <w:szCs w:val="20"/>
          <w:color w:val="auto"/>
        </w:rPr>
      </w:pPr>
    </w:p>
    <w:p>
      <w:pPr>
        <w:sectPr>
          <w:pgSz w:w="11900" w:h="16838" w:orient="portrait"/>
          <w:cols w:equalWidth="0" w:num="2">
            <w:col w:w="2480" w:space="720"/>
            <w:col w:w="7200"/>
          </w:cols>
          <w:pgMar w:left="1020" w:top="378" w:right="479" w:bottom="1440" w:gutter="0" w:footer="0" w:header="0"/>
          <w:type w:val="continuous"/>
        </w:sectPr>
      </w:pPr>
    </w:p>
    <w:p>
      <w:pPr>
        <w:ind w:left="484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400"/>
          </w:cols>
          <w:pgMar w:left="1020" w:top="378" w:right="479" w:bottom="1440" w:gutter="0" w:footer="0" w:header="0"/>
          <w:type w:val="continuous"/>
        </w:sectPr>
      </w:pPr>
    </w:p>
    <w:bookmarkStart w:id="136" w:name="page137"/>
    <w:bookmarkEnd w:id="136"/>
    <w:tbl>
      <w:tblPr>
        <w:tblLayout w:type="fixed"/>
        <w:tblInd w:w="224" w:type="dxa"/>
        <w:tblCellMar>
          <w:top w:w="0" w:type="dxa"/>
          <w:left w:w="0" w:type="dxa"/>
          <w:bottom w:w="0" w:type="dxa"/>
          <w:right w:w="0" w:type="dxa"/>
        </w:tblCellMar>
      </w:tblPr>
      <w:tr>
        <w:trPr>
          <w:trHeight w:val="207"/>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Calculation Agent</w:t>
            </w:r>
            <w:r>
              <w:rPr>
                <w:rFonts w:ascii="Times New Roman" w:cs="Times New Roman" w:eastAsia="Times New Roman" w:hAnsi="Times New Roman"/>
                <w:sz w:val="18"/>
                <w:szCs w:val="18"/>
                <w:color w:val="auto"/>
              </w:rPr>
              <w:t>. Dealer;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all calculations and determinations by the Calculation</w:t>
            </w:r>
          </w:p>
        </w:tc>
      </w:tr>
      <w:tr>
        <w:trPr>
          <w:trHeight w:val="20"/>
        </w:trPr>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r>
      <w:tr>
        <w:trPr>
          <w:trHeight w:val="218"/>
        </w:trPr>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Agent (other than calculations or determinations made by reference to the Indenture, without</w:t>
            </w:r>
          </w:p>
        </w:tc>
      </w:tr>
      <w:tr>
        <w:trPr>
          <w:trHeight w:val="216"/>
        </w:trPr>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discretion on the part of the Calculation Agent) shall be made in good faith and in a commercially</w:t>
            </w:r>
          </w:p>
        </w:tc>
      </w:tr>
      <w:tr>
        <w:trPr>
          <w:trHeight w:val="214"/>
        </w:trPr>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reasonable manner and assuming for such purposes that Dealer is maintaining, establishing and/or</w:t>
            </w:r>
          </w:p>
        </w:tc>
      </w:tr>
      <w:tr>
        <w:trPr>
          <w:trHeight w:val="218"/>
        </w:trPr>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unwinding, as applicable, a commercially reasonable hedge position;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if an</w:t>
            </w:r>
          </w:p>
        </w:tc>
      </w:tr>
      <w:tr>
        <w:trPr>
          <w:trHeight w:val="216"/>
        </w:trPr>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Event of Default of the type described in Section 5(a)(vii) of the Agreement with respect to which</w:t>
            </w:r>
          </w:p>
        </w:tc>
      </w:tr>
      <w:tr>
        <w:trPr>
          <w:trHeight w:val="216"/>
        </w:trPr>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Dealer is the sole Defaulting Party occurs, Counterparty shall have the right to appoint a successor</w:t>
            </w:r>
          </w:p>
        </w:tc>
      </w:tr>
      <w:tr>
        <w:trPr>
          <w:trHeight w:val="216"/>
        </w:trPr>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calculation agent which shall be a nationally recognized third-party dealer in over-the-counter</w:t>
            </w:r>
          </w:p>
        </w:tc>
      </w:tr>
      <w:tr>
        <w:trPr>
          <w:trHeight w:val="216"/>
        </w:trPr>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equity derivatives. The Calculation Agent agrees that it will promptly (but in any event</w:t>
            </w:r>
          </w:p>
        </w:tc>
      </w:tr>
      <w:tr>
        <w:trPr>
          <w:trHeight w:val="216"/>
        </w:trPr>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within five (5) Exchange Business Days), upon written notice from Counterparty, provide a</w:t>
            </w:r>
          </w:p>
        </w:tc>
      </w:tr>
      <w:tr>
        <w:trPr>
          <w:trHeight w:val="216"/>
        </w:trPr>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statement displaying in reasonable detail the basis for such determination, adjustment or</w:t>
            </w:r>
          </w:p>
        </w:tc>
      </w:tr>
      <w:tr>
        <w:trPr>
          <w:trHeight w:val="216"/>
        </w:trPr>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calculation, as the case may be (including any quotations, market data or information from internal</w:t>
            </w:r>
          </w:p>
        </w:tc>
      </w:tr>
      <w:tr>
        <w:trPr>
          <w:trHeight w:val="216"/>
        </w:trPr>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 external sources used in making such determination, adjustment or calculation, it being</w:t>
            </w:r>
          </w:p>
        </w:tc>
      </w:tr>
      <w:tr>
        <w:trPr>
          <w:trHeight w:val="216"/>
        </w:trPr>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understood that the Calculation Agent shall not be required to disclose any confidential information</w:t>
            </w:r>
          </w:p>
        </w:tc>
      </w:tr>
      <w:tr>
        <w:trPr>
          <w:trHeight w:val="216"/>
        </w:trPr>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 proprietary models used by it in connection with such determination, adjustment or calculation,</w:t>
            </w:r>
          </w:p>
        </w:tc>
      </w:tr>
      <w:tr>
        <w:trPr>
          <w:trHeight w:val="234"/>
        </w:trPr>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the case may be).</w:t>
            </w:r>
          </w:p>
        </w:tc>
      </w:tr>
      <w:tr>
        <w:trPr>
          <w:trHeight w:val="283"/>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76"/>
              </w:rPr>
              <w:t>5. </w:t>
            </w:r>
          </w:p>
        </w:tc>
        <w:tc>
          <w:tcPr>
            <w:tcW w:w="1048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 Account Details.</w:t>
            </w:r>
          </w:p>
        </w:tc>
      </w:tr>
      <w:tr>
        <w:trPr>
          <w:trHeight w:val="20"/>
        </w:trPr>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9160" w:type="dxa"/>
            <w:vAlign w:val="bottom"/>
            <w:gridSpan w:val="3"/>
          </w:tcPr>
          <w:p>
            <w:pPr>
              <w:spacing w:after="0" w:line="20" w:lineRule="exact"/>
              <w:rPr>
                <w:sz w:val="1"/>
                <w:szCs w:val="1"/>
                <w:color w:val="auto"/>
              </w:rPr>
            </w:pPr>
          </w:p>
        </w:tc>
      </w:tr>
      <w:tr>
        <w:trPr>
          <w:trHeight w:val="344"/>
        </w:trPr>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3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    Account for payments to Counterparty:</w:t>
            </w:r>
          </w:p>
        </w:tc>
      </w:tr>
    </w:tbl>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944"/>
        <w:spacing w:after="0"/>
        <w:rPr>
          <w:sz w:val="20"/>
          <w:szCs w:val="20"/>
          <w:color w:val="auto"/>
        </w:rPr>
      </w:pPr>
      <w:r>
        <w:rPr>
          <w:rFonts w:ascii="Times New Roman" w:cs="Times New Roman" w:eastAsia="Times New Roman" w:hAnsi="Times New Roman"/>
          <w:sz w:val="18"/>
          <w:szCs w:val="18"/>
          <w:color w:val="auto"/>
        </w:rPr>
        <w:t>To be provided by Counterparty.</w:t>
      </w:r>
    </w:p>
    <w:p>
      <w:pPr>
        <w:spacing w:after="0" w:line="117" w:lineRule="exact"/>
        <w:rPr>
          <w:sz w:val="20"/>
          <w:szCs w:val="20"/>
          <w:color w:val="auto"/>
        </w:rPr>
      </w:pPr>
    </w:p>
    <w:p>
      <w:pPr>
        <w:ind w:left="944"/>
        <w:spacing w:after="0"/>
        <w:rPr>
          <w:sz w:val="20"/>
          <w:szCs w:val="20"/>
          <w:color w:val="auto"/>
        </w:rPr>
      </w:pPr>
      <w:r>
        <w:rPr>
          <w:rFonts w:ascii="Times New Roman" w:cs="Times New Roman" w:eastAsia="Times New Roman" w:hAnsi="Times New Roman"/>
          <w:sz w:val="18"/>
          <w:szCs w:val="18"/>
          <w:color w:val="auto"/>
        </w:rPr>
        <w:t>Account for delivery of Shares to Counterparty:</w:t>
      </w:r>
    </w:p>
    <w:p>
      <w:pPr>
        <w:spacing w:after="0" w:line="117" w:lineRule="exact"/>
        <w:rPr>
          <w:sz w:val="20"/>
          <w:szCs w:val="20"/>
          <w:color w:val="auto"/>
        </w:rPr>
      </w:pPr>
    </w:p>
    <w:p>
      <w:pPr>
        <w:ind w:left="944"/>
        <w:spacing w:after="0"/>
        <w:rPr>
          <w:sz w:val="20"/>
          <w:szCs w:val="20"/>
          <w:color w:val="auto"/>
        </w:rPr>
      </w:pPr>
      <w:r>
        <w:rPr>
          <w:rFonts w:ascii="Times New Roman" w:cs="Times New Roman" w:eastAsia="Times New Roman" w:hAnsi="Times New Roman"/>
          <w:sz w:val="18"/>
          <w:szCs w:val="18"/>
          <w:color w:val="auto"/>
        </w:rPr>
        <w:t>To be provided by Counterparty.</w:t>
      </w:r>
    </w:p>
    <w:p>
      <w:pPr>
        <w:spacing w:after="0" w:line="131" w:lineRule="exact"/>
        <w:rPr>
          <w:sz w:val="20"/>
          <w:szCs w:val="20"/>
          <w:color w:val="auto"/>
        </w:rPr>
      </w:pPr>
    </w:p>
    <w:p>
      <w:pPr>
        <w:ind w:left="964" w:hanging="532"/>
        <w:spacing w:after="0"/>
        <w:tabs>
          <w:tab w:leader="none" w:pos="964"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 for payments to Dealer:</w:t>
      </w:r>
    </w:p>
    <w:p>
      <w:pPr>
        <w:spacing w:after="0" w:line="90" w:lineRule="exact"/>
        <w:rPr>
          <w:rFonts w:ascii="Times New Roman" w:cs="Times New Roman" w:eastAsia="Times New Roman" w:hAnsi="Times New Roman"/>
          <w:sz w:val="18"/>
          <w:szCs w:val="18"/>
          <w:color w:val="auto"/>
        </w:rPr>
      </w:pPr>
    </w:p>
    <w:p>
      <w:pPr>
        <w:ind w:left="9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w:t>
      </w:r>
      <w:r>
        <w:rPr>
          <w:rFonts w:ascii="Times New Roman" w:cs="Times New Roman" w:eastAsia="Times New Roman" w:hAnsi="Times New Roman"/>
          <w:sz w:val="17"/>
          <w:szCs w:val="17"/>
          <w:color w:val="auto"/>
        </w:rPr>
        <w:t>[_________]</w:t>
      </w:r>
      <w:r>
        <w:rPr>
          <w:rFonts w:ascii="Times New Roman" w:cs="Times New Roman" w:eastAsia="Times New Roman" w:hAnsi="Times New Roman"/>
          <w:sz w:val="24"/>
          <w:szCs w:val="24"/>
          <w:color w:val="auto"/>
          <w:vertAlign w:val="superscript"/>
        </w:rPr>
        <w:t>19</w:t>
      </w:r>
    </w:p>
    <w:p>
      <w:pPr>
        <w:jc w:val="both"/>
        <w:ind w:left="984" w:right="7620"/>
        <w:spacing w:after="0" w:line="24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[SWIFT:] [_________] [Bank Routing:] [_________]</w:t>
      </w:r>
    </w:p>
    <w:p>
      <w:pPr>
        <w:ind w:left="9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[Acct Name:]</w:t>
      </w:r>
      <w:r>
        <w:rPr>
          <w:rFonts w:ascii="Times New Roman" w:cs="Times New Roman" w:eastAsia="Times New Roman" w:hAnsi="Times New Roman"/>
          <w:sz w:val="17"/>
          <w:szCs w:val="17"/>
          <w:color w:val="auto"/>
        </w:rPr>
        <w:t>[_________]</w:t>
      </w:r>
    </w:p>
    <w:p>
      <w:pPr>
        <w:spacing w:after="0" w:line="9" w:lineRule="exact"/>
        <w:rPr>
          <w:rFonts w:ascii="Times New Roman" w:cs="Times New Roman" w:eastAsia="Times New Roman" w:hAnsi="Times New Roman"/>
          <w:sz w:val="18"/>
          <w:szCs w:val="18"/>
          <w:color w:val="auto"/>
        </w:rPr>
      </w:pPr>
    </w:p>
    <w:p>
      <w:pPr>
        <w:ind w:left="9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[Acct No.:]</w:t>
      </w:r>
      <w:r>
        <w:rPr>
          <w:rFonts w:ascii="Times New Roman" w:cs="Times New Roman" w:eastAsia="Times New Roman" w:hAnsi="Times New Roman"/>
          <w:sz w:val="17"/>
          <w:szCs w:val="17"/>
          <w:color w:val="auto"/>
        </w:rPr>
        <w:t>[_________]</w:t>
      </w:r>
    </w:p>
    <w:p>
      <w:pPr>
        <w:spacing w:after="0" w:line="206" w:lineRule="exact"/>
        <w:rPr>
          <w:rFonts w:ascii="Times New Roman" w:cs="Times New Roman" w:eastAsia="Times New Roman" w:hAnsi="Times New Roman"/>
          <w:sz w:val="18"/>
          <w:szCs w:val="18"/>
          <w:color w:val="auto"/>
        </w:rPr>
      </w:pPr>
    </w:p>
    <w:p>
      <w:pPr>
        <w:ind w:left="984" w:right="6780"/>
        <w:spacing w:after="0" w:line="40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 for delivery of Shares from Dealer: [__________]</w:t>
      </w:r>
    </w:p>
    <w:p>
      <w:pPr>
        <w:spacing w:after="0" w:line="76"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Offices</w:t>
      </w:r>
      <w:r>
        <w:rPr>
          <w:rFonts w:ascii="Times New Roman" w:cs="Times New Roman" w:eastAsia="Times New Roman" w:hAnsi="Times New Roman"/>
          <w:sz w:val="18"/>
          <w:szCs w:val="18"/>
          <w:b w:val="1"/>
          <w:bCs w:val="1"/>
          <w:color w:val="auto"/>
        </w:rPr>
        <w:t>.</w:t>
      </w:r>
    </w:p>
    <w:p>
      <w:pPr>
        <w:spacing w:after="0" w:line="134" w:lineRule="exact"/>
        <w:rPr>
          <w:rFonts w:ascii="Times New Roman" w:cs="Times New Roman" w:eastAsia="Times New Roman" w:hAnsi="Times New Roman"/>
          <w:sz w:val="18"/>
          <w:szCs w:val="18"/>
          <w:b w:val="1"/>
          <w:bCs w:val="1"/>
          <w:color w:val="auto"/>
        </w:rPr>
      </w:pPr>
    </w:p>
    <w:p>
      <w:pPr>
        <w:ind w:left="964" w:hanging="532"/>
        <w:spacing w:after="0"/>
        <w:tabs>
          <w:tab w:leader="none" w:pos="964"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Office of Counterparty for the Transaction is: Inapplicable, Counterparty is not a Multibranch Party.</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Office of Dealer for the Transaction is: [____________][Inapplicable; Dealer is not a Multibranch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77152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02" w:lineRule="exact"/>
        <w:rPr>
          <w:sz w:val="20"/>
          <w:szCs w:val="20"/>
          <w:color w:val="auto"/>
        </w:rPr>
      </w:pPr>
    </w:p>
    <w:p>
      <w:pPr>
        <w:ind w:left="424" w:hanging="424"/>
        <w:spacing w:after="0"/>
        <w:tabs>
          <w:tab w:leader="none" w:pos="424" w:val="left"/>
        </w:tabs>
        <w:numPr>
          <w:ilvl w:val="0"/>
          <w:numId w:val="22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Insert Dealer’s account information.</w:t>
      </w:r>
    </w:p>
    <w:p>
      <w:pPr>
        <w:spacing w:after="0" w:line="130"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64"/>
          </w:cols>
          <w:pgMar w:left="436" w:top="256" w:right="499" w:bottom="1440" w:gutter="0" w:footer="0" w:header="0"/>
        </w:sectPr>
      </w:pPr>
    </w:p>
    <w:bookmarkStart w:id="137" w:name="page138"/>
    <w:bookmarkEnd w:id="137"/>
    <w:p>
      <w:pPr>
        <w:ind w:left="424" w:hanging="424"/>
        <w:spacing w:after="0"/>
        <w:tabs>
          <w:tab w:leader="none" w:pos="424" w:val="left"/>
        </w:tabs>
        <w:numPr>
          <w:ilvl w:val="0"/>
          <w:numId w:val="2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Notices</w:t>
      </w:r>
      <w:r>
        <w:rPr>
          <w:rFonts w:ascii="Times New Roman" w:cs="Times New Roman" w:eastAsia="Times New Roman" w:hAnsi="Times New Roman"/>
          <w:sz w:val="18"/>
          <w:szCs w:val="18"/>
          <w:b w:val="1"/>
          <w:bCs w:val="1"/>
          <w:color w:val="auto"/>
        </w:rPr>
        <w:t>.</w:t>
      </w:r>
    </w:p>
    <w:p>
      <w:pPr>
        <w:spacing w:after="0" w:line="134" w:lineRule="exact"/>
        <w:rPr>
          <w:rFonts w:ascii="Times New Roman" w:cs="Times New Roman" w:eastAsia="Times New Roman" w:hAnsi="Times New Roman"/>
          <w:sz w:val="18"/>
          <w:szCs w:val="18"/>
          <w:b w:val="1"/>
          <w:bCs w:val="1"/>
          <w:color w:val="auto"/>
        </w:rPr>
      </w:pPr>
    </w:p>
    <w:p>
      <w:pPr>
        <w:ind w:left="964" w:hanging="532"/>
        <w:spacing w:after="0"/>
        <w:tabs>
          <w:tab w:leader="none" w:pos="964"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for notices or communications to Counterparty:</w:t>
      </w:r>
    </w:p>
    <w:p>
      <w:pPr>
        <w:spacing w:after="0" w:line="11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Spectrum Brands, Inc.</w:t>
      </w:r>
    </w:p>
    <w:p>
      <w:pPr>
        <w:spacing w:after="0" w:line="2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3001 Deming Way</w:t>
      </w:r>
    </w:p>
    <w:p>
      <w:pPr>
        <w:spacing w:after="0" w:line="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Middleton, Wisconsin 53562</w:t>
      </w:r>
    </w:p>
    <w:p>
      <w:pPr>
        <w:spacing w:after="0" w:line="9" w:lineRule="exact"/>
        <w:rPr>
          <w:sz w:val="20"/>
          <w:szCs w:val="20"/>
          <w:color w:val="auto"/>
        </w:rPr>
      </w:pPr>
    </w:p>
    <w:p>
      <w:pPr>
        <w:ind w:left="984"/>
        <w:spacing w:after="0"/>
        <w:tabs>
          <w:tab w:leader="none" w:pos="2404"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Joanne Chomiak</w:t>
      </w:r>
    </w:p>
    <w:p>
      <w:pPr>
        <w:spacing w:after="0" w:line="9" w:lineRule="exact"/>
        <w:rPr>
          <w:sz w:val="20"/>
          <w:szCs w:val="20"/>
          <w:color w:val="auto"/>
        </w:rPr>
      </w:pPr>
    </w:p>
    <w:p>
      <w:pPr>
        <w:ind w:left="984"/>
        <w:spacing w:after="0"/>
        <w:tabs>
          <w:tab w:leader="none" w:pos="2404" w:val="left"/>
        </w:tabs>
        <w:rPr>
          <w:sz w:val="20"/>
          <w:szCs w:val="20"/>
          <w:color w:val="auto"/>
        </w:rPr>
      </w:pPr>
      <w:r>
        <w:rPr>
          <w:rFonts w:ascii="Times New Roman" w:cs="Times New Roman" w:eastAsia="Times New Roman" w:hAnsi="Times New Roman"/>
          <w:sz w:val="18"/>
          <w:szCs w:val="18"/>
          <w:color w:val="auto"/>
        </w:rPr>
        <w:t>Telephone:</w:t>
      </w:r>
      <w:r>
        <w:rPr>
          <w:sz w:val="20"/>
          <w:szCs w:val="20"/>
          <w:color w:val="auto"/>
        </w:rPr>
        <w:tab/>
      </w:r>
      <w:r>
        <w:rPr>
          <w:rFonts w:ascii="Times New Roman" w:cs="Times New Roman" w:eastAsia="Times New Roman" w:hAnsi="Times New Roman"/>
          <w:sz w:val="18"/>
          <w:szCs w:val="18"/>
          <w:color w:val="auto"/>
        </w:rPr>
        <w:t>608-275-4458</w:t>
      </w:r>
    </w:p>
    <w:p>
      <w:pPr>
        <w:spacing w:after="0" w:line="9" w:lineRule="exact"/>
        <w:rPr>
          <w:sz w:val="20"/>
          <w:szCs w:val="20"/>
          <w:color w:val="auto"/>
        </w:rPr>
      </w:pPr>
    </w:p>
    <w:p>
      <w:pPr>
        <w:ind w:left="984"/>
        <w:spacing w:after="0"/>
        <w:tabs>
          <w:tab w:leader="none" w:pos="2404" w:val="left"/>
        </w:tabs>
        <w:rPr>
          <w:sz w:val="20"/>
          <w:szCs w:val="20"/>
          <w:color w:val="auto"/>
        </w:rPr>
      </w:pPr>
      <w:r>
        <w:rPr>
          <w:rFonts w:ascii="Times New Roman" w:cs="Times New Roman" w:eastAsia="Times New Roman" w:hAnsi="Times New Roman"/>
          <w:sz w:val="17"/>
          <w:szCs w:val="17"/>
          <w:color w:val="auto"/>
        </w:rPr>
        <w:t>Email:</w:t>
      </w:r>
      <w:r>
        <w:rPr>
          <w:sz w:val="20"/>
          <w:szCs w:val="20"/>
          <w:color w:val="auto"/>
        </w:rPr>
        <w:tab/>
      </w:r>
      <w:r>
        <w:rPr>
          <w:rFonts w:ascii="Times New Roman" w:cs="Times New Roman" w:eastAsia="Times New Roman" w:hAnsi="Times New Roman"/>
          <w:sz w:val="17"/>
          <w:szCs w:val="17"/>
          <w:color w:val="auto"/>
        </w:rPr>
        <w:t>Joanne.chomiak@spectrumbrands.com</w:t>
      </w:r>
    </w:p>
    <w:p>
      <w:pPr>
        <w:spacing w:after="0" w:line="124" w:lineRule="exact"/>
        <w:rPr>
          <w:sz w:val="20"/>
          <w:szCs w:val="20"/>
          <w:color w:val="auto"/>
        </w:rPr>
      </w:pPr>
    </w:p>
    <w:p>
      <w:pPr>
        <w:ind w:left="964" w:hanging="532"/>
        <w:spacing w:after="0"/>
        <w:tabs>
          <w:tab w:leader="none" w:pos="964"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for notices or communications to Dealer:</w:t>
      </w:r>
    </w:p>
    <w:p>
      <w:pPr>
        <w:spacing w:after="0" w:line="117" w:lineRule="exact"/>
        <w:rPr>
          <w:rFonts w:ascii="Times New Roman" w:cs="Times New Roman" w:eastAsia="Times New Roman" w:hAnsi="Times New Roman"/>
          <w:sz w:val="18"/>
          <w:szCs w:val="18"/>
          <w:color w:val="auto"/>
        </w:rPr>
      </w:pPr>
    </w:p>
    <w:p>
      <w:pPr>
        <w:ind w:left="9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w:t>
      </w:r>
      <w:r>
        <w:rPr>
          <w:rFonts w:ascii="Times New Roman" w:cs="Times New Roman" w:eastAsia="Times New Roman" w:hAnsi="Times New Roman"/>
          <w:sz w:val="26"/>
          <w:szCs w:val="26"/>
          <w:color w:val="auto"/>
          <w:vertAlign w:val="superscript"/>
        </w:rPr>
        <w:t>20</w:t>
      </w:r>
    </w:p>
    <w:p>
      <w:pPr>
        <w:spacing w:after="0" w:line="58" w:lineRule="exact"/>
        <w:rPr>
          <w:rFonts w:ascii="Times New Roman" w:cs="Times New Roman" w:eastAsia="Times New Roman" w:hAnsi="Times New Roman"/>
          <w:sz w:val="18"/>
          <w:szCs w:val="18"/>
          <w:color w:val="auto"/>
        </w:rPr>
      </w:pPr>
    </w:p>
    <w:p>
      <w:pPr>
        <w:ind w:left="9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Attention:[____________]</w:t>
      </w:r>
    </w:p>
    <w:p>
      <w:pPr>
        <w:spacing w:after="0" w:line="7" w:lineRule="exact"/>
        <w:rPr>
          <w:rFonts w:ascii="Times New Roman" w:cs="Times New Roman" w:eastAsia="Times New Roman" w:hAnsi="Times New Roman"/>
          <w:sz w:val="18"/>
          <w:szCs w:val="18"/>
          <w:color w:val="auto"/>
        </w:rPr>
      </w:pPr>
    </w:p>
    <w:p>
      <w:pPr>
        <w:ind w:left="9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Telephone:[____________]</w:t>
      </w:r>
    </w:p>
    <w:p>
      <w:pPr>
        <w:spacing w:after="0" w:line="9" w:lineRule="exact"/>
        <w:rPr>
          <w:rFonts w:ascii="Times New Roman" w:cs="Times New Roman" w:eastAsia="Times New Roman" w:hAnsi="Times New Roman"/>
          <w:sz w:val="18"/>
          <w:szCs w:val="18"/>
          <w:color w:val="auto"/>
        </w:rPr>
      </w:pPr>
    </w:p>
    <w:p>
      <w:pPr>
        <w:ind w:left="984" w:right="7400" w:hanging="6"/>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Email:[____________] [With a copy to:</w:t>
      </w:r>
    </w:p>
    <w:p>
      <w:pPr>
        <w:spacing w:after="0" w:line="359" w:lineRule="exact"/>
        <w:rPr>
          <w:rFonts w:ascii="Times New Roman" w:cs="Times New Roman" w:eastAsia="Times New Roman" w:hAnsi="Times New Roman"/>
          <w:sz w:val="18"/>
          <w:szCs w:val="18"/>
          <w:color w:val="auto"/>
        </w:rPr>
      </w:pPr>
    </w:p>
    <w:p>
      <w:pPr>
        <w:ind w:left="9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w:t>
      </w:r>
    </w:p>
    <w:p>
      <w:pPr>
        <w:sectPr>
          <w:pgSz w:w="11900" w:h="16838" w:orient="portrait"/>
          <w:cols w:equalWidth="0" w:num="1">
            <w:col w:w="11024"/>
          </w:cols>
          <w:pgMar w:left="436" w:top="266" w:right="439" w:bottom="1440" w:gutter="0" w:footer="0" w:header="0"/>
        </w:sectPr>
      </w:pPr>
    </w:p>
    <w:p>
      <w:pPr>
        <w:spacing w:after="0" w:line="13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Attention:</w:t>
      </w:r>
    </w:p>
    <w:p>
      <w:pPr>
        <w:spacing w:after="0" w:line="2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7"/>
          <w:szCs w:val="17"/>
          <w:color w:val="auto"/>
        </w:rPr>
        <w:t>Telephone:</w:t>
      </w:r>
    </w:p>
    <w:p>
      <w:pPr>
        <w:spacing w:after="0" w:line="2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200" w:lineRule="exact"/>
        <w:rPr>
          <w:sz w:val="20"/>
          <w:szCs w:val="20"/>
          <w:color w:val="auto"/>
        </w:rPr>
      </w:pPr>
    </w:p>
    <w:p>
      <w:pPr>
        <w:sectPr>
          <w:pgSz w:w="11900" w:h="16838" w:orient="portrait"/>
          <w:cols w:equalWidth="0" w:num="2">
            <w:col w:w="1784" w:space="640"/>
            <w:col w:w="8600"/>
          </w:cols>
          <w:pgMar w:left="436" w:top="266" w:right="439" w:bottom="1440" w:gutter="0" w:footer="0" w:header="0"/>
          <w:type w:val="continuous"/>
        </w:sectPr>
      </w:pPr>
    </w:p>
    <w:p>
      <w:pPr>
        <w:spacing w:after="0" w:line="30" w:lineRule="exact"/>
        <w:rPr>
          <w:sz w:val="20"/>
          <w:szCs w:val="20"/>
          <w:color w:val="auto"/>
        </w:rPr>
      </w:pPr>
    </w:p>
    <w:p>
      <w:pPr>
        <w:ind w:left="424" w:hanging="424"/>
        <w:spacing w:after="0"/>
        <w:tabs>
          <w:tab w:leader="none" w:pos="424" w:val="left"/>
        </w:tabs>
        <w:numPr>
          <w:ilvl w:val="0"/>
          <w:numId w:val="2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Representations and Warranties of Counterparty and Parent</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b w:val="1"/>
          <w:bCs w:val="1"/>
          <w:color w:val="auto"/>
        </w:rPr>
      </w:pPr>
    </w:p>
    <w:p>
      <w:pPr>
        <w:ind w:left="444" w:right="4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addition to the representations and warranties in the Agreement, each of Counterparty and Parent hereby further represents and warrants to Dealer on the date hereof and on and as of the Premium Payment Date that:</w:t>
      </w:r>
    </w:p>
    <w:p>
      <w:pPr>
        <w:spacing w:after="0" w:line="67" w:lineRule="exact"/>
        <w:rPr>
          <w:rFonts w:ascii="Times New Roman" w:cs="Times New Roman" w:eastAsia="Times New Roman" w:hAnsi="Times New Roman"/>
          <w:sz w:val="18"/>
          <w:szCs w:val="18"/>
          <w:b w:val="1"/>
          <w:bCs w:val="1"/>
          <w:color w:val="auto"/>
        </w:rPr>
      </w:pPr>
    </w:p>
    <w:p>
      <w:pPr>
        <w:ind w:left="964" w:right="60" w:hanging="532"/>
        <w:spacing w:after="0" w:line="254" w:lineRule="auto"/>
        <w:tabs>
          <w:tab w:leader="none" w:pos="964"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Counterparty and Parent has all necessary corporate power and authority to execute, deliver and perform its respective obligations in respect of the Transaction; such execution, delivery and performance have been duly authorized by all necessary corporate action on Counterparty’s part; and this Confirmation has been duly and validly executed and delivered by Counterparty and constitutes its valid and binding obligation, enforceable against Counterparty in accordance with its terms, subject to applicable bankruptcy, insolvency, fraudulent conveyance, reorganization, moratorium and similar laws affecting creditors’ rights and remedies generally, and subject, as to enforceability, to general principles of equity, including principles of commercial reasonableness, good faith and fair dealing (regardless of whether enforcement is sought in a proceeding at law or in equity) and except that rights to indemnification and contribution hereunder may be limited by federal or state securities laws or public policy relating thereto.</w:t>
      </w:r>
    </w:p>
    <w:p>
      <w:pPr>
        <w:spacing w:after="0" w:line="97" w:lineRule="exact"/>
        <w:rPr>
          <w:rFonts w:ascii="Times New Roman" w:cs="Times New Roman" w:eastAsia="Times New Roman" w:hAnsi="Times New Roman"/>
          <w:sz w:val="18"/>
          <w:szCs w:val="18"/>
          <w:color w:val="auto"/>
        </w:rPr>
      </w:pPr>
    </w:p>
    <w:p>
      <w:pPr>
        <w:ind w:left="964" w:hanging="532"/>
        <w:spacing w:after="0" w:line="256" w:lineRule="auto"/>
        <w:tabs>
          <w:tab w:leader="none" w:pos="964"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and delivery of this Confirmation nor the incurrence or performance of obligations of each of Counterparty and Parent hereunder will conflict with or result in a breach of the certificate of incorporation or by-laws (or any equivalent documents) of Counterparty or Parent, or any applicable law or regulation, or any order, writ, injunction or decree of any court or governmental authority or agency, or any agreement or instrument to which Parent, Counterparty or any of their respective subsidiaries is a party or by which Parent, Counterparty or any of their respective subsidiaries is bound or to which Parent, Counterparty or any of their respective subsidiaries is subject, or constitute a default under, or result in the creation of any lien under, any such agreement or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87630</wp:posOffset>
            </wp:positionV>
            <wp:extent cx="77152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64" w:lineRule="exact"/>
        <w:rPr>
          <w:sz w:val="20"/>
          <w:szCs w:val="20"/>
          <w:color w:val="auto"/>
        </w:rPr>
      </w:pPr>
    </w:p>
    <w:p>
      <w:pPr>
        <w:ind w:left="424" w:hanging="424"/>
        <w:spacing w:after="0"/>
        <w:tabs>
          <w:tab w:leader="none" w:pos="424" w:val="left"/>
        </w:tabs>
        <w:numPr>
          <w:ilvl w:val="0"/>
          <w:numId w:val="22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Insert Dealer’s notice contact information.</w:t>
      </w:r>
    </w:p>
    <w:p>
      <w:pPr>
        <w:spacing w:after="0" w:line="13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24"/>
          </w:cols>
          <w:pgMar w:left="436" w:top="266" w:right="439" w:bottom="1440" w:gutter="0" w:footer="0" w:header="0"/>
          <w:type w:val="continuous"/>
        </w:sectPr>
      </w:pPr>
    </w:p>
    <w:bookmarkStart w:id="138" w:name="page139"/>
    <w:bookmarkEnd w:id="138"/>
    <w:p>
      <w:pPr>
        <w:ind w:left="540" w:right="40" w:hanging="532"/>
        <w:spacing w:after="0" w:line="258" w:lineRule="auto"/>
        <w:tabs>
          <w:tab w:leader="none" w:pos="54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To its knowledge, no consent, approval, authorization, or order of, or filing with, any governmental agency or body or any court is required in connection with the execution, delivery or performance by Counterparty of this Confirmation, except such as have been obtained or made and such as may be required under the Securities Act or state securities laws;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Counterparty makes no representation or warranty regarding any such requirement that is applicable generally to the ownership of equity securities by Dealer or any of its affiliates solely as a result of it or any of such affiliate being financial institutions or broker-dealers.</w:t>
      </w:r>
    </w:p>
    <w:p>
      <w:pPr>
        <w:spacing w:after="0" w:line="88" w:lineRule="exact"/>
        <w:rPr>
          <w:rFonts w:ascii="Times New Roman" w:cs="Times New Roman" w:eastAsia="Times New Roman" w:hAnsi="Times New Roman"/>
          <w:sz w:val="18"/>
          <w:szCs w:val="18"/>
          <w:color w:val="auto"/>
        </w:rPr>
      </w:pPr>
    </w:p>
    <w:p>
      <w:pPr>
        <w:ind w:left="540" w:right="60" w:hanging="532"/>
        <w:spacing w:after="0" w:line="282" w:lineRule="auto"/>
        <w:tabs>
          <w:tab w:leader="none" w:pos="54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Counterparty and Parent is not and, after consummation of the transactions contemplated hereby, will not be required to register as an “investment company” as such term is defined in the Investment Company Act of 1940, as amended.</w:t>
      </w:r>
    </w:p>
    <w:p>
      <w:pPr>
        <w:spacing w:after="0" w:line="67" w:lineRule="exact"/>
        <w:rPr>
          <w:rFonts w:ascii="Times New Roman" w:cs="Times New Roman" w:eastAsia="Times New Roman" w:hAnsi="Times New Roman"/>
          <w:sz w:val="18"/>
          <w:szCs w:val="18"/>
          <w:color w:val="auto"/>
        </w:rPr>
      </w:pPr>
    </w:p>
    <w:p>
      <w:pPr>
        <w:ind w:left="540" w:hanging="532"/>
        <w:spacing w:after="0" w:line="266" w:lineRule="auto"/>
        <w:tabs>
          <w:tab w:leader="none" w:pos="54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Counterparty and Parent is an “eligible contract participant” (as such term is defined in Section 1a(18) of the Commodity Exchange Act, as amended, other than a person that is an eligible contract participant under Section 1a(18)(C) of the Commodity Exchange Act).</w:t>
      </w:r>
    </w:p>
    <w:p>
      <w:pPr>
        <w:spacing w:after="0" w:line="81" w:lineRule="exact"/>
        <w:rPr>
          <w:rFonts w:ascii="Times New Roman" w:cs="Times New Roman" w:eastAsia="Times New Roman" w:hAnsi="Times New Roman"/>
          <w:sz w:val="18"/>
          <w:szCs w:val="18"/>
          <w:color w:val="auto"/>
        </w:rPr>
      </w:pPr>
    </w:p>
    <w:p>
      <w:pPr>
        <w:ind w:left="540" w:right="400" w:hanging="532"/>
        <w:spacing w:after="0" w:line="282" w:lineRule="auto"/>
        <w:tabs>
          <w:tab w:leader="none" w:pos="54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it and its affiliates is not, on the date hereof, in possession of any material non-public information with respect to Issuer or the Shares.</w:t>
      </w:r>
    </w:p>
    <w:p>
      <w:pPr>
        <w:spacing w:after="0" w:line="67" w:lineRule="exact"/>
        <w:rPr>
          <w:rFonts w:ascii="Times New Roman" w:cs="Times New Roman" w:eastAsia="Times New Roman" w:hAnsi="Times New Roman"/>
          <w:sz w:val="18"/>
          <w:szCs w:val="18"/>
          <w:color w:val="auto"/>
        </w:rPr>
      </w:pPr>
    </w:p>
    <w:p>
      <w:pPr>
        <w:ind w:left="540" w:right="60" w:hanging="532"/>
        <w:spacing w:after="0" w:line="266" w:lineRule="auto"/>
        <w:tabs>
          <w:tab w:leader="none" w:pos="54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state or local (including any non-U.S. jurisdiction’s) law, rule, regulation or regulatory order applicable to the Shares would give rise to any reporting, consent, registration or other requirement (including without limitation a requirement to obtain prior approval from any person or entity) as a result of Dealer or its affiliates owning or holding (however defined) Shares.</w:t>
      </w:r>
    </w:p>
    <w:p>
      <w:pPr>
        <w:spacing w:after="0" w:line="81" w:lineRule="exact"/>
        <w:rPr>
          <w:rFonts w:ascii="Times New Roman" w:cs="Times New Roman" w:eastAsia="Times New Roman" w:hAnsi="Times New Roman"/>
          <w:sz w:val="18"/>
          <w:szCs w:val="18"/>
          <w:color w:val="auto"/>
        </w:rPr>
      </w:pPr>
    </w:p>
    <w:p>
      <w:pPr>
        <w:ind w:left="540" w:right="60" w:hanging="532"/>
        <w:spacing w:after="0" w:line="261" w:lineRule="auto"/>
        <w:tabs>
          <w:tab w:leader="none" w:pos="54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(A) is capable of evaluating investment risks independently, both in general and with regard to all transactions and investment strategies involving a security or securities; (B) will exercise independent judgment in evaluating the recommendations of any broker-dealer or its associated persons, unless it has otherwise notified the broker-dealer in writing; and (C) has total assets of at least USD 50 million.</w:t>
      </w:r>
    </w:p>
    <w:p>
      <w:pPr>
        <w:spacing w:after="0" w:line="85" w:lineRule="exact"/>
        <w:rPr>
          <w:rFonts w:ascii="Times New Roman" w:cs="Times New Roman" w:eastAsia="Times New Roman" w:hAnsi="Times New Roman"/>
          <w:sz w:val="18"/>
          <w:szCs w:val="18"/>
          <w:color w:val="auto"/>
        </w:rPr>
      </w:pPr>
    </w:p>
    <w:p>
      <w:pPr>
        <w:ind w:left="540" w:right="440" w:hanging="532"/>
        <w:spacing w:after="0" w:line="282" w:lineRule="auto"/>
        <w:tabs>
          <w:tab w:leader="none" w:pos="54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assets of each of Counterparty and Parent do not constitute “plan assets” within the meaning of 29 C.F.R. § 2510.3-101 under the Employee Retirement Income Security Act of 1974, as amended.</w:t>
      </w:r>
    </w:p>
    <w:p>
      <w:pPr>
        <w:spacing w:after="0" w:line="67" w:lineRule="exact"/>
        <w:rPr>
          <w:rFonts w:ascii="Times New Roman" w:cs="Times New Roman" w:eastAsia="Times New Roman" w:hAnsi="Times New Roman"/>
          <w:sz w:val="18"/>
          <w:szCs w:val="18"/>
          <w:color w:val="auto"/>
        </w:rPr>
      </w:pPr>
    </w:p>
    <w:p>
      <w:pPr>
        <w:ind w:left="540" w:right="20" w:hanging="532"/>
        <w:spacing w:after="0" w:line="268" w:lineRule="auto"/>
        <w:tabs>
          <w:tab w:leader="none" w:pos="540" w:val="left"/>
        </w:tabs>
        <w:numPr>
          <w:ilvl w:val="0"/>
          <w:numId w:val="2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respect of each of Counterparty and Parent on and immediately after the Trade Date and the Premium Payment Date, (A) the value of the total assets of such entity is greater than the sum of such entity’s total liabilities (including contingent liabilities) and its capital (as such terms are defined in Section 154 and Section 244 of the General Corporation Law of the State of Delaware), (B) the capital of such entity is adequate to conduct the business of such entity, and such entity’s entry into the Transaction will not impair its capital, (C) such entity has the ability to pay its debts and obligations as such debts mature and does not intend to, or does not believe that it will, incur debt beyond its ability to pay as such debts mature, (D) such entity will be able to continue as a going concern; (E) such entity is not “insolvent” (as such term is defined under Section 101(32) of the U.S. Bankruptcy Code (Title 11 of the United States Code) (the “</w:t>
      </w:r>
      <w:r>
        <w:rPr>
          <w:rFonts w:ascii="Times New Roman" w:cs="Times New Roman" w:eastAsia="Times New Roman" w:hAnsi="Times New Roman"/>
          <w:sz w:val="17"/>
          <w:szCs w:val="17"/>
          <w:b w:val="1"/>
          <w:bCs w:val="1"/>
          <w:color w:val="auto"/>
        </w:rPr>
        <w:t>Bankruptcy Code</w:t>
      </w:r>
      <w:r>
        <w:rPr>
          <w:rFonts w:ascii="Times New Roman" w:cs="Times New Roman" w:eastAsia="Times New Roman" w:hAnsi="Times New Roman"/>
          <w:sz w:val="17"/>
          <w:szCs w:val="17"/>
          <w:color w:val="auto"/>
        </w:rPr>
        <w:t>”)) and</w:t>
      </w:r>
    </w:p>
    <w:p>
      <w:pPr>
        <w:spacing w:after="0" w:line="2" w:lineRule="exact"/>
        <w:rPr>
          <w:rFonts w:ascii="Times New Roman" w:cs="Times New Roman" w:eastAsia="Times New Roman" w:hAnsi="Times New Roman"/>
          <w:sz w:val="17"/>
          <w:szCs w:val="17"/>
          <w:color w:val="auto"/>
        </w:rPr>
      </w:pPr>
    </w:p>
    <w:p>
      <w:pPr>
        <w:ind w:left="540" w:right="10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(F) such entity would be able to purchase the number of Shares with respect to the Transaction in compliance with the laws of the jurisdiction of such entity’s incorporation (including the adequate surplus and capital requirements of Sections 154 and 160 of the General Corporation Law of the State of Delaware).</w:t>
      </w:r>
    </w:p>
    <w:p>
      <w:pPr>
        <w:spacing w:after="0" w:line="91" w:lineRule="exact"/>
        <w:rPr>
          <w:rFonts w:ascii="Times New Roman" w:cs="Times New Roman" w:eastAsia="Times New Roman" w:hAnsi="Times New Roman"/>
          <w:sz w:val="17"/>
          <w:szCs w:val="17"/>
          <w:color w:val="auto"/>
        </w:rPr>
      </w:pPr>
    </w:p>
    <w:p>
      <w:pPr>
        <w:ind w:left="540" w:right="80" w:hanging="532"/>
        <w:spacing w:after="0" w:line="253" w:lineRule="auto"/>
        <w:tabs>
          <w:tab w:leader="none" w:pos="54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Counterparty and Parent represents and warrants that it has not applied, and shall not, without the consent of Dealer, until after the first date on which no portion of the Transaction remains outstanding following any final exercise and settlement, cancellation or early termination of the Transaction, apply, for a loan, loan guarantee, direct loan (as that term is defined in the Coronavirus Aid, Relief and Economic Security Act (the “</w:t>
      </w:r>
      <w:r>
        <w:rPr>
          <w:rFonts w:ascii="Times New Roman" w:cs="Times New Roman" w:eastAsia="Times New Roman" w:hAnsi="Times New Roman"/>
          <w:sz w:val="18"/>
          <w:szCs w:val="18"/>
          <w:b w:val="1"/>
          <w:bCs w:val="1"/>
          <w:color w:val="auto"/>
        </w:rPr>
        <w:t>CARES Act</w:t>
      </w:r>
      <w:r>
        <w:rPr>
          <w:rFonts w:ascii="Times New Roman" w:cs="Times New Roman" w:eastAsia="Times New Roman" w:hAnsi="Times New Roman"/>
          <w:sz w:val="18"/>
          <w:szCs w:val="18"/>
          <w:color w:val="auto"/>
        </w:rPr>
        <w:t>”)) or other investment, or to receive any financial assistance or relief under any program or facility (collectively “</w:t>
      </w:r>
      <w:r>
        <w:rPr>
          <w:rFonts w:ascii="Times New Roman" w:cs="Times New Roman" w:eastAsia="Times New Roman" w:hAnsi="Times New Roman"/>
          <w:sz w:val="18"/>
          <w:szCs w:val="18"/>
          <w:b w:val="1"/>
          <w:bCs w:val="1"/>
          <w:color w:val="auto"/>
        </w:rPr>
        <w:t>Financial Assistance</w:t>
      </w:r>
      <w:r>
        <w:rPr>
          <w:rFonts w:ascii="Times New Roman" w:cs="Times New Roman" w:eastAsia="Times New Roman" w:hAnsi="Times New Roman"/>
          <w:sz w:val="18"/>
          <w:szCs w:val="18"/>
          <w:color w:val="auto"/>
        </w:rPr>
        <w:t>”) that (a) is established under applicable law (whether in existence as of the Trade Date or subsequently enacted, adopted or amended), including without limitation the CARES Act and the Federal Reserve Act, as amended, and</w:t>
      </w:r>
    </w:p>
    <w:p>
      <w:pPr>
        <w:spacing w:after="0" w:line="5"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(i) requires under applicable law (or any regulation,</w:t>
      </w:r>
    </w:p>
    <w:p>
      <w:pPr>
        <w:spacing w:after="0" w:line="13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600"/>
          </w:cols>
          <w:pgMar w:left="860" w:top="270" w:right="439" w:bottom="1440" w:gutter="0" w:footer="0" w:header="0"/>
        </w:sectPr>
      </w:pPr>
    </w:p>
    <w:bookmarkStart w:id="139" w:name="page140"/>
    <w:bookmarkEnd w:id="139"/>
    <w:p>
      <w:pPr>
        <w:ind w:left="984"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guidance, interpretation or other pronouncement of a governmental authority with jurisdiction for such program or facility) as a condition of such Financial Assistance, that such entity agree, attest, certify or warrant that it has not, as of the date specified in such condition, repurchased, or will not repurchase, any equity security of such entity, and that it has not, as of the date specified in the condition, made a capital distribution or will make a capital distribution, or (ii) where the terms of the Transaction would cause such entity under any circumstances to fail to satisfy any condition for application for or receipt or retention of the Financial Assistance (collectively “</w:t>
      </w:r>
      <w:r>
        <w:rPr>
          <w:rFonts w:ascii="Times New Roman" w:cs="Times New Roman" w:eastAsia="Times New Roman" w:hAnsi="Times New Roman"/>
          <w:sz w:val="18"/>
          <w:szCs w:val="18"/>
          <w:b w:val="1"/>
          <w:bCs w:val="1"/>
          <w:color w:val="auto"/>
        </w:rPr>
        <w:t>Restricted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Financial Assistance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such entity may apply for Restricted Financial Assistance if (x) such entity either (a) determines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based on advice of outside counsel reasonably satisfactory to the Dealer that the terms of the Transaction would not cause such entity to fail to satisfy any condition for application for or receipt or retention of such Financial Assistance based on the terms of the program or facility as of the date of such advice or (b) delivers to Dealer evidence or other guidance from a governmental authority with jurisdiction for such program or facility that the Transaction is permitted under such program or facility (either by specific reference to the Transaction or by general reference to transactions with the attributes of the Transaction in all relevant respects) and (y) on the basis of which Dealer consents to such entity’s application for such Restricted Financial Assistance (such consent not to be unreasonably withheld or delayed). Such entity further represents and warrants that the Premium is not being paid, in whole or in part, directly or indirectly, with funds received under or pursuant to any program or facility, including the U.S. Small Business Administration’s “Paycheck Protection Program”, that (a) is established under applicable law (whether in existence as of the Trade Date or subsequently enacted, adopted or amended), including without limitation the CARES Act and the Federal Reserve Act, as amended, and (b) requires under such applicable law (or any regulation, guidance, interpretation or other pronouncement of a governmental authority with jurisdiction for such program or facility) that such funds be used for specified or enumerated purposes that do not include the purchase of the Transaction (either by specific reference to the Transaction or by general reference to transactions with the attributes of the Transaction in all relevant respects).</w:t>
      </w:r>
    </w:p>
    <w:p>
      <w:pPr>
        <w:spacing w:after="0" w:line="96" w:lineRule="exact"/>
        <w:rPr>
          <w:sz w:val="20"/>
          <w:szCs w:val="20"/>
          <w:color w:val="auto"/>
        </w:rPr>
      </w:pPr>
    </w:p>
    <w:p>
      <w:pPr>
        <w:ind w:left="964" w:right="440" w:hanging="532"/>
        <w:spacing w:after="0" w:line="296" w:lineRule="auto"/>
        <w:tabs>
          <w:tab w:leader="none" w:pos="964" w:val="left"/>
        </w:tabs>
        <w:numPr>
          <w:ilvl w:val="1"/>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received, read and understands the OTC Options Risk Disclosure Statement and a copy of the most recent disclosure pamphlet prepared by The Options Clearing Corporation entitled “Characteristics and Risks of Standardized Options”.]</w:t>
      </w:r>
      <w:r>
        <w:rPr>
          <w:rFonts w:ascii="Times New Roman" w:cs="Times New Roman" w:eastAsia="Times New Roman" w:hAnsi="Times New Roman"/>
          <w:sz w:val="26"/>
          <w:szCs w:val="26"/>
          <w:color w:val="auto"/>
          <w:vertAlign w:val="superscript"/>
        </w:rPr>
        <w:t>21</w:t>
      </w:r>
    </w:p>
    <w:p>
      <w:pPr>
        <w:spacing w:after="0" w:line="46"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Other Provisions</w:t>
      </w:r>
      <w:r>
        <w:rPr>
          <w:rFonts w:ascii="Times New Roman" w:cs="Times New Roman" w:eastAsia="Times New Roman" w:hAnsi="Times New Roman"/>
          <w:sz w:val="18"/>
          <w:szCs w:val="18"/>
          <w:b w:val="1"/>
          <w:bCs w:val="1"/>
          <w:color w:val="auto"/>
        </w:rPr>
        <w:t>.</w:t>
      </w:r>
    </w:p>
    <w:p>
      <w:pPr>
        <w:spacing w:after="0" w:line="132" w:lineRule="exact"/>
        <w:rPr>
          <w:rFonts w:ascii="Times New Roman" w:cs="Times New Roman" w:eastAsia="Times New Roman" w:hAnsi="Times New Roman"/>
          <w:sz w:val="18"/>
          <w:szCs w:val="18"/>
          <w:b w:val="1"/>
          <w:bCs w:val="1"/>
          <w:color w:val="auto"/>
        </w:rPr>
      </w:pPr>
    </w:p>
    <w:p>
      <w:pPr>
        <w:ind w:left="964" w:right="60" w:hanging="532"/>
        <w:spacing w:after="0" w:line="257" w:lineRule="auto"/>
        <w:tabs>
          <w:tab w:leader="none" w:pos="964"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Opinions</w:t>
      </w:r>
      <w:r>
        <w:rPr>
          <w:rFonts w:ascii="Times New Roman" w:cs="Times New Roman" w:eastAsia="Times New Roman" w:hAnsi="Times New Roman"/>
          <w:sz w:val="18"/>
          <w:szCs w:val="18"/>
          <w:color w:val="auto"/>
        </w:rPr>
        <w:t>. Counterparty shall deliver to Dealer an opinion of counsel, dated as of the Trade Date, with respect to the matters set forth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Sections 8(a) through (d) with respect to Counterparty and Parent of this Confirmation (it being understood that such opinions of counsel shall be limited to the federal laws of the United States, the laws of the State of New York and the General Corporate Law of the State of Delaware, and may contain customary assumptions, limitations, exceptions and qualifications). Delivery of such opinion to Dealer shall be a condition precedent for the purpose of Section 2(a)(iii) of the Agreement with respect to each obligation of Dealer under Section 2(a)(i) of the Agreement.</w:t>
      </w:r>
    </w:p>
    <w:p>
      <w:pPr>
        <w:spacing w:after="0" w:line="87" w:lineRule="exact"/>
        <w:rPr>
          <w:rFonts w:ascii="Times New Roman" w:cs="Times New Roman" w:eastAsia="Times New Roman" w:hAnsi="Times New Roman"/>
          <w:sz w:val="18"/>
          <w:szCs w:val="18"/>
          <w:color w:val="auto"/>
        </w:rPr>
      </w:pPr>
    </w:p>
    <w:p>
      <w:pPr>
        <w:ind w:left="964" w:right="100" w:hanging="532"/>
        <w:spacing w:after="0" w:line="270" w:lineRule="auto"/>
        <w:tabs>
          <w:tab w:leader="none" w:pos="964"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Repurchase Notices</w:t>
      </w:r>
      <w:r>
        <w:rPr>
          <w:rFonts w:ascii="Times New Roman" w:cs="Times New Roman" w:eastAsia="Times New Roman" w:hAnsi="Times New Roman"/>
          <w:sz w:val="18"/>
          <w:szCs w:val="18"/>
          <w:color w:val="auto"/>
        </w:rPr>
        <w:t>. Counterparty shall, no later than one Exchange Business Day following the day on which Counterparty and/or Parent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effects any repurchase of Shares, give Dealer a written notice (which, for the avoidance of doubt may be by email) of such repurchase (a “</w:t>
      </w:r>
      <w:r>
        <w:rPr>
          <w:rFonts w:ascii="Times New Roman" w:cs="Times New Roman" w:eastAsia="Times New Roman" w:hAnsi="Times New Roman"/>
          <w:sz w:val="18"/>
          <w:szCs w:val="18"/>
          <w:b w:val="1"/>
          <w:bCs w:val="1"/>
          <w:color w:val="auto"/>
        </w:rPr>
        <w:t>Repurchase Notice</w:t>
      </w:r>
      <w:r>
        <w:rPr>
          <w:rFonts w:ascii="Times New Roman" w:cs="Times New Roman" w:eastAsia="Times New Roman" w:hAnsi="Times New Roman"/>
          <w:sz w:val="18"/>
          <w:szCs w:val="18"/>
          <w:color w:val="auto"/>
        </w:rPr>
        <w:t>”) if following such repurchase, the number of outstanding Shares as determined on such day is (i) less than [__]</w:t>
      </w:r>
      <w:r>
        <w:rPr>
          <w:rFonts w:ascii="Times New Roman" w:cs="Times New Roman" w:eastAsia="Times New Roman" w:hAnsi="Times New Roman"/>
          <w:sz w:val="26"/>
          <w:szCs w:val="26"/>
          <w:color w:val="auto"/>
          <w:vertAlign w:val="superscript"/>
        </w:rPr>
        <w:t>22</w:t>
      </w:r>
      <w:r>
        <w:rPr>
          <w:rFonts w:ascii="Times New Roman" w:cs="Times New Roman" w:eastAsia="Times New Roman" w:hAnsi="Times New Roman"/>
          <w:sz w:val="18"/>
          <w:szCs w:val="18"/>
          <w:color w:val="auto"/>
        </w:rPr>
        <w:t xml:space="preserve"> million (in the case of the first such notice) or (ii) thereafter more than [__]</w:t>
      </w:r>
      <w:r>
        <w:rPr>
          <w:rFonts w:ascii="Times New Roman" w:cs="Times New Roman" w:eastAsia="Times New Roman" w:hAnsi="Times New Roman"/>
          <w:sz w:val="26"/>
          <w:szCs w:val="26"/>
          <w:color w:val="auto"/>
          <w:vertAlign w:val="superscript"/>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wp:posOffset>
            </wp:positionV>
            <wp:extent cx="77152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ind w:left="424" w:hanging="424"/>
        <w:spacing w:after="0" w:line="196" w:lineRule="auto"/>
        <w:tabs>
          <w:tab w:leader="none" w:pos="424" w:val="left"/>
        </w:tabs>
        <w:numPr>
          <w:ilvl w:val="0"/>
          <w:numId w:val="22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Include for applicable Dealers.</w:t>
      </w:r>
    </w:p>
    <w:p>
      <w:pPr>
        <w:spacing w:after="0" w:line="2" w:lineRule="exact"/>
        <w:rPr>
          <w:rFonts w:ascii="Times New Roman" w:cs="Times New Roman" w:eastAsia="Times New Roman" w:hAnsi="Times New Roman"/>
          <w:sz w:val="27"/>
          <w:szCs w:val="27"/>
          <w:color w:val="auto"/>
          <w:vertAlign w:val="superscript"/>
        </w:rPr>
      </w:pPr>
    </w:p>
    <w:p>
      <w:pPr>
        <w:jc w:val="both"/>
        <w:ind w:left="424" w:hanging="424"/>
        <w:spacing w:after="0" w:line="214" w:lineRule="auto"/>
        <w:tabs>
          <w:tab w:leader="none" w:pos="424" w:val="left"/>
        </w:tabs>
        <w:numPr>
          <w:ilvl w:val="0"/>
          <w:numId w:val="22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Insert the number of Shares outstanding that would cause Dealer’s current position in the Shares underlying the Transaction (including the number of Shares underlying any additional transaction if the greenshoe is exercised in full, and any Shares under pre-existing call option transactions with Counterparty) to increase by 0.5%. To be based on Dealer with highest Applicable Percentage.</w:t>
      </w:r>
    </w:p>
    <w:p>
      <w:pPr>
        <w:ind w:left="424" w:right="360" w:hanging="424"/>
        <w:spacing w:after="0" w:line="222" w:lineRule="auto"/>
        <w:tabs>
          <w:tab w:leader="none" w:pos="424" w:val="left"/>
        </w:tabs>
        <w:numPr>
          <w:ilvl w:val="0"/>
          <w:numId w:val="22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Insert the number of Shares that, if repurchased, would cause Dealer’s current position in the Shares underlying the Transaction (including the number of Shares underlying any additional transaction if the greenshoe is exercised in full, and any Shares under pre-existing call option transactions with Counterparty) to increase by a further 0.5% from the threshold for the first Repurchase Notice. To be based on Dealer with highest Applicable Percentage.</w:t>
      </w:r>
    </w:p>
    <w:p>
      <w:pPr>
        <w:spacing w:after="0" w:line="13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24"/>
          </w:cols>
          <w:pgMar w:left="436" w:top="270" w:right="439" w:bottom="1440" w:gutter="0" w:footer="0" w:header="0"/>
        </w:sectPr>
      </w:pPr>
    </w:p>
    <w:bookmarkStart w:id="140" w:name="page141"/>
    <w:bookmarkEnd w:id="140"/>
    <w:p>
      <w:pPr>
        <w:ind w:left="58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million less than the number of Shares included in the immediately preceding Repurchase Notice;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respect to any repurchase of Shares pursuant to a plan under Rule 10b5-1 under the Exchange Act (as defined below), Counterparty may elect to satisfy such requirement by promptly giving Dealer written notice of entry into such plan, the maximum number of Shares that may be purchased thereunder and the approximate dates or periods during which such repurchases may occur (with such maximum number of Shares deemed repurchased on the date of such notice for purposes of this Section 9(b)). Counterparty and Parent agree, on a joint and several basis, to indemnify and hold harmless Dealer and its affiliates and their respective officers, directors, employees, affiliates, advisors, agents and controlling persons (each, an “</w:t>
      </w:r>
      <w:r>
        <w:rPr>
          <w:rFonts w:ascii="Times New Roman" w:cs="Times New Roman" w:eastAsia="Times New Roman" w:hAnsi="Times New Roman"/>
          <w:sz w:val="18"/>
          <w:szCs w:val="18"/>
          <w:b w:val="1"/>
          <w:bCs w:val="1"/>
          <w:color w:val="auto"/>
        </w:rPr>
        <w:t>Indemnified Person</w:t>
      </w:r>
      <w:r>
        <w:rPr>
          <w:rFonts w:ascii="Times New Roman" w:cs="Times New Roman" w:eastAsia="Times New Roman" w:hAnsi="Times New Roman"/>
          <w:sz w:val="18"/>
          <w:szCs w:val="18"/>
          <w:color w:val="auto"/>
        </w:rPr>
        <w:t>”) from and against any and all commercially reasonable losses (including losses relating to Dealer’s commercially reasonable hedging activities as a consequence of becoming, or of the risk of becoming, a Section 16 “insider”, including without limitation, any forbearance from hedging activities or cessation of hedging activities and any losses in connection therewith with respect to the Transaction), claims, damages, judgments, liabilities and reasonable and documented out-of-pocket expenses (including reasonable attorney’s fees), joint or several, which an Indemnified Person may become subject to, as a result of Counterparty’s failure to provide Dealer with a Repurchase Notice on the day and in the manner specified in this paragraph, and to reimburse, within 30 days, upon written request, each of such Indemnified Persons for any reasonable legal or other out-of-pocket expenses incurred in connection with investigating, preparing for, providing testimony or other evidence in connection with or defending any of the foregoing. If any suit, action, proceeding (including any governmental or regulatory investigation), claim or demand shall be brought or asserted against the Indemnified Person as a result of Counterparty’s failure to provide Dealer with a Repurchase Notice in accordance with this paragraph, such Indemnified Person shall promptly notify Counterparty in writing, and Counterparty, upon request of the Indemnified Person, shall retain counsel reasonably satisfactory to the Indemnified Person to represent the Indemnified Person and any others Counterparty may designate in such proceeding and shall pay the reasonable fees and expenses of such counsel related to such proceeding. Counterparty and Parent shall not be liable for any settlement of any proceeding contemplated by this paragraph that is effected without their written consent, but if settled with such consent or if there be a final judgment for the plaintiff, Counterparty and Parent jointly and severally agree to indemnify any Indemnified Person from and against any loss or liability by reason of such settlement or judgment. Counterparty and Parent shall not, without the prior written consent of the Indemnified Person, effect any settlement of any pending or threatened proceeding contemplated by this paragraph that is in respect of which any Indemnified Person is or could have been a party and indemnity could have been sought hereunder by such Indemnified Person, unless such settlement includes an unconditional release of such Indemnified Person from all liability on claims that are the subject matter of such proceeding on terms reasonably satisfactory to such Indemnified Person. If the indemnification provided for in this paragraph is unavailable to an Indemnified Person or insufficient in respect of any commercially reasonable losses, claims, damages or liabilities referred to therein, then Counterparty and Parent hereunder, in lieu of indemnifying such Indemnified Person thereunder, agree to jointly and severally contribute to the amount paid or payable by such Indemnified Person as a result of such losses, claims, damages or liabilities. The remedies provided for in this paragraph (b) are not exclusive and shall not limit any rights or remedies which may otherwise be available to any Indemnified Person at law or in equity. The indemnity and contribution agreements contained in this paragraph shall remain operative and in full force and effect regardless of the termination of the Transaction.</w:t>
      </w:r>
    </w:p>
    <w:p>
      <w:pPr>
        <w:spacing w:after="0" w:line="106" w:lineRule="exact"/>
        <w:rPr>
          <w:sz w:val="20"/>
          <w:szCs w:val="20"/>
          <w:color w:val="auto"/>
        </w:rPr>
      </w:pPr>
    </w:p>
    <w:p>
      <w:pPr>
        <w:ind w:left="540" w:hanging="532"/>
        <w:spacing w:after="0" w:line="261" w:lineRule="auto"/>
        <w:tabs>
          <w:tab w:leader="none" w:pos="54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Regulation M</w:t>
      </w:r>
      <w:r>
        <w:rPr>
          <w:rFonts w:ascii="Times New Roman" w:cs="Times New Roman" w:eastAsia="Times New Roman" w:hAnsi="Times New Roman"/>
          <w:sz w:val="18"/>
          <w:szCs w:val="18"/>
          <w:color w:val="auto"/>
        </w:rPr>
        <w:t>. Neither Counterparty nor Parent is on the Trade Date engaged in a distribution, as such term is used in Regulation M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of any securities of Parent, other than a distribution meeting the requirements of the exception set forth in Rules 101(b)(10) and 102(b)(7) of Regulation M. Neither Counterparty nor Parent shall, until the second Scheduled Trading Day immediately following the Trade Date, engage in any such distribution.</w:t>
      </w:r>
    </w:p>
    <w:p>
      <w:pPr>
        <w:spacing w:after="0" w:line="11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560"/>
          </w:cols>
          <w:pgMar w:left="860" w:top="268" w:right="479" w:bottom="1440" w:gutter="0" w:footer="0" w:header="0"/>
        </w:sectPr>
      </w:pPr>
    </w:p>
    <w:bookmarkStart w:id="141" w:name="page142"/>
    <w:bookmarkEnd w:id="141"/>
    <w:p>
      <w:pPr>
        <w:ind w:left="540" w:hanging="532"/>
        <w:spacing w:after="0" w:line="267" w:lineRule="auto"/>
        <w:tabs>
          <w:tab w:leader="none" w:pos="54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Manipulation</w:t>
      </w:r>
      <w:r>
        <w:rPr>
          <w:rFonts w:ascii="Times New Roman" w:cs="Times New Roman" w:eastAsia="Times New Roman" w:hAnsi="Times New Roman"/>
          <w:sz w:val="18"/>
          <w:szCs w:val="18"/>
          <w:color w:val="auto"/>
        </w:rPr>
        <w:t>. Neither Counterparty nor Parent is entering into the Transaction to create actual or apparent trading activity in the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any security convertible into or exchangeable for the Shares) or to raise or depress or otherwise manipulate the price of the Shares (or any security convertible into or exchangeable for the Shares) or otherwise in violation of the Exchange Act.</w:t>
      </w:r>
    </w:p>
    <w:p>
      <w:pPr>
        <w:spacing w:after="0" w:line="78"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Transfer or Assignment</w:t>
      </w:r>
      <w:r>
        <w:rPr>
          <w:rFonts w:ascii="Times New Roman" w:cs="Times New Roman" w:eastAsia="Times New Roman" w:hAnsi="Times New Roman"/>
          <w:sz w:val="18"/>
          <w:szCs w:val="18"/>
          <w:color w:val="auto"/>
        </w:rPr>
        <w:t>.</w:t>
      </w:r>
    </w:p>
    <w:p>
      <w:pPr>
        <w:spacing w:after="0" w:line="132" w:lineRule="exact"/>
        <w:rPr>
          <w:rFonts w:ascii="Times New Roman" w:cs="Times New Roman" w:eastAsia="Times New Roman" w:hAnsi="Times New Roman"/>
          <w:sz w:val="18"/>
          <w:szCs w:val="18"/>
          <w:color w:val="auto"/>
        </w:rPr>
      </w:pPr>
    </w:p>
    <w:p>
      <w:pPr>
        <w:ind w:left="1000" w:right="100" w:hanging="439"/>
        <w:spacing w:after="0" w:line="266" w:lineRule="auto"/>
        <w:tabs>
          <w:tab w:leader="none" w:pos="1000"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shall have the right to transfer or assign its rights and obligations hereunder with respect to all, but not less than all, of the Options hereunder (such Options, the “</w:t>
      </w:r>
      <w:r>
        <w:rPr>
          <w:rFonts w:ascii="Times New Roman" w:cs="Times New Roman" w:eastAsia="Times New Roman" w:hAnsi="Times New Roman"/>
          <w:sz w:val="18"/>
          <w:szCs w:val="18"/>
          <w:b w:val="1"/>
          <w:bCs w:val="1"/>
          <w:color w:val="auto"/>
        </w:rPr>
        <w:t>Transfer Options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transfer or assignment shall be subject to reasonable conditions that Dealer may impose, including but not limited to the following conditions:</w:t>
      </w:r>
    </w:p>
    <w:p>
      <w:pPr>
        <w:spacing w:after="0" w:line="81" w:lineRule="exact"/>
        <w:rPr>
          <w:rFonts w:ascii="Times New Roman" w:cs="Times New Roman" w:eastAsia="Times New Roman" w:hAnsi="Times New Roman"/>
          <w:sz w:val="18"/>
          <w:szCs w:val="18"/>
          <w:color w:val="auto"/>
        </w:rPr>
      </w:pPr>
    </w:p>
    <w:p>
      <w:pPr>
        <w:ind w:left="1540" w:right="460" w:hanging="533"/>
        <w:spacing w:after="0" w:line="312" w:lineRule="auto"/>
        <w:tabs>
          <w:tab w:leader="none" w:pos="1540" w:val="left"/>
        </w:tabs>
        <w:numPr>
          <w:ilvl w:val="2"/>
          <w:numId w:val="2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any Transfer Options, Counterparty and Parent shall not be released from their respective notice and indemnification obligations pursuant to Section 9(b) or any obligations under Section 9(n) or 9(s) of this Confirmation;</w:t>
      </w:r>
    </w:p>
    <w:p>
      <w:pPr>
        <w:spacing w:after="0" w:line="45" w:lineRule="exact"/>
        <w:rPr>
          <w:rFonts w:ascii="Times New Roman" w:cs="Times New Roman" w:eastAsia="Times New Roman" w:hAnsi="Times New Roman"/>
          <w:sz w:val="17"/>
          <w:szCs w:val="17"/>
          <w:color w:val="auto"/>
        </w:rPr>
      </w:pPr>
    </w:p>
    <w:p>
      <w:pPr>
        <w:ind w:left="1540" w:right="280" w:hanging="533"/>
        <w:spacing w:after="0" w:line="282" w:lineRule="auto"/>
        <w:tabs>
          <w:tab w:leader="none" w:pos="1540" w:val="left"/>
        </w:tabs>
        <w:numPr>
          <w:ilvl w:val="2"/>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Transfer Options shall only be transferred or assigned to a third party that is a United States person (as defined in the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540" w:right="40" w:hanging="533"/>
        <w:spacing w:after="0" w:line="258" w:lineRule="auto"/>
        <w:tabs>
          <w:tab w:leader="none" w:pos="1540" w:val="left"/>
        </w:tabs>
        <w:numPr>
          <w:ilvl w:val="2"/>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transfer or assignment shall be effected on terms, including any reasonable undertakings by such third party (including, but not limited to, an undertaking with respect to compliance with applicable securities laws in a manner that, in the reasonable judgment of Dealer, will not expose Dealer to material risks under applicable securities laws) and execution of any documentation and delivery of legal opinions with respect to securities laws and other matters by such third party and Counterparty, as are requested and reasonably satisfactory to Dealer;</w:t>
      </w:r>
    </w:p>
    <w:p>
      <w:pPr>
        <w:spacing w:after="0" w:line="88" w:lineRule="exact"/>
        <w:rPr>
          <w:rFonts w:ascii="Times New Roman" w:cs="Times New Roman" w:eastAsia="Times New Roman" w:hAnsi="Times New Roman"/>
          <w:sz w:val="18"/>
          <w:szCs w:val="18"/>
          <w:color w:val="auto"/>
        </w:rPr>
      </w:pPr>
    </w:p>
    <w:p>
      <w:pPr>
        <w:ind w:left="1540" w:right="20" w:hanging="533"/>
        <w:spacing w:after="0" w:line="266" w:lineRule="auto"/>
        <w:tabs>
          <w:tab w:leader="none" w:pos="1540" w:val="left"/>
        </w:tabs>
        <w:numPr>
          <w:ilvl w:val="2"/>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 will not, as a result of such transfer and assignment, be required to pay the transferee or assignee on any payment date or delivery date an amount under Section 2(d)(i)(4) of the Agreement greater than an amount that Dealer would have been required to pay or deliver to Counterparty in the absence of such transfer and assignment;</w:t>
      </w:r>
    </w:p>
    <w:p>
      <w:pPr>
        <w:spacing w:after="0" w:line="81" w:lineRule="exact"/>
        <w:rPr>
          <w:rFonts w:ascii="Times New Roman" w:cs="Times New Roman" w:eastAsia="Times New Roman" w:hAnsi="Times New Roman"/>
          <w:sz w:val="18"/>
          <w:szCs w:val="18"/>
          <w:color w:val="auto"/>
        </w:rPr>
      </w:pPr>
    </w:p>
    <w:p>
      <w:pPr>
        <w:ind w:left="1540" w:right="80" w:hanging="533"/>
        <w:spacing w:after="0" w:line="261" w:lineRule="auto"/>
        <w:tabs>
          <w:tab w:leader="none" w:pos="1540" w:val="left"/>
        </w:tabs>
        <w:numPr>
          <w:ilvl w:val="2"/>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 will not, as a result of such transfer or assignment, receive from the transferee or assignee on any payment date (after accounting for amounts paid by the transferee or assignee under Section 2(d)(i)(4) of the Agreement as well as any withholding or deduction of Tax from the payment) an amount less than it would have been entitled to receive from Counterparty in the absence of such transfer or assignment;</w:t>
      </w:r>
    </w:p>
    <w:p>
      <w:pPr>
        <w:spacing w:after="0" w:line="85" w:lineRule="exact"/>
        <w:rPr>
          <w:rFonts w:ascii="Times New Roman" w:cs="Times New Roman" w:eastAsia="Times New Roman" w:hAnsi="Times New Roman"/>
          <w:sz w:val="18"/>
          <w:szCs w:val="18"/>
          <w:color w:val="auto"/>
        </w:rPr>
      </w:pPr>
    </w:p>
    <w:p>
      <w:pPr>
        <w:ind w:left="1540" w:right="740" w:hanging="533"/>
        <w:spacing w:after="0" w:line="282" w:lineRule="auto"/>
        <w:tabs>
          <w:tab w:leader="none" w:pos="1540" w:val="left"/>
        </w:tabs>
        <w:numPr>
          <w:ilvl w:val="2"/>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Potential Event of Default or Termination Event will not occur as a result of such transfer and assignment;</w:t>
      </w:r>
    </w:p>
    <w:p>
      <w:pPr>
        <w:spacing w:after="0" w:line="67" w:lineRule="exact"/>
        <w:rPr>
          <w:rFonts w:ascii="Times New Roman" w:cs="Times New Roman" w:eastAsia="Times New Roman" w:hAnsi="Times New Roman"/>
          <w:sz w:val="18"/>
          <w:szCs w:val="18"/>
          <w:color w:val="auto"/>
        </w:rPr>
      </w:pPr>
    </w:p>
    <w:p>
      <w:pPr>
        <w:ind w:left="1540" w:right="440" w:hanging="533"/>
        <w:spacing w:after="0" w:line="266" w:lineRule="auto"/>
        <w:tabs>
          <w:tab w:leader="none" w:pos="1540" w:val="left"/>
        </w:tabs>
        <w:numPr>
          <w:ilvl w:val="2"/>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clause (B), the transferee or assignee shall make such Payee Tax Representations and provide such tax documentation as may be reasonably requested by Dealer to permit Dealer to determine that results described in clauses (D) and (E) will not occur upon or after such transfer and assignment; and</w:t>
      </w:r>
    </w:p>
    <w:p>
      <w:pPr>
        <w:spacing w:after="0" w:line="81" w:lineRule="exact"/>
        <w:rPr>
          <w:rFonts w:ascii="Times New Roman" w:cs="Times New Roman" w:eastAsia="Times New Roman" w:hAnsi="Times New Roman"/>
          <w:sz w:val="18"/>
          <w:szCs w:val="18"/>
          <w:color w:val="auto"/>
        </w:rPr>
      </w:pPr>
    </w:p>
    <w:p>
      <w:pPr>
        <w:ind w:left="1540" w:right="500" w:hanging="533"/>
        <w:spacing w:after="0" w:line="282" w:lineRule="auto"/>
        <w:tabs>
          <w:tab w:leader="none" w:pos="1540" w:val="left"/>
        </w:tabs>
        <w:numPr>
          <w:ilvl w:val="2"/>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shall be responsible for all reasonable costs and expenses, including reasonable counsel fees, incurred by Dealer in connection with such transfer or assignment.</w:t>
      </w:r>
    </w:p>
    <w:p>
      <w:pPr>
        <w:spacing w:after="0" w:line="9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580"/>
          </w:cols>
          <w:pgMar w:left="860" w:top="268" w:right="459" w:bottom="1440" w:gutter="0" w:footer="0" w:header="0"/>
        </w:sectPr>
      </w:pPr>
    </w:p>
    <w:bookmarkStart w:id="142" w:name="page143"/>
    <w:bookmarkEnd w:id="142"/>
    <w:p>
      <w:pPr>
        <w:ind w:left="439" w:hanging="439"/>
        <w:spacing w:after="0" w:line="251" w:lineRule="auto"/>
        <w:tabs>
          <w:tab w:leader="none" w:pos="439"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Dealer may transfer or assign all or any part of its rights or obligations under the Transaction (A) without Counterparty’s or Parent’s consent (but with prompt subsequent (but in no event more than two Exchange Business Days) written notice to Counterparty) to any affiliate or branch of Dealer (1) that has a long-term issuer rating that is equal to or better than Dealer’s credit rating at the time of such transfer or assignment, or (2) whose obligations hereunder will be guaranteed, pursuant to the terms of a customary guarantee in a form used by Dealer generally for similar transactions, by Dealer or Dealer’s ultimate parent, as 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connection with any assignment or transfer pursuant to clause (A)(2) hereof, the guarantee of any guarantor of the relevant transferee’s obligations under the Transaction shall constitute a Credit Support Document under the Agreement), or (B) with Counterparty’s consent (such consent not to be unreasonably withheld or delayed), to any other third party financial institution that is a recognized dealer in the market for U.S. corporate equity derivatives and that has a long-term issuer rating equal to or better than the lesser of (1) the credit rating of Dealer at the time of the transfer or assignment and (2) A-by Standard and Poor’s Financial Services LLC or its successor (“</w:t>
      </w:r>
      <w:r>
        <w:rPr>
          <w:rFonts w:ascii="Times New Roman" w:cs="Times New Roman" w:eastAsia="Times New Roman" w:hAnsi="Times New Roman"/>
          <w:sz w:val="18"/>
          <w:szCs w:val="18"/>
          <w:b w:val="1"/>
          <w:bCs w:val="1"/>
          <w:color w:val="auto"/>
        </w:rPr>
        <w:t>S&amp;P</w:t>
      </w:r>
      <w:r>
        <w:rPr>
          <w:rFonts w:ascii="Times New Roman" w:cs="Times New Roman" w:eastAsia="Times New Roman" w:hAnsi="Times New Roman"/>
          <w:sz w:val="18"/>
          <w:szCs w:val="18"/>
          <w:color w:val="auto"/>
        </w:rPr>
        <w:t>”), or A3 by Moody’s Investor Service, Inc. or its successor (“</w:t>
      </w:r>
      <w:r>
        <w:rPr>
          <w:rFonts w:ascii="Times New Roman" w:cs="Times New Roman" w:eastAsia="Times New Roman" w:hAnsi="Times New Roman"/>
          <w:sz w:val="18"/>
          <w:szCs w:val="18"/>
          <w:b w:val="1"/>
          <w:bCs w:val="1"/>
          <w:color w:val="auto"/>
        </w:rPr>
        <w:t>Moody’s</w:t>
      </w:r>
      <w:r>
        <w:rPr>
          <w:rFonts w:ascii="Times New Roman" w:cs="Times New Roman" w:eastAsia="Times New Roman" w:hAnsi="Times New Roman"/>
          <w:sz w:val="18"/>
          <w:szCs w:val="18"/>
          <w:color w:val="auto"/>
        </w:rPr>
        <w:t xml:space="preserve">”) or, if either S&amp;P or Moody’s ceases to rate such debt, at least an equivalent rating or better by a substitute rating agency mutually agreed by Counterparty and Dealer;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any transfer or assignment described in clause (A) or (B) above, (I) such a transfer or assignment shall not occur unless an Event of Default, Potential Event of Default or Termination Event will not occur as a result of such transfer and assignment; and (II) at the time of such transfer or assignment the transfer or assignment does not result in a deemed exchange by Counterparty within the meaning of Section 1001 of the Code. In addition, (A) the transferee or assignee shall agree that following such transfer or assignment, Counterparty will not (x) receive from the transferee or assignee on any payment date or delivery date (after accounting for amounts paid by the transferee or assignee under Section 2(d)(i)(4) of the Agreement as well as any withholding or deduction of Tax from the payment or delivery) an amount or a number of Shares, as applicable, lower than the amount or the number of Shares, as applicable, that Counterparty would have been entitled to receive from Dealer in the absence of such transfer or assignment or (y) be required to pay such assignee or transferee on any payment date an amount under Section 2(d)(i)(4) of the Agreement greater than an amount that Counterparty would have been required to pay to Dealer in the absence of such transfer or assignment and (B) the transferee or assignee shall make such Payee Tax Representations and shall provide such tax documentation as may be reasonably requested by Counterparty including in order to permit Counterparty to make any necessary determinations pursuant to clause (A) of this sentence and to determine that the statement in clause (II) of the proviso that precedes (A) is correct. If at any time at which (A) the Section 16 Percentage exceeds 8.0%, (B) the Option Equity Percentage exceeds 14.5%, or (C) the Share Amount exceeds the Applicable Share Limit (if any applies) (any such condition described in clauses (A), (B) or (C), an “</w:t>
      </w:r>
      <w:r>
        <w:rPr>
          <w:rFonts w:ascii="Times New Roman" w:cs="Times New Roman" w:eastAsia="Times New Roman" w:hAnsi="Times New Roman"/>
          <w:sz w:val="18"/>
          <w:szCs w:val="18"/>
          <w:b w:val="1"/>
          <w:bCs w:val="1"/>
          <w:color w:val="auto"/>
        </w:rPr>
        <w:t>Excess Ownership Position</w:t>
      </w:r>
      <w:r>
        <w:rPr>
          <w:rFonts w:ascii="Times New Roman" w:cs="Times New Roman" w:eastAsia="Times New Roman" w:hAnsi="Times New Roman"/>
          <w:sz w:val="18"/>
          <w:szCs w:val="18"/>
          <w:color w:val="auto"/>
        </w:rPr>
        <w:t>”), Dealer is unable after using its commercially reasonable efforts to effect a transfer or assignment of Options to a third party on pricing terms reasonably acceptable to Dealer and within a time period reasonably acceptable to Dealer such that no Excess Ownership Position exists (after giving effect to such transfer or assignment and any resulting change in Dealer’s commercially reasonable Hedge Positions), then Dealer may designate any Exchange Business Day as an Early Termination Date with respect to a portion of the Transaction (the “</w:t>
      </w:r>
      <w:r>
        <w:rPr>
          <w:rFonts w:ascii="Times New Roman" w:cs="Times New Roman" w:eastAsia="Times New Roman" w:hAnsi="Times New Roman"/>
          <w:sz w:val="18"/>
          <w:szCs w:val="18"/>
          <w:b w:val="1"/>
          <w:bCs w:val="1"/>
          <w:color w:val="auto"/>
        </w:rPr>
        <w:t>Terminated Portion</w:t>
      </w:r>
      <w:r>
        <w:rPr>
          <w:rFonts w:ascii="Times New Roman" w:cs="Times New Roman" w:eastAsia="Times New Roman" w:hAnsi="Times New Roman"/>
          <w:sz w:val="18"/>
          <w:szCs w:val="18"/>
          <w:color w:val="auto"/>
        </w:rPr>
        <w:t>”), such that following such partial termination no Excess Ownership Position exists (after giving effect to such transfer or assignment and any resulting change in Dealer’s commercially reasonable Hedge Positions). In the event that Dealer so designates an Early Termination Date with respect to a portion of the Transaction, a payment shall be made pursuant to Section 6 of the Agreement as if (1) an Early Termination Date had been designated in respect of a Transaction having terms identical to the Transaction and a Number of Options equal to the number of Options underlying the Terminated Portion, (2) Counterparty were the sole Affected Party with respect to such partial termination and (3) the Terminated Portion were the sole Affected Transaction (and, for the avoidance of doubt, the provisions of Section</w:t>
      </w:r>
    </w:p>
    <w:p>
      <w:pPr>
        <w:spacing w:after="0" w:line="130" w:lineRule="exact"/>
        <w:rPr>
          <w:sz w:val="20"/>
          <w:szCs w:val="20"/>
          <w:color w:val="auto"/>
        </w:rPr>
      </w:pPr>
    </w:p>
    <w:p>
      <w:pPr>
        <w:ind w:left="44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039"/>
          </w:cols>
          <w:pgMar w:left="1421" w:top="270" w:right="439" w:bottom="1440" w:gutter="0" w:footer="0" w:header="0"/>
        </w:sectPr>
      </w:pPr>
    </w:p>
    <w:bookmarkStart w:id="143" w:name="page144"/>
    <w:bookmarkEnd w:id="143"/>
    <w:p>
      <w:pPr>
        <w:ind w:left="100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9(l) shall apply to any amount that is payable by Dealer to Counterparty pursuant to this sentence as if Counterparty was not the Affected Party). The “</w:t>
      </w:r>
      <w:r>
        <w:rPr>
          <w:rFonts w:ascii="Times New Roman" w:cs="Times New Roman" w:eastAsia="Times New Roman" w:hAnsi="Times New Roman"/>
          <w:sz w:val="18"/>
          <w:szCs w:val="18"/>
          <w:b w:val="1"/>
          <w:bCs w:val="1"/>
          <w:color w:val="auto"/>
        </w:rPr>
        <w:t>Section 16 Percentage</w:t>
      </w:r>
      <w:r>
        <w:rPr>
          <w:rFonts w:ascii="Times New Roman" w:cs="Times New Roman" w:eastAsia="Times New Roman" w:hAnsi="Times New Roman"/>
          <w:sz w:val="18"/>
          <w:szCs w:val="18"/>
          <w:color w:val="auto"/>
        </w:rPr>
        <w:t>” as of any day is the fraction, expressed as a percentage, (A) the numerator of which is the number of Shares that Dealer and any of its affiliates or any other person subject to aggregation with Dealer for purposes of the “beneficial ownership” test under Section 13 of the Exchange Act, or any “group” (within the meaning of Section 13 of the Exchange Act) of which Dealer is or may be deemed to be a part beneficially owns (within the meaning of Section 13 of the Exchange Act), without duplication, on such day (or, to the extent that for any reason the equivalent calculation under Section 16 of the Exchange Act and the rules and regulations thereunder results in a higher number, such higher number) and (B) the denominator of which is the number of Shares outstanding on such day. The “</w:t>
      </w:r>
      <w:r>
        <w:rPr>
          <w:rFonts w:ascii="Times New Roman" w:cs="Times New Roman" w:eastAsia="Times New Roman" w:hAnsi="Times New Roman"/>
          <w:sz w:val="18"/>
          <w:szCs w:val="18"/>
          <w:b w:val="1"/>
          <w:bCs w:val="1"/>
          <w:color w:val="auto"/>
        </w:rPr>
        <w:t>Option Equity Percentage</w:t>
      </w:r>
      <w:r>
        <w:rPr>
          <w:rFonts w:ascii="Times New Roman" w:cs="Times New Roman" w:eastAsia="Times New Roman" w:hAnsi="Times New Roman"/>
          <w:sz w:val="18"/>
          <w:szCs w:val="18"/>
          <w:color w:val="auto"/>
        </w:rPr>
        <w:t>” as of any day is the fraction, expressed as a percentage, (A) the numerator of which is the sum of (1) the product of the Number of Options and the Option Entitlement and</w:t>
      </w:r>
    </w:p>
    <w:p>
      <w:pPr>
        <w:spacing w:after="0" w:line="6" w:lineRule="exact"/>
        <w:rPr>
          <w:sz w:val="20"/>
          <w:szCs w:val="20"/>
          <w:color w:val="auto"/>
        </w:rPr>
      </w:pPr>
    </w:p>
    <w:p>
      <w:pPr>
        <w:ind w:left="1000" w:right="40" w:firstLine="7"/>
        <w:spacing w:after="0" w:line="251" w:lineRule="auto"/>
        <w:tabs>
          <w:tab w:leader="none" w:pos="1255" w:val="left"/>
        </w:tabs>
        <w:numPr>
          <w:ilvl w:val="2"/>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Shares underlying any other call option transaction sold by Dealer to Counterparty, and (B) the denominator of which is the number of Shares outstanding. The “</w:t>
      </w:r>
      <w:r>
        <w:rPr>
          <w:rFonts w:ascii="Times New Roman" w:cs="Times New Roman" w:eastAsia="Times New Roman" w:hAnsi="Times New Roman"/>
          <w:sz w:val="18"/>
          <w:szCs w:val="18"/>
          <w:b w:val="1"/>
          <w:bCs w:val="1"/>
          <w:color w:val="auto"/>
        </w:rPr>
        <w:t>Share Amount</w:t>
      </w:r>
      <w:r>
        <w:rPr>
          <w:rFonts w:ascii="Times New Roman" w:cs="Times New Roman" w:eastAsia="Times New Roman" w:hAnsi="Times New Roman"/>
          <w:sz w:val="18"/>
          <w:szCs w:val="18"/>
          <w:color w:val="auto"/>
        </w:rPr>
        <w:t>” as of any day is the number of Shares that Dealer and any person whose ownership position would be aggregated with that of Dealer (Dealer or any such person, a “</w:t>
      </w:r>
      <w:r>
        <w:rPr>
          <w:rFonts w:ascii="Times New Roman" w:cs="Times New Roman" w:eastAsia="Times New Roman" w:hAnsi="Times New Roman"/>
          <w:sz w:val="18"/>
          <w:szCs w:val="18"/>
          <w:b w:val="1"/>
          <w:bCs w:val="1"/>
          <w:color w:val="auto"/>
        </w:rPr>
        <w:t>Dealer Person</w:t>
      </w:r>
      <w:r>
        <w:rPr>
          <w:rFonts w:ascii="Times New Roman" w:cs="Times New Roman" w:eastAsia="Times New Roman" w:hAnsi="Times New Roman"/>
          <w:sz w:val="18"/>
          <w:szCs w:val="18"/>
          <w:color w:val="auto"/>
        </w:rPr>
        <w:t>”) under any law, rule, regulation, regulatory order or organizational documents or contracts of Counterparty or Parent that are, in each case, applicable to ownership of Shares (giving effect to any waivers that may be granted thereunder) (“</w:t>
      </w:r>
      <w:r>
        <w:rPr>
          <w:rFonts w:ascii="Times New Roman" w:cs="Times New Roman" w:eastAsia="Times New Roman" w:hAnsi="Times New Roman"/>
          <w:sz w:val="18"/>
          <w:szCs w:val="18"/>
          <w:b w:val="1"/>
          <w:bCs w:val="1"/>
          <w:color w:val="auto"/>
        </w:rPr>
        <w:t>Applicable Restrictions</w:t>
      </w:r>
      <w:r>
        <w:rPr>
          <w:rFonts w:ascii="Times New Roman" w:cs="Times New Roman" w:eastAsia="Times New Roman" w:hAnsi="Times New Roman"/>
          <w:sz w:val="18"/>
          <w:szCs w:val="18"/>
          <w:color w:val="auto"/>
        </w:rPr>
        <w:t>”), owns, beneficially owns, constructively owns, controls, holds the power to vote or otherwise meets a relevant definition of ownership under any Applicable Restriction, as determined by Dealer in its reasonable discretion. The “</w:t>
      </w:r>
      <w:r>
        <w:rPr>
          <w:rFonts w:ascii="Times New Roman" w:cs="Times New Roman" w:eastAsia="Times New Roman" w:hAnsi="Times New Roman"/>
          <w:sz w:val="18"/>
          <w:szCs w:val="18"/>
          <w:b w:val="1"/>
          <w:bCs w:val="1"/>
          <w:color w:val="auto"/>
        </w:rPr>
        <w:t>Applicable Share Limit</w:t>
      </w:r>
      <w:r>
        <w:rPr>
          <w:rFonts w:ascii="Times New Roman" w:cs="Times New Roman" w:eastAsia="Times New Roman" w:hAnsi="Times New Roman"/>
          <w:sz w:val="18"/>
          <w:szCs w:val="18"/>
          <w:color w:val="auto"/>
        </w:rPr>
        <w:t xml:space="preserve">” means a number of Shares equal to (A) the minimum number of Shares that could give rise to reporting or registration obligations (except for any filing requirements on Form 13F, Schedule 13D or Schedule 13G under the Exchange Act, in each case, as in effect on the Trade Date) or other requirements (including obtaining prior approval from any person or entity) of a Dealer Person, or could result in an adverse effect on a Dealer Person, under any Applicable Restriction as determined by Dealer in its reasonable discretion, </w:t>
      </w:r>
      <w:r>
        <w:rPr>
          <w:rFonts w:ascii="Times New Roman" w:cs="Times New Roman" w:eastAsia="Times New Roman" w:hAnsi="Times New Roman"/>
          <w:sz w:val="18"/>
          <w:szCs w:val="18"/>
          <w:i w:val="1"/>
          <w:iCs w:val="1"/>
          <w:color w:val="auto"/>
        </w:rPr>
        <w:t xml:space="preserve">minus </w:t>
      </w:r>
      <w:r>
        <w:rPr>
          <w:rFonts w:ascii="Times New Roman" w:cs="Times New Roman" w:eastAsia="Times New Roman" w:hAnsi="Times New Roman"/>
          <w:sz w:val="18"/>
          <w:szCs w:val="18"/>
          <w:color w:val="auto"/>
        </w:rPr>
        <w:t>(B) 1% of the number of Shares outstanding.</w:t>
      </w:r>
    </w:p>
    <w:p>
      <w:pPr>
        <w:spacing w:after="0" w:line="97" w:lineRule="exact"/>
        <w:rPr>
          <w:rFonts w:ascii="Times New Roman" w:cs="Times New Roman" w:eastAsia="Times New Roman" w:hAnsi="Times New Roman"/>
          <w:sz w:val="18"/>
          <w:szCs w:val="18"/>
          <w:color w:val="auto"/>
        </w:rPr>
      </w:pPr>
    </w:p>
    <w:p>
      <w:pPr>
        <w:ind w:left="1000" w:right="20" w:hanging="439"/>
        <w:spacing w:after="0" w:line="254" w:lineRule="auto"/>
        <w:tabs>
          <w:tab w:leader="none" w:pos="1000"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in this Confirmation to the contrary requiring or allowing Dealer to purchase, sell, receive or deliver any Shares or other securities, or make or receive any payment in cash, to or from Counterparty, Dealer may designate any of its affiliates (each, a “</w:t>
      </w:r>
      <w:r>
        <w:rPr>
          <w:rFonts w:ascii="Times New Roman" w:cs="Times New Roman" w:eastAsia="Times New Roman" w:hAnsi="Times New Roman"/>
          <w:sz w:val="18"/>
          <w:szCs w:val="18"/>
          <w:b w:val="1"/>
          <w:bCs w:val="1"/>
          <w:color w:val="auto"/>
        </w:rPr>
        <w:t>Dealer Designated Affiliate</w:t>
      </w:r>
      <w:r>
        <w:rPr>
          <w:rFonts w:ascii="Times New Roman" w:cs="Times New Roman" w:eastAsia="Times New Roman" w:hAnsi="Times New Roman"/>
          <w:sz w:val="18"/>
          <w:szCs w:val="18"/>
          <w:color w:val="auto"/>
        </w:rPr>
        <w:t xml:space="preserve">”) to purchase, sell, receive or deliver such Shares or other securities, or to make or receive such payment in cash, and otherwise to perform Dealer’s obligations in respect of the Transaction and any such designee may assume such obligations;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such Dealer Designated Affiliate shall comply with the provisions of the Transaction in the same manner as Dealer would have been required to comply. For the avoidance of doubt, the representations and covenants with respect to Section 9(aa)(i) and 9(aa)(ii) shall remain unaffected by such designation. Dealer shall be discharged of its obligations to Counterparty solely to the extent of any such performance.</w:t>
      </w:r>
    </w:p>
    <w:p>
      <w:pPr>
        <w:spacing w:after="0" w:line="95" w:lineRule="exact"/>
        <w:rPr>
          <w:rFonts w:ascii="Times New Roman" w:cs="Times New Roman" w:eastAsia="Times New Roman" w:hAnsi="Times New Roman"/>
          <w:sz w:val="18"/>
          <w:szCs w:val="18"/>
          <w:color w:val="auto"/>
        </w:rPr>
      </w:pPr>
    </w:p>
    <w:p>
      <w:pPr>
        <w:ind w:left="540" w:right="20" w:hanging="532"/>
        <w:spacing w:after="0" w:line="258" w:lineRule="auto"/>
        <w:tabs>
          <w:tab w:leader="none" w:pos="54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Staggered Settlement</w:t>
      </w:r>
      <w:r>
        <w:rPr>
          <w:rFonts w:ascii="Times New Roman" w:cs="Times New Roman" w:eastAsia="Times New Roman" w:hAnsi="Times New Roman"/>
          <w:sz w:val="18"/>
          <w:szCs w:val="18"/>
          <w:color w:val="auto"/>
        </w:rPr>
        <w:t>. If upon advice of counsel with respect to applicable legal and regulatory requirements, including any requirements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relating to Dealer’s commercially reasonable hedging activities hereunder, Dealer reasonably determines that it would not be practicable or advisable to deliver, or to acquire Shares to deliver, any or all of the Shares to be delivered by Dealer on any Settlement Date for the Transaction, Dealer may, by notice to Counterparty on or prior to any Settlement Date (a “</w:t>
      </w:r>
      <w:r>
        <w:rPr>
          <w:rFonts w:ascii="Times New Roman" w:cs="Times New Roman" w:eastAsia="Times New Roman" w:hAnsi="Times New Roman"/>
          <w:sz w:val="18"/>
          <w:szCs w:val="18"/>
          <w:b w:val="1"/>
          <w:bCs w:val="1"/>
          <w:color w:val="auto"/>
        </w:rPr>
        <w:t>Nominal Settlement Date</w:t>
      </w:r>
      <w:r>
        <w:rPr>
          <w:rFonts w:ascii="Times New Roman" w:cs="Times New Roman" w:eastAsia="Times New Roman" w:hAnsi="Times New Roman"/>
          <w:sz w:val="18"/>
          <w:szCs w:val="18"/>
          <w:color w:val="auto"/>
        </w:rPr>
        <w:t>”), elect to deliver the Shares on two or more dates (each, a “</w:t>
      </w:r>
      <w:r>
        <w:rPr>
          <w:rFonts w:ascii="Times New Roman" w:cs="Times New Roman" w:eastAsia="Times New Roman" w:hAnsi="Times New Roman"/>
          <w:sz w:val="18"/>
          <w:szCs w:val="18"/>
          <w:b w:val="1"/>
          <w:bCs w:val="1"/>
          <w:color w:val="auto"/>
        </w:rPr>
        <w:t>Staggered Settlement Date</w:t>
      </w:r>
      <w:r>
        <w:rPr>
          <w:rFonts w:ascii="Times New Roman" w:cs="Times New Roman" w:eastAsia="Times New Roman" w:hAnsi="Times New Roman"/>
          <w:sz w:val="18"/>
          <w:szCs w:val="18"/>
          <w:color w:val="auto"/>
        </w:rPr>
        <w:t>”) as follows:</w:t>
      </w:r>
    </w:p>
    <w:p>
      <w:pPr>
        <w:spacing w:after="0" w:line="90" w:lineRule="exact"/>
        <w:rPr>
          <w:rFonts w:ascii="Times New Roman" w:cs="Times New Roman" w:eastAsia="Times New Roman" w:hAnsi="Times New Roman"/>
          <w:sz w:val="18"/>
          <w:szCs w:val="18"/>
          <w:color w:val="auto"/>
        </w:rPr>
      </w:pPr>
    </w:p>
    <w:p>
      <w:pPr>
        <w:ind w:left="1000" w:right="180" w:hanging="439"/>
        <w:spacing w:after="0" w:line="282" w:lineRule="auto"/>
        <w:tabs>
          <w:tab w:leader="none" w:pos="1000"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such notice, Dealer will specify to Counterparty the related Staggered Settlement Dates (each of which shall occur on or prior to such Nominal Settlement Date) and the number of Shares that it will deliver on each Staggered Settlement Date;</w:t>
      </w:r>
    </w:p>
    <w:p>
      <w:pPr>
        <w:spacing w:after="0" w:line="9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580"/>
          </w:cols>
          <w:pgMar w:left="860" w:top="270" w:right="459" w:bottom="1440" w:gutter="0" w:footer="0" w:header="0"/>
        </w:sectPr>
      </w:pPr>
    </w:p>
    <w:bookmarkStart w:id="144" w:name="page145"/>
    <w:bookmarkEnd w:id="144"/>
    <w:p>
      <w:pPr>
        <w:ind w:left="1424" w:right="40" w:hanging="439"/>
        <w:spacing w:after="0" w:line="282" w:lineRule="auto"/>
        <w:tabs>
          <w:tab w:leader="none" w:pos="1424"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aggregate number of Shares that Dealer will deliver to Counterparty hereunder on all such Staggered Settlement Dates will equal the number of Shares that Dealer would otherwise be required to deliver on such Nominal Settlement Date; and</w:t>
      </w:r>
    </w:p>
    <w:p>
      <w:pPr>
        <w:spacing w:after="0" w:line="67" w:lineRule="exact"/>
        <w:rPr>
          <w:rFonts w:ascii="Times New Roman" w:cs="Times New Roman" w:eastAsia="Times New Roman" w:hAnsi="Times New Roman"/>
          <w:sz w:val="18"/>
          <w:szCs w:val="18"/>
          <w:color w:val="auto"/>
        </w:rPr>
      </w:pPr>
    </w:p>
    <w:p>
      <w:pPr>
        <w:ind w:left="1424" w:right="260" w:hanging="439"/>
        <w:spacing w:after="0" w:line="261" w:lineRule="auto"/>
        <w:tabs>
          <w:tab w:leader="none" w:pos="1424"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Net Share Settlement terms or the Combination Settlement terms set forth above were to apply on the Nominal Settlement Date, then the Net Share Settlement terms or the Combination Settlement terms, as the case may be, will apply on each Staggered Settlement Date, except that the Shares otherwise deliverable on such Nominal Settlement Date will be allocated among such Staggered Settlement Dates as specified by Dealer in the notice referred to in clause (i) above.</w:t>
      </w:r>
    </w:p>
    <w:p>
      <w:pPr>
        <w:spacing w:after="0" w:line="83"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i w:val="1"/>
          <w:iCs w:val="1"/>
          <w:u w:val="single" w:color="auto"/>
          <w:color w:val="auto"/>
        </w:rPr>
        <w:t>Insert any relevant agency provisions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i w:val="1"/>
          <w:iCs w:val="1"/>
          <w:u w:val="single" w:color="auto"/>
          <w:color w:val="auto"/>
        </w:rPr>
        <w:t>Reserved</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964" w:right="280" w:hanging="532"/>
        <w:spacing w:after="0" w:line="272" w:lineRule="auto"/>
        <w:tabs>
          <w:tab w:leader="none" w:pos="964"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Conduct Rules</w:t>
      </w:r>
      <w:r>
        <w:rPr>
          <w:rFonts w:ascii="Times New Roman" w:cs="Times New Roman" w:eastAsia="Times New Roman" w:hAnsi="Times New Roman"/>
          <w:sz w:val="18"/>
          <w:szCs w:val="18"/>
          <w:color w:val="auto"/>
        </w:rPr>
        <w:t>. Each party acknowledges and agrees to be bound by the Conduct Rules of the Financial Industry Regulatory Authority applicable to transactions in options, and further agrees not to violate the position and exercise limits set forth therein.][</w:t>
      </w:r>
      <w:r>
        <w:rPr>
          <w:rFonts w:ascii="Times New Roman" w:cs="Times New Roman" w:eastAsia="Times New Roman" w:hAnsi="Times New Roman"/>
          <w:sz w:val="18"/>
          <w:szCs w:val="18"/>
          <w:i w:val="1"/>
          <w:iCs w:val="1"/>
          <w:u w:val="single" w:color="auto"/>
          <w:color w:val="auto"/>
        </w:rPr>
        <w:t>Reserved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26"/>
          <w:szCs w:val="26"/>
          <w:color w:val="auto"/>
          <w:vertAlign w:val="superscript"/>
        </w:rPr>
        <w:t>24</w:t>
      </w:r>
    </w:p>
    <w:p>
      <w:pPr>
        <w:spacing w:after="0" w:line="2"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Additional Termination Events</w:t>
      </w:r>
      <w:r>
        <w:rPr>
          <w:rFonts w:ascii="Times New Roman" w:cs="Times New Roman" w:eastAsia="Times New Roman" w:hAnsi="Times New Roman"/>
          <w:sz w:val="18"/>
          <w:szCs w:val="18"/>
          <w:color w:val="auto"/>
        </w:rPr>
        <w:t>.</w:t>
      </w:r>
    </w:p>
    <w:p>
      <w:pPr>
        <w:spacing w:after="0" w:line="110" w:lineRule="exact"/>
        <w:rPr>
          <w:rFonts w:ascii="Times New Roman" w:cs="Times New Roman" w:eastAsia="Times New Roman" w:hAnsi="Times New Roman"/>
          <w:sz w:val="18"/>
          <w:szCs w:val="18"/>
          <w:color w:val="auto"/>
        </w:rPr>
      </w:pPr>
    </w:p>
    <w:p>
      <w:pPr>
        <w:jc w:val="both"/>
        <w:ind w:left="1424" w:hanging="439"/>
        <w:spacing w:after="0" w:line="266" w:lineRule="auto"/>
        <w:tabs>
          <w:tab w:leader="none" w:pos="1424"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Confirmation, upon any Early Exchange in respect of which a “Notice of Exchange” (as such term is defined in the Indenture) that is effective as to Counterparty has been delivered by the relevant exchanging “Holder” (as such term is defined in the Indenture):</w:t>
      </w:r>
    </w:p>
    <w:p>
      <w:pPr>
        <w:spacing w:after="0" w:line="81" w:lineRule="exact"/>
        <w:rPr>
          <w:rFonts w:ascii="Times New Roman" w:cs="Times New Roman" w:eastAsia="Times New Roman" w:hAnsi="Times New Roman"/>
          <w:sz w:val="18"/>
          <w:szCs w:val="18"/>
          <w:color w:val="auto"/>
        </w:rPr>
      </w:pPr>
    </w:p>
    <w:p>
      <w:pPr>
        <w:ind w:left="1964" w:right="120" w:hanging="533"/>
        <w:spacing w:after="0" w:line="261" w:lineRule="auto"/>
        <w:tabs>
          <w:tab w:leader="none" w:pos="1964" w:val="left"/>
        </w:tabs>
        <w:numPr>
          <w:ilvl w:val="2"/>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shall, within five Scheduled Trading Days of the Exchange Date for such Early Exchange, provide written notice (an “</w:t>
      </w:r>
      <w:r>
        <w:rPr>
          <w:rFonts w:ascii="Times New Roman" w:cs="Times New Roman" w:eastAsia="Times New Roman" w:hAnsi="Times New Roman"/>
          <w:sz w:val="18"/>
          <w:szCs w:val="18"/>
          <w:b w:val="1"/>
          <w:bCs w:val="1"/>
          <w:color w:val="auto"/>
        </w:rPr>
        <w:t>Early Exchange Notice</w:t>
      </w:r>
      <w:r>
        <w:rPr>
          <w:rFonts w:ascii="Times New Roman" w:cs="Times New Roman" w:eastAsia="Times New Roman" w:hAnsi="Times New Roman"/>
          <w:sz w:val="18"/>
          <w:szCs w:val="18"/>
          <w:color w:val="auto"/>
        </w:rPr>
        <w:t>”) to Dealer specifying the number of Exchangeable Notes surrendered for exchange on such Exchange Date (such Exchangeable Notes, the “</w:t>
      </w:r>
      <w:r>
        <w:rPr>
          <w:rFonts w:ascii="Times New Roman" w:cs="Times New Roman" w:eastAsia="Times New Roman" w:hAnsi="Times New Roman"/>
          <w:sz w:val="18"/>
          <w:szCs w:val="18"/>
          <w:b w:val="1"/>
          <w:bCs w:val="1"/>
          <w:color w:val="auto"/>
        </w:rPr>
        <w:t>Affected Exchangeable Notes</w:t>
      </w:r>
      <w:r>
        <w:rPr>
          <w:rFonts w:ascii="Times New Roman" w:cs="Times New Roman" w:eastAsia="Times New Roman" w:hAnsi="Times New Roman"/>
          <w:sz w:val="18"/>
          <w:szCs w:val="18"/>
          <w:color w:val="auto"/>
        </w:rPr>
        <w:t>”), and the giving of such Early Exchange Notice shall constitute an Additional Termination Event as provided in this clause (i);</w:t>
      </w:r>
    </w:p>
    <w:p>
      <w:pPr>
        <w:spacing w:after="0" w:line="85" w:lineRule="exact"/>
        <w:rPr>
          <w:rFonts w:ascii="Times New Roman" w:cs="Times New Roman" w:eastAsia="Times New Roman" w:hAnsi="Times New Roman"/>
          <w:sz w:val="18"/>
          <w:szCs w:val="18"/>
          <w:color w:val="auto"/>
        </w:rPr>
      </w:pPr>
    </w:p>
    <w:p>
      <w:pPr>
        <w:ind w:left="1964" w:hanging="533"/>
        <w:spacing w:after="0" w:line="246" w:lineRule="auto"/>
        <w:tabs>
          <w:tab w:leader="none" w:pos="1964" w:val="left"/>
        </w:tabs>
        <w:numPr>
          <w:ilvl w:val="2"/>
          <w:numId w:val="2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receipt of any such Early Exchange Notice, Dealer shall designate an Exchange Business Day as an Early Termination Date (which Exchange Business Day shall be no earlier than one Scheduled Valid Day following the Exchange Date for such Early Exchange) with respect to the portion of the Transaction corresponding to a number of Options (the “</w:t>
      </w:r>
      <w:r>
        <w:rPr>
          <w:rFonts w:ascii="Times New Roman" w:cs="Times New Roman" w:eastAsia="Times New Roman" w:hAnsi="Times New Roman"/>
          <w:sz w:val="17"/>
          <w:szCs w:val="17"/>
          <w:b w:val="1"/>
          <w:bCs w:val="1"/>
          <w:color w:val="auto"/>
        </w:rPr>
        <w:t>Affected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Number of Options</w:t>
      </w:r>
      <w:r>
        <w:rPr>
          <w:rFonts w:ascii="Times New Roman" w:cs="Times New Roman" w:eastAsia="Times New Roman" w:hAnsi="Times New Roman"/>
          <w:sz w:val="17"/>
          <w:szCs w:val="17"/>
          <w:color w:val="auto"/>
        </w:rPr>
        <w:t>”) equal to the lesser of (x) the number of Affected Exchangeable Notes [</w:t>
      </w:r>
      <w:r>
        <w:rPr>
          <w:rFonts w:ascii="Times New Roman" w:cs="Times New Roman" w:eastAsia="Times New Roman" w:hAnsi="Times New Roman"/>
          <w:sz w:val="17"/>
          <w:szCs w:val="17"/>
          <w:i w:val="1"/>
          <w:iCs w:val="1"/>
          <w:color w:val="auto"/>
        </w:rPr>
        <w:t>minus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“Affected Number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Options” (as defined in the Base Call Option Confirmation), if any, that relate to such Affected Exchangeable Notes]</w:t>
      </w:r>
      <w:r>
        <w:rPr>
          <w:rFonts w:ascii="Times New Roman" w:cs="Times New Roman" w:eastAsia="Times New Roman" w:hAnsi="Times New Roman"/>
          <w:sz w:val="25"/>
          <w:szCs w:val="25"/>
          <w:color w:val="auto"/>
          <w:vertAlign w:val="superscript"/>
        </w:rPr>
        <w:t>25</w:t>
      </w:r>
      <w:r>
        <w:rPr>
          <w:rFonts w:ascii="Times New Roman" w:cs="Times New Roman" w:eastAsia="Times New Roman" w:hAnsi="Times New Roman"/>
          <w:sz w:val="17"/>
          <w:szCs w:val="17"/>
          <w:color w:val="auto"/>
        </w:rPr>
        <w:t xml:space="preserve"> and</w:t>
      </w:r>
    </w:p>
    <w:p>
      <w:pPr>
        <w:spacing w:after="0" w:line="3" w:lineRule="exact"/>
        <w:rPr>
          <w:rFonts w:ascii="Times New Roman" w:cs="Times New Roman" w:eastAsia="Times New Roman" w:hAnsi="Times New Roman"/>
          <w:sz w:val="17"/>
          <w:szCs w:val="17"/>
          <w:color w:val="auto"/>
        </w:rPr>
      </w:pPr>
    </w:p>
    <w:p>
      <w:pPr>
        <w:ind w:left="2224" w:hanging="253"/>
        <w:spacing w:after="0"/>
        <w:tabs>
          <w:tab w:leader="none" w:pos="2224" w:val="left"/>
        </w:tabs>
        <w:numPr>
          <w:ilvl w:val="3"/>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Options as of the Exchange Date for such Early Exchange;</w:t>
      </w:r>
    </w:p>
    <w:p>
      <w:pPr>
        <w:spacing w:after="0" w:line="110" w:lineRule="exact"/>
        <w:rPr>
          <w:rFonts w:ascii="Times New Roman" w:cs="Times New Roman" w:eastAsia="Times New Roman" w:hAnsi="Times New Roman"/>
          <w:sz w:val="18"/>
          <w:szCs w:val="18"/>
          <w:color w:val="auto"/>
        </w:rPr>
      </w:pPr>
    </w:p>
    <w:p>
      <w:pPr>
        <w:ind w:left="1964" w:hanging="533"/>
        <w:spacing w:after="0"/>
        <w:tabs>
          <w:tab w:leader="none" w:pos="1964" w:val="left"/>
        </w:tabs>
        <w:numPr>
          <w:ilvl w:val="2"/>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hereunder with respect to such termination shall be calculated pursuant to Section 6 of the Agreement as if</w:t>
      </w:r>
    </w:p>
    <w:p>
      <w:pPr>
        <w:spacing w:after="0" w:line="27" w:lineRule="exact"/>
        <w:rPr>
          <w:rFonts w:ascii="Times New Roman" w:cs="Times New Roman" w:eastAsia="Times New Roman" w:hAnsi="Times New Roman"/>
          <w:sz w:val="18"/>
          <w:szCs w:val="18"/>
          <w:color w:val="auto"/>
        </w:rPr>
      </w:pPr>
    </w:p>
    <w:p>
      <w:pPr>
        <w:ind w:left="1964" w:firstLine="7"/>
        <w:spacing w:after="0" w:line="251" w:lineRule="auto"/>
        <w:tabs>
          <w:tab w:leader="none" w:pos="2219" w:val="left"/>
        </w:tabs>
        <w:numPr>
          <w:ilvl w:val="3"/>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Early Termination Date had been designated in respect of a Transaction having terms identical to the Transaction and a Number of Options equal to the Affected Number of Options, (y) Counterparty were the sole Affected Party with respect to such Additional Termination Event and (z) the terminated portion of the Transaction were the sole Affected Transaction;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amount payable with respect to such termination shall not be greater than (1) the Applicable Percentage,</w:t>
      </w:r>
      <w:r>
        <w:rPr>
          <w:rFonts w:ascii="Times New Roman" w:cs="Times New Roman" w:eastAsia="Times New Roman" w:hAnsi="Times New Roman"/>
          <w:sz w:val="18"/>
          <w:szCs w:val="18"/>
          <w:i w:val="1"/>
          <w:iCs w:val="1"/>
          <w:color w:val="auto"/>
        </w:rPr>
        <w:t xml:space="preserve"> multiplied by </w:t>
      </w:r>
      <w:r>
        <w:rPr>
          <w:rFonts w:ascii="Times New Roman" w:cs="Times New Roman" w:eastAsia="Times New Roman" w:hAnsi="Times New Roman"/>
          <w:sz w:val="18"/>
          <w:szCs w:val="18"/>
          <w:color w:val="auto"/>
        </w:rPr>
        <w:t>(2) the Affected Number of Options,</w:t>
      </w:r>
      <w:r>
        <w:rPr>
          <w:rFonts w:ascii="Times New Roman" w:cs="Times New Roman" w:eastAsia="Times New Roman" w:hAnsi="Times New Roman"/>
          <w:sz w:val="18"/>
          <w:szCs w:val="18"/>
          <w:i w:val="1"/>
          <w:iCs w:val="1"/>
          <w:color w:val="auto"/>
        </w:rPr>
        <w:t xml:space="preserve"> multiplied by </w:t>
      </w:r>
      <w:r>
        <w:rPr>
          <w:rFonts w:ascii="Times New Roman" w:cs="Times New Roman" w:eastAsia="Times New Roman" w:hAnsi="Times New Roman"/>
          <w:sz w:val="18"/>
          <w:szCs w:val="18"/>
          <w:color w:val="auto"/>
        </w:rPr>
        <w:t>(3) (x) the sum of (i) the amount of cash paid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 (as such term is defined in the Indenture) of an Affected Exchangeable Note upon exchange of such Affected Exchangeable Note and (ii) the number of Shares delivered (if any) to the “Holder” (as such term is defined in the Indenture) of an Affected Exchangeable Note upon exchange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92075</wp:posOffset>
            </wp:positionV>
            <wp:extent cx="77152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71" w:lineRule="exact"/>
        <w:rPr>
          <w:sz w:val="20"/>
          <w:szCs w:val="20"/>
          <w:color w:val="auto"/>
        </w:rPr>
      </w:pPr>
    </w:p>
    <w:p>
      <w:pPr>
        <w:ind w:left="424" w:hanging="424"/>
        <w:spacing w:after="0"/>
        <w:tabs>
          <w:tab w:leader="none" w:pos="424" w:val="left"/>
        </w:tabs>
        <w:numPr>
          <w:ilvl w:val="0"/>
          <w:numId w:val="23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Include for applicable Dealers.</w:t>
      </w:r>
    </w:p>
    <w:p>
      <w:pPr>
        <w:spacing w:after="0" w:line="1" w:lineRule="exact"/>
        <w:rPr>
          <w:rFonts w:ascii="Times New Roman" w:cs="Times New Roman" w:eastAsia="Times New Roman" w:hAnsi="Times New Roman"/>
          <w:sz w:val="27"/>
          <w:szCs w:val="27"/>
          <w:color w:val="auto"/>
          <w:vertAlign w:val="superscript"/>
        </w:rPr>
      </w:pPr>
    </w:p>
    <w:p>
      <w:pPr>
        <w:ind w:left="424" w:hanging="424"/>
        <w:spacing w:after="0" w:line="186" w:lineRule="auto"/>
        <w:tabs>
          <w:tab w:leader="none" w:pos="424" w:val="left"/>
        </w:tabs>
        <w:numPr>
          <w:ilvl w:val="0"/>
          <w:numId w:val="23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Include in Additional Call Option Confirmation only.</w:t>
      </w:r>
    </w:p>
    <w:p>
      <w:pPr>
        <w:spacing w:after="0" w:line="1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4"/>
          </w:cols>
          <w:pgMar w:left="436" w:top="270" w:right="459" w:bottom="1440" w:gutter="0" w:footer="0" w:header="0"/>
        </w:sectPr>
      </w:pPr>
    </w:p>
    <w:bookmarkStart w:id="145" w:name="page146"/>
    <w:bookmarkEnd w:id="145"/>
    <w:p>
      <w:pPr>
        <w:ind w:left="1964" w:right="20"/>
        <w:spacing w:after="0" w:line="24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such Affected Exchangeable Note,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the Applicable Limit Price on the settlement date for the exchange of such Affected Exchangeable Note,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(y) the Synthetic Instrument Adjusted Issue Price determined by the Calculation Agent in a commercially reasonable manner based on the date of payment of the amount due with respect to the relevant Affected Number of Options (the “</w:t>
      </w:r>
      <w:r>
        <w:rPr>
          <w:rFonts w:ascii="Times New Roman" w:cs="Times New Roman" w:eastAsia="Times New Roman" w:hAnsi="Times New Roman"/>
          <w:sz w:val="18"/>
          <w:szCs w:val="18"/>
          <w:b w:val="1"/>
          <w:bCs w:val="1"/>
          <w:color w:val="auto"/>
        </w:rPr>
        <w:t>Unwind Date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Synthetic Instrument Adjusted Issue Price</w:t>
      </w:r>
      <w:r>
        <w:rPr>
          <w:rFonts w:ascii="Times New Roman" w:cs="Times New Roman" w:eastAsia="Times New Roman" w:hAnsi="Times New Roman"/>
          <w:sz w:val="18"/>
          <w:szCs w:val="18"/>
          <w:color w:val="auto"/>
        </w:rPr>
        <w:t>” shall mean the amount determined by the Calculation Agent by reference to the table set forth below (the “</w:t>
      </w:r>
      <w:r>
        <w:rPr>
          <w:rFonts w:ascii="Times New Roman" w:cs="Times New Roman" w:eastAsia="Times New Roman" w:hAnsi="Times New Roman"/>
          <w:sz w:val="18"/>
          <w:szCs w:val="18"/>
          <w:b w:val="1"/>
          <w:bCs w:val="1"/>
          <w:color w:val="auto"/>
        </w:rPr>
        <w:t>Synthetic Instrument AIP Table</w:t>
      </w:r>
      <w:r>
        <w:rPr>
          <w:rFonts w:ascii="Times New Roman" w:cs="Times New Roman" w:eastAsia="Times New Roman" w:hAnsi="Times New Roman"/>
          <w:sz w:val="18"/>
          <w:szCs w:val="18"/>
          <w:color w:val="auto"/>
        </w:rPr>
        <w:t>”).</w:t>
      </w:r>
      <w:r>
        <w:rPr>
          <w:rFonts w:ascii="Times New Roman" w:cs="Times New Roman" w:eastAsia="Times New Roman" w:hAnsi="Times New Roman"/>
          <w:sz w:val="26"/>
          <w:szCs w:val="26"/>
          <w:color w:val="auto"/>
          <w:vertAlign w:val="superscript"/>
        </w:rPr>
        <w:t>26</w:t>
      </w:r>
      <w:r>
        <w:rPr>
          <w:rFonts w:ascii="Times New Roman" w:cs="Times New Roman" w:eastAsia="Times New Roman" w:hAnsi="Times New Roman"/>
          <w:sz w:val="18"/>
          <w:szCs w:val="18"/>
          <w:color w:val="auto"/>
        </w:rPr>
        <w:t xml:space="preserve"> If the relevant Unwind Date is not listed in the Synthetic Instrument AIP Table, the amount in the preceding sentence shall be determined by the Calculation Agent by reference to the Synthetic Instrument AIP Table, using a linear interpolation between the lower and higher Synthetic Instrument Adjusted Issue Prices for the Unwind Dates immediately preceding and immediately following the relevant Unwind Date;</w:t>
      </w:r>
    </w:p>
    <w:p>
      <w:pPr>
        <w:spacing w:after="0" w:line="209" w:lineRule="exact"/>
        <w:rPr>
          <w:sz w:val="20"/>
          <w:szCs w:val="20"/>
          <w:color w:val="auto"/>
        </w:rPr>
      </w:pPr>
    </w:p>
    <w:tbl>
      <w:tblPr>
        <w:tblLayout w:type="fixed"/>
        <w:tblInd w:w="3624" w:type="dxa"/>
        <w:tblCellMar>
          <w:top w:w="0" w:type="dxa"/>
          <w:left w:w="0" w:type="dxa"/>
          <w:bottom w:w="0" w:type="dxa"/>
          <w:right w:w="0" w:type="dxa"/>
        </w:tblCellMar>
      </w:tblPr>
      <w:tr>
        <w:trPr>
          <w:trHeight w:val="161"/>
        </w:trPr>
        <w:tc>
          <w:tcPr>
            <w:tcW w:w="3060" w:type="dxa"/>
            <w:vAlign w:val="bottom"/>
            <w:gridSpan w:val="2"/>
            <w:vMerge w:val="restart"/>
          </w:tcPr>
          <w:p>
            <w:pPr>
              <w:jc w:val="center"/>
              <w:ind w:right="1740"/>
              <w:spacing w:after="0"/>
              <w:rPr>
                <w:sz w:val="20"/>
                <w:szCs w:val="20"/>
                <w:color w:val="auto"/>
              </w:rPr>
            </w:pPr>
            <w:r>
              <w:rPr>
                <w:rFonts w:ascii="Times New Roman" w:cs="Times New Roman" w:eastAsia="Times New Roman" w:hAnsi="Times New Roman"/>
                <w:sz w:val="14"/>
                <w:szCs w:val="14"/>
                <w:color w:val="auto"/>
              </w:rPr>
              <w:t>Affected Unwind Date</w:t>
            </w:r>
          </w:p>
        </w:tc>
        <w:tc>
          <w:tcPr>
            <w:tcW w:w="4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Synthetic Instrument Adjusted</w:t>
            </w:r>
          </w:p>
        </w:tc>
        <w:tc>
          <w:tcPr>
            <w:tcW w:w="0" w:type="dxa"/>
            <w:vAlign w:val="bottom"/>
          </w:tcPr>
          <w:p>
            <w:pPr>
              <w:spacing w:after="0"/>
              <w:rPr>
                <w:sz w:val="1"/>
                <w:szCs w:val="1"/>
                <w:color w:val="auto"/>
              </w:rPr>
            </w:pPr>
          </w:p>
        </w:tc>
      </w:tr>
      <w:tr>
        <w:trPr>
          <w:trHeight w:val="191"/>
        </w:trPr>
        <w:tc>
          <w:tcPr>
            <w:tcW w:w="3060" w:type="dxa"/>
            <w:vAlign w:val="bottom"/>
            <w:gridSpan w:val="2"/>
            <w:vMerge w:val="continue"/>
          </w:tcPr>
          <w:p>
            <w:pPr>
              <w:spacing w:after="0"/>
              <w:rPr>
                <w:sz w:val="16"/>
                <w:szCs w:val="16"/>
                <w:color w:val="auto"/>
              </w:rPr>
            </w:pPr>
          </w:p>
        </w:tc>
        <w:tc>
          <w:tcPr>
            <w:tcW w:w="4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Issue Price per Exchangeable Note</w:t>
            </w:r>
          </w:p>
        </w:tc>
        <w:tc>
          <w:tcPr>
            <w:tcW w:w="0" w:type="dxa"/>
            <w:vAlign w:val="bottom"/>
          </w:tcPr>
          <w:p>
            <w:pPr>
              <w:spacing w:after="0"/>
              <w:rPr>
                <w:sz w:val="1"/>
                <w:szCs w:val="1"/>
                <w:color w:val="auto"/>
              </w:rPr>
            </w:pPr>
          </w:p>
        </w:tc>
      </w:tr>
      <w:tr>
        <w:trPr>
          <w:trHeight w:val="185"/>
        </w:trPr>
        <w:tc>
          <w:tcPr>
            <w:tcW w:w="132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color w:val="auto"/>
              </w:rPr>
              <w:t>[__], 2024</w:t>
            </w:r>
          </w:p>
        </w:tc>
        <w:tc>
          <w:tcPr>
            <w:tcW w:w="1740" w:type="dxa"/>
            <w:vAlign w:val="bottom"/>
          </w:tcPr>
          <w:p>
            <w:pPr>
              <w:spacing w:after="0"/>
              <w:rPr>
                <w:sz w:val="16"/>
                <w:szCs w:val="16"/>
                <w:color w:val="auto"/>
              </w:rPr>
            </w:pPr>
          </w:p>
        </w:tc>
        <w:tc>
          <w:tcPr>
            <w:tcW w:w="434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color w:val="auto"/>
              </w:rPr>
              <w:t>USD [_______]</w:t>
            </w:r>
          </w:p>
        </w:tc>
        <w:tc>
          <w:tcPr>
            <w:tcW w:w="0" w:type="dxa"/>
            <w:vAlign w:val="bottom"/>
          </w:tcPr>
          <w:p>
            <w:pPr>
              <w:spacing w:after="0"/>
              <w:rPr>
                <w:sz w:val="1"/>
                <w:szCs w:val="1"/>
                <w:color w:val="auto"/>
              </w:rPr>
            </w:pPr>
          </w:p>
        </w:tc>
      </w:tr>
      <w:tr>
        <w:trPr>
          <w:trHeight w:val="216"/>
        </w:trPr>
        <w:tc>
          <w:tcPr>
            <w:tcW w:w="3060" w:type="dxa"/>
            <w:vAlign w:val="bottom"/>
            <w:gridSpan w:val="2"/>
          </w:tcPr>
          <w:p>
            <w:pPr>
              <w:jc w:val="center"/>
              <w:ind w:right="1740"/>
              <w:spacing w:after="0"/>
              <w:rPr>
                <w:sz w:val="20"/>
                <w:szCs w:val="20"/>
                <w:color w:val="auto"/>
              </w:rPr>
            </w:pPr>
            <w:r>
              <w:rPr>
                <w:rFonts w:ascii="Times New Roman" w:cs="Times New Roman" w:eastAsia="Times New Roman" w:hAnsi="Times New Roman"/>
                <w:sz w:val="18"/>
                <w:szCs w:val="18"/>
                <w:color w:val="auto"/>
                <w:w w:val="99"/>
              </w:rPr>
              <w:t>December 1, 2024</w:t>
            </w:r>
          </w:p>
        </w:tc>
        <w:tc>
          <w:tcPr>
            <w:tcW w:w="4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USD [_______]</w:t>
            </w:r>
          </w:p>
        </w:tc>
        <w:tc>
          <w:tcPr>
            <w:tcW w:w="0" w:type="dxa"/>
            <w:vAlign w:val="bottom"/>
          </w:tcPr>
          <w:p>
            <w:pPr>
              <w:spacing w:after="0"/>
              <w:rPr>
                <w:sz w:val="1"/>
                <w:szCs w:val="1"/>
                <w:color w:val="auto"/>
              </w:rPr>
            </w:pPr>
          </w:p>
        </w:tc>
      </w:tr>
      <w:tr>
        <w:trPr>
          <w:trHeight w:val="216"/>
        </w:trPr>
        <w:tc>
          <w:tcPr>
            <w:tcW w:w="3060" w:type="dxa"/>
            <w:vAlign w:val="bottom"/>
            <w:gridSpan w:val="2"/>
          </w:tcPr>
          <w:p>
            <w:pPr>
              <w:jc w:val="center"/>
              <w:ind w:right="1740"/>
              <w:spacing w:after="0"/>
              <w:rPr>
                <w:sz w:val="20"/>
                <w:szCs w:val="20"/>
                <w:color w:val="auto"/>
              </w:rPr>
            </w:pPr>
            <w:r>
              <w:rPr>
                <w:rFonts w:ascii="Times New Roman" w:cs="Times New Roman" w:eastAsia="Times New Roman" w:hAnsi="Times New Roman"/>
                <w:sz w:val="18"/>
                <w:szCs w:val="18"/>
                <w:color w:val="auto"/>
              </w:rPr>
              <w:t>June 1, 2025</w:t>
            </w:r>
          </w:p>
        </w:tc>
        <w:tc>
          <w:tcPr>
            <w:tcW w:w="4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USD [_______]</w:t>
            </w:r>
          </w:p>
        </w:tc>
        <w:tc>
          <w:tcPr>
            <w:tcW w:w="0" w:type="dxa"/>
            <w:vAlign w:val="bottom"/>
          </w:tcPr>
          <w:p>
            <w:pPr>
              <w:spacing w:after="0"/>
              <w:rPr>
                <w:sz w:val="1"/>
                <w:szCs w:val="1"/>
                <w:color w:val="auto"/>
              </w:rPr>
            </w:pPr>
          </w:p>
        </w:tc>
      </w:tr>
      <w:tr>
        <w:trPr>
          <w:trHeight w:val="216"/>
        </w:trPr>
        <w:tc>
          <w:tcPr>
            <w:tcW w:w="3060" w:type="dxa"/>
            <w:vAlign w:val="bottom"/>
            <w:gridSpan w:val="2"/>
          </w:tcPr>
          <w:p>
            <w:pPr>
              <w:jc w:val="center"/>
              <w:ind w:right="1740"/>
              <w:spacing w:after="0"/>
              <w:rPr>
                <w:sz w:val="20"/>
                <w:szCs w:val="20"/>
                <w:color w:val="auto"/>
              </w:rPr>
            </w:pPr>
            <w:r>
              <w:rPr>
                <w:rFonts w:ascii="Times New Roman" w:cs="Times New Roman" w:eastAsia="Times New Roman" w:hAnsi="Times New Roman"/>
                <w:sz w:val="18"/>
                <w:szCs w:val="18"/>
                <w:color w:val="auto"/>
                <w:w w:val="99"/>
              </w:rPr>
              <w:t>December 1, 2025</w:t>
            </w:r>
          </w:p>
        </w:tc>
        <w:tc>
          <w:tcPr>
            <w:tcW w:w="4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USD [_______]</w:t>
            </w:r>
          </w:p>
        </w:tc>
        <w:tc>
          <w:tcPr>
            <w:tcW w:w="0" w:type="dxa"/>
            <w:vAlign w:val="bottom"/>
          </w:tcPr>
          <w:p>
            <w:pPr>
              <w:spacing w:after="0"/>
              <w:rPr>
                <w:sz w:val="1"/>
                <w:szCs w:val="1"/>
                <w:color w:val="auto"/>
              </w:rPr>
            </w:pPr>
          </w:p>
        </w:tc>
      </w:tr>
      <w:tr>
        <w:trPr>
          <w:trHeight w:val="216"/>
        </w:trPr>
        <w:tc>
          <w:tcPr>
            <w:tcW w:w="3060" w:type="dxa"/>
            <w:vAlign w:val="bottom"/>
            <w:gridSpan w:val="2"/>
          </w:tcPr>
          <w:p>
            <w:pPr>
              <w:jc w:val="center"/>
              <w:ind w:right="1740"/>
              <w:spacing w:after="0"/>
              <w:rPr>
                <w:sz w:val="20"/>
                <w:szCs w:val="20"/>
                <w:color w:val="auto"/>
              </w:rPr>
            </w:pPr>
            <w:r>
              <w:rPr>
                <w:rFonts w:ascii="Times New Roman" w:cs="Times New Roman" w:eastAsia="Times New Roman" w:hAnsi="Times New Roman"/>
                <w:sz w:val="18"/>
                <w:szCs w:val="18"/>
                <w:color w:val="auto"/>
              </w:rPr>
              <w:t>June 1, 2026</w:t>
            </w:r>
          </w:p>
        </w:tc>
        <w:tc>
          <w:tcPr>
            <w:tcW w:w="4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USD [_______]</w:t>
            </w:r>
          </w:p>
        </w:tc>
        <w:tc>
          <w:tcPr>
            <w:tcW w:w="0" w:type="dxa"/>
            <w:vAlign w:val="bottom"/>
          </w:tcPr>
          <w:p>
            <w:pPr>
              <w:spacing w:after="0"/>
              <w:rPr>
                <w:sz w:val="1"/>
                <w:szCs w:val="1"/>
                <w:color w:val="auto"/>
              </w:rPr>
            </w:pPr>
          </w:p>
        </w:tc>
      </w:tr>
      <w:tr>
        <w:trPr>
          <w:trHeight w:val="216"/>
        </w:trPr>
        <w:tc>
          <w:tcPr>
            <w:tcW w:w="3060" w:type="dxa"/>
            <w:vAlign w:val="bottom"/>
            <w:gridSpan w:val="2"/>
          </w:tcPr>
          <w:p>
            <w:pPr>
              <w:jc w:val="center"/>
              <w:ind w:right="1740"/>
              <w:spacing w:after="0"/>
              <w:rPr>
                <w:sz w:val="20"/>
                <w:szCs w:val="20"/>
                <w:color w:val="auto"/>
              </w:rPr>
            </w:pPr>
            <w:r>
              <w:rPr>
                <w:rFonts w:ascii="Times New Roman" w:cs="Times New Roman" w:eastAsia="Times New Roman" w:hAnsi="Times New Roman"/>
                <w:sz w:val="18"/>
                <w:szCs w:val="18"/>
                <w:color w:val="auto"/>
                <w:w w:val="99"/>
              </w:rPr>
              <w:t>December 1, 2026</w:t>
            </w:r>
          </w:p>
        </w:tc>
        <w:tc>
          <w:tcPr>
            <w:tcW w:w="4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USD [_______]</w:t>
            </w:r>
          </w:p>
        </w:tc>
        <w:tc>
          <w:tcPr>
            <w:tcW w:w="0" w:type="dxa"/>
            <w:vAlign w:val="bottom"/>
          </w:tcPr>
          <w:p>
            <w:pPr>
              <w:spacing w:after="0"/>
              <w:rPr>
                <w:sz w:val="1"/>
                <w:szCs w:val="1"/>
                <w:color w:val="auto"/>
              </w:rPr>
            </w:pPr>
          </w:p>
        </w:tc>
      </w:tr>
      <w:tr>
        <w:trPr>
          <w:trHeight w:val="216"/>
        </w:trPr>
        <w:tc>
          <w:tcPr>
            <w:tcW w:w="3060" w:type="dxa"/>
            <w:vAlign w:val="bottom"/>
            <w:gridSpan w:val="2"/>
          </w:tcPr>
          <w:p>
            <w:pPr>
              <w:jc w:val="center"/>
              <w:ind w:right="1740"/>
              <w:spacing w:after="0"/>
              <w:rPr>
                <w:sz w:val="20"/>
                <w:szCs w:val="20"/>
                <w:color w:val="auto"/>
              </w:rPr>
            </w:pPr>
            <w:r>
              <w:rPr>
                <w:rFonts w:ascii="Times New Roman" w:cs="Times New Roman" w:eastAsia="Times New Roman" w:hAnsi="Times New Roman"/>
                <w:sz w:val="18"/>
                <w:szCs w:val="18"/>
                <w:color w:val="auto"/>
              </w:rPr>
              <w:t>June 1, 2027</w:t>
            </w:r>
          </w:p>
        </w:tc>
        <w:tc>
          <w:tcPr>
            <w:tcW w:w="4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USD [_______]</w:t>
            </w:r>
          </w:p>
        </w:tc>
        <w:tc>
          <w:tcPr>
            <w:tcW w:w="0" w:type="dxa"/>
            <w:vAlign w:val="bottom"/>
          </w:tcPr>
          <w:p>
            <w:pPr>
              <w:spacing w:after="0"/>
              <w:rPr>
                <w:sz w:val="1"/>
                <w:szCs w:val="1"/>
                <w:color w:val="auto"/>
              </w:rPr>
            </w:pPr>
          </w:p>
        </w:tc>
      </w:tr>
      <w:tr>
        <w:trPr>
          <w:trHeight w:val="216"/>
        </w:trPr>
        <w:tc>
          <w:tcPr>
            <w:tcW w:w="3060" w:type="dxa"/>
            <w:vAlign w:val="bottom"/>
            <w:gridSpan w:val="2"/>
          </w:tcPr>
          <w:p>
            <w:pPr>
              <w:jc w:val="center"/>
              <w:ind w:right="1740"/>
              <w:spacing w:after="0"/>
              <w:rPr>
                <w:sz w:val="20"/>
                <w:szCs w:val="20"/>
                <w:color w:val="auto"/>
              </w:rPr>
            </w:pPr>
            <w:r>
              <w:rPr>
                <w:rFonts w:ascii="Times New Roman" w:cs="Times New Roman" w:eastAsia="Times New Roman" w:hAnsi="Times New Roman"/>
                <w:sz w:val="18"/>
                <w:szCs w:val="18"/>
                <w:color w:val="auto"/>
                <w:w w:val="99"/>
              </w:rPr>
              <w:t>December 1, 2027</w:t>
            </w:r>
          </w:p>
        </w:tc>
        <w:tc>
          <w:tcPr>
            <w:tcW w:w="4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USD [_______]</w:t>
            </w:r>
          </w:p>
        </w:tc>
        <w:tc>
          <w:tcPr>
            <w:tcW w:w="0" w:type="dxa"/>
            <w:vAlign w:val="bottom"/>
          </w:tcPr>
          <w:p>
            <w:pPr>
              <w:spacing w:after="0"/>
              <w:rPr>
                <w:sz w:val="1"/>
                <w:szCs w:val="1"/>
                <w:color w:val="auto"/>
              </w:rPr>
            </w:pPr>
          </w:p>
        </w:tc>
      </w:tr>
      <w:tr>
        <w:trPr>
          <w:trHeight w:val="216"/>
        </w:trPr>
        <w:tc>
          <w:tcPr>
            <w:tcW w:w="3060" w:type="dxa"/>
            <w:vAlign w:val="bottom"/>
            <w:gridSpan w:val="2"/>
          </w:tcPr>
          <w:p>
            <w:pPr>
              <w:jc w:val="center"/>
              <w:ind w:right="1740"/>
              <w:spacing w:after="0"/>
              <w:rPr>
                <w:sz w:val="20"/>
                <w:szCs w:val="20"/>
                <w:color w:val="auto"/>
              </w:rPr>
            </w:pPr>
            <w:r>
              <w:rPr>
                <w:rFonts w:ascii="Times New Roman" w:cs="Times New Roman" w:eastAsia="Times New Roman" w:hAnsi="Times New Roman"/>
                <w:sz w:val="18"/>
                <w:szCs w:val="18"/>
                <w:color w:val="auto"/>
              </w:rPr>
              <w:t>June 1, 2028</w:t>
            </w:r>
          </w:p>
        </w:tc>
        <w:tc>
          <w:tcPr>
            <w:tcW w:w="4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USD [_______]</w:t>
            </w:r>
          </w:p>
        </w:tc>
        <w:tc>
          <w:tcPr>
            <w:tcW w:w="0" w:type="dxa"/>
            <w:vAlign w:val="bottom"/>
          </w:tcPr>
          <w:p>
            <w:pPr>
              <w:spacing w:after="0"/>
              <w:rPr>
                <w:sz w:val="1"/>
                <w:szCs w:val="1"/>
                <w:color w:val="auto"/>
              </w:rPr>
            </w:pPr>
          </w:p>
        </w:tc>
      </w:tr>
      <w:tr>
        <w:trPr>
          <w:trHeight w:val="216"/>
        </w:trPr>
        <w:tc>
          <w:tcPr>
            <w:tcW w:w="3060" w:type="dxa"/>
            <w:vAlign w:val="bottom"/>
            <w:gridSpan w:val="2"/>
          </w:tcPr>
          <w:p>
            <w:pPr>
              <w:jc w:val="center"/>
              <w:ind w:right="1740"/>
              <w:spacing w:after="0"/>
              <w:rPr>
                <w:sz w:val="20"/>
                <w:szCs w:val="20"/>
                <w:color w:val="auto"/>
              </w:rPr>
            </w:pPr>
            <w:r>
              <w:rPr>
                <w:rFonts w:ascii="Times New Roman" w:cs="Times New Roman" w:eastAsia="Times New Roman" w:hAnsi="Times New Roman"/>
                <w:sz w:val="18"/>
                <w:szCs w:val="18"/>
                <w:color w:val="auto"/>
                <w:w w:val="99"/>
              </w:rPr>
              <w:t>December 1, 2028</w:t>
            </w:r>
          </w:p>
        </w:tc>
        <w:tc>
          <w:tcPr>
            <w:tcW w:w="4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USD [_______]</w:t>
            </w:r>
          </w:p>
        </w:tc>
        <w:tc>
          <w:tcPr>
            <w:tcW w:w="0" w:type="dxa"/>
            <w:vAlign w:val="bottom"/>
          </w:tcPr>
          <w:p>
            <w:pPr>
              <w:spacing w:after="0"/>
              <w:rPr>
                <w:sz w:val="1"/>
                <w:szCs w:val="1"/>
                <w:color w:val="auto"/>
              </w:rPr>
            </w:pPr>
          </w:p>
        </w:tc>
      </w:tr>
      <w:tr>
        <w:trPr>
          <w:trHeight w:val="234"/>
        </w:trPr>
        <w:tc>
          <w:tcPr>
            <w:tcW w:w="3060" w:type="dxa"/>
            <w:vAlign w:val="bottom"/>
            <w:gridSpan w:val="2"/>
          </w:tcPr>
          <w:p>
            <w:pPr>
              <w:jc w:val="center"/>
              <w:ind w:right="1740"/>
              <w:spacing w:after="0"/>
              <w:rPr>
                <w:sz w:val="20"/>
                <w:szCs w:val="20"/>
                <w:color w:val="auto"/>
              </w:rPr>
            </w:pPr>
            <w:r>
              <w:rPr>
                <w:rFonts w:ascii="Times New Roman" w:cs="Times New Roman" w:eastAsia="Times New Roman" w:hAnsi="Times New Roman"/>
                <w:sz w:val="18"/>
                <w:szCs w:val="18"/>
                <w:color w:val="auto"/>
              </w:rPr>
              <w:t>June 1, 2029</w:t>
            </w:r>
          </w:p>
        </w:tc>
        <w:tc>
          <w:tcPr>
            <w:tcW w:w="4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USD 1,000.00</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1964" w:right="120" w:hanging="533"/>
        <w:spacing w:after="0" w:line="277" w:lineRule="auto"/>
        <w:tabs>
          <w:tab w:leader="none" w:pos="1964" w:val="left"/>
        </w:tabs>
        <w:numPr>
          <w:ilvl w:val="1"/>
          <w:numId w:val="2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avoidance of doubt, in determining the amount payable in respect of such Affected Transaction pursuant to Section 6 of the Agreement, the Calculation Agent shall assume that (x) the relevant Early Exchange and any exchanges, adjustments, agreements, payments, deliveries or acquisitions by or on behalf of Counterparty leading thereto had not occurred, (y) no adjustments to the Exchange Rate have occurred pursuant to any Excluded Provision and (z) the corresponding Exchangeable Notes remain outstanding as if the circumstances related to such Early Exchange had not occurred; and</w:t>
      </w:r>
    </w:p>
    <w:p>
      <w:pPr>
        <w:spacing w:after="0" w:line="73" w:lineRule="exact"/>
        <w:rPr>
          <w:rFonts w:ascii="Times New Roman" w:cs="Times New Roman" w:eastAsia="Times New Roman" w:hAnsi="Times New Roman"/>
          <w:sz w:val="17"/>
          <w:szCs w:val="17"/>
          <w:color w:val="auto"/>
        </w:rPr>
      </w:pPr>
    </w:p>
    <w:p>
      <w:pPr>
        <w:ind w:left="1964" w:right="520" w:hanging="533"/>
        <w:spacing w:after="0" w:line="282" w:lineRule="auto"/>
        <w:tabs>
          <w:tab w:leader="none" w:pos="1964"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shall remain in full force and effect, except that, as of the Exchange Date for such Early Exchange, the Number of Options shall be reduced by the Affected Number of Options.</w:t>
      </w:r>
    </w:p>
    <w:p>
      <w:pPr>
        <w:spacing w:after="0" w:line="67" w:lineRule="exact"/>
        <w:rPr>
          <w:rFonts w:ascii="Times New Roman" w:cs="Times New Roman" w:eastAsia="Times New Roman" w:hAnsi="Times New Roman"/>
          <w:sz w:val="18"/>
          <w:szCs w:val="18"/>
          <w:color w:val="auto"/>
        </w:rPr>
      </w:pPr>
    </w:p>
    <w:p>
      <w:pPr>
        <w:ind w:left="1424" w:right="180" w:hanging="439"/>
        <w:spacing w:after="0" w:line="256" w:lineRule="auto"/>
        <w:tabs>
          <w:tab w:leader="none" w:pos="1424"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Confirmation if an event of default with respect to Counterparty occurs under the terms of the Exchangeable Notes as set forth in Section 7.01 of the Indenture, which event of default has resulted in the Exchangeable Notes becoming due and payable under the terms thereof, then such event of default shall constitute an Additional Termination Event applicable to the Transaction and, with respect to such Additional Termination Event, (A) Counterparty shall be deemed to be the sole Affected Party, (B) the Transaction shall be the sole Affected Transaction and (C) Dealer shall be the party entitled to designate an Early Termination Date pursuant to Section 6(b) of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87630</wp:posOffset>
            </wp:positionV>
            <wp:extent cx="77152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424" w:right="320" w:hanging="424"/>
        <w:spacing w:after="0" w:line="220" w:lineRule="auto"/>
        <w:tabs>
          <w:tab w:leader="none" w:pos="424" w:val="left"/>
        </w:tabs>
        <w:numPr>
          <w:ilvl w:val="0"/>
          <w:numId w:val="24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Table to be filled out by calculating the synthetic adjusted issue price of an Exchangeable Note after giving effect to the integration pursuant to Section 1.1275-6 of the United States Treasury Regulations of the Transaction (and other call option transactions with respect to such Exchangeable Note entered into by the Counterparty) and the Exchangeable Note.</w:t>
      </w:r>
    </w:p>
    <w:p>
      <w:pPr>
        <w:spacing w:after="0" w:line="13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24"/>
          </w:cols>
          <w:pgMar w:left="436" w:top="268" w:right="439" w:bottom="1440" w:gutter="0" w:footer="0" w:header="0"/>
        </w:sectPr>
      </w:pPr>
    </w:p>
    <w:bookmarkStart w:id="146" w:name="page147"/>
    <w:bookmarkEnd w:id="146"/>
    <w:p>
      <w:pPr>
        <w:ind w:left="1424" w:hanging="439"/>
        <w:spacing w:after="0"/>
        <w:tabs>
          <w:tab w:leader="none" w:pos="1424"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[Reserved].</w:t>
      </w:r>
    </w:p>
    <w:p>
      <w:pPr>
        <w:spacing w:after="0" w:line="130" w:lineRule="exact"/>
        <w:rPr>
          <w:rFonts w:ascii="Times New Roman" w:cs="Times New Roman" w:eastAsia="Times New Roman" w:hAnsi="Times New Roman"/>
          <w:sz w:val="18"/>
          <w:szCs w:val="18"/>
          <w:color w:val="auto"/>
        </w:rPr>
      </w:pPr>
    </w:p>
    <w:p>
      <w:pPr>
        <w:ind w:left="1424" w:hanging="439"/>
        <w:spacing w:after="0" w:line="256" w:lineRule="auto"/>
        <w:tabs>
          <w:tab w:leader="none" w:pos="1424" w:val="left"/>
        </w:tabs>
        <w:numPr>
          <w:ilvl w:val="0"/>
          <w:numId w:val="2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Within five Scheduled Trading Days promptly following any Repayment Event (as defined below), Counterparty (x) in the case of a Repayment Event resulting from the redemption of any Exchangeable Notes by Counterparty or from the repurchase of any Exchangeable Notes by Counterparty upon the occurrence of a “Fundamental Change” (as defined in the Indenture), shall notify Dealer in writing of such Repayment Event and (y) in the case of a Repayment Event not described in clause (x) above, may notify Dealer of such Repayment Event, in each case, including the number of Exchangeable Notes subject to such Repayment Event (any such notice, a “</w:t>
      </w:r>
      <w:r>
        <w:rPr>
          <w:rFonts w:ascii="Times New Roman" w:cs="Times New Roman" w:eastAsia="Times New Roman" w:hAnsi="Times New Roman"/>
          <w:sz w:val="17"/>
          <w:szCs w:val="17"/>
          <w:b w:val="1"/>
          <w:bCs w:val="1"/>
          <w:color w:val="auto"/>
        </w:rPr>
        <w:t>Repayment Notice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no such Repayment Notice described in clause (y) above shall be effective unless it contains the representation by Counterparty and Parent set forth in Section 8(f) hereunder as of the date of such Repayment Notice [; </w:t>
      </w:r>
      <w:r>
        <w:rPr>
          <w:rFonts w:ascii="Times New Roman" w:cs="Times New Roman" w:eastAsia="Times New Roman" w:hAnsi="Times New Roman"/>
          <w:sz w:val="17"/>
          <w:szCs w:val="17"/>
          <w:i w:val="1"/>
          <w:iCs w:val="1"/>
          <w:color w:val="auto"/>
        </w:rPr>
        <w:t>provided further</w:t>
      </w:r>
      <w:r>
        <w:rPr>
          <w:rFonts w:ascii="Times New Roman" w:cs="Times New Roman" w:eastAsia="Times New Roman" w:hAnsi="Times New Roman"/>
          <w:sz w:val="17"/>
          <w:szCs w:val="17"/>
          <w:color w:val="auto"/>
        </w:rPr>
        <w:t xml:space="preserve"> that any “Repayment Notice” delivered to Dealer pursuant to the Base Call Option Confirmation shall be deemed to be a Repayment Notice pursuant to this Confirmation and the terms of such Repayment Notice shall apply, </w:t>
      </w:r>
      <w:r>
        <w:rPr>
          <w:rFonts w:ascii="Times New Roman" w:cs="Times New Roman" w:eastAsia="Times New Roman" w:hAnsi="Times New Roman"/>
          <w:sz w:val="17"/>
          <w:szCs w:val="17"/>
          <w:i w:val="1"/>
          <w:iCs w:val="1"/>
          <w:color w:val="auto"/>
        </w:rPr>
        <w:t>mutatis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mutandis</w:t>
      </w:r>
      <w:r>
        <w:rPr>
          <w:rFonts w:ascii="Times New Roman" w:cs="Times New Roman" w:eastAsia="Times New Roman" w:hAnsi="Times New Roman"/>
          <w:sz w:val="17"/>
          <w:szCs w:val="17"/>
          <w:color w:val="auto"/>
        </w:rPr>
        <w:t>, to this Confirmation]</w:t>
      </w:r>
      <w:r>
        <w:rPr>
          <w:rFonts w:ascii="Times New Roman" w:cs="Times New Roman" w:eastAsia="Times New Roman" w:hAnsi="Times New Roman"/>
          <w:sz w:val="25"/>
          <w:szCs w:val="25"/>
          <w:color w:val="auto"/>
          <w:vertAlign w:val="superscript"/>
        </w:rPr>
        <w:t>27</w:t>
      </w:r>
      <w:r>
        <w:rPr>
          <w:rFonts w:ascii="Times New Roman" w:cs="Times New Roman" w:eastAsia="Times New Roman" w:hAnsi="Times New Roman"/>
          <w:sz w:val="17"/>
          <w:szCs w:val="17"/>
          <w:color w:val="auto"/>
        </w:rPr>
        <w:t>. Notwithstanding anything to the contrary in this Confirmation, the receipt by Dealer from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Counterparty of any Repayment Notice shall constitute an Additional Termination Event as provided in this Section 9(i)(iv). Upon receipt of any such Repayment Notice, Dealer shall promptly designate an Exchange Business Day following receipt of such Repayment Notice (which in no event shall be earlier than the related settlement date for the relevant Repayment Event) as an Early Termination Date with respect to the portion of the Transaction corresponding to a number of Options (the “</w:t>
      </w:r>
      <w:r>
        <w:rPr>
          <w:rFonts w:ascii="Times New Roman" w:cs="Times New Roman" w:eastAsia="Times New Roman" w:hAnsi="Times New Roman"/>
          <w:sz w:val="17"/>
          <w:szCs w:val="17"/>
          <w:b w:val="1"/>
          <w:bCs w:val="1"/>
          <w:color w:val="auto"/>
        </w:rPr>
        <w:t>Repayment Options</w:t>
      </w:r>
      <w:r>
        <w:rPr>
          <w:rFonts w:ascii="Times New Roman" w:cs="Times New Roman" w:eastAsia="Times New Roman" w:hAnsi="Times New Roman"/>
          <w:sz w:val="17"/>
          <w:szCs w:val="17"/>
          <w:color w:val="auto"/>
        </w:rPr>
        <w:t>”) equal to the lesser of (A) the number of such Exchangeable Notes specified in such Repayment Notice [</w:t>
      </w:r>
      <w:r>
        <w:rPr>
          <w:rFonts w:ascii="Times New Roman" w:cs="Times New Roman" w:eastAsia="Times New Roman" w:hAnsi="Times New Roman"/>
          <w:sz w:val="17"/>
          <w:szCs w:val="17"/>
          <w:i w:val="1"/>
          <w:iCs w:val="1"/>
          <w:color w:val="auto"/>
        </w:rPr>
        <w:t>minus</w:t>
      </w:r>
      <w:r>
        <w:rPr>
          <w:rFonts w:ascii="Times New Roman" w:cs="Times New Roman" w:eastAsia="Times New Roman" w:hAnsi="Times New Roman"/>
          <w:sz w:val="17"/>
          <w:szCs w:val="17"/>
          <w:color w:val="auto"/>
        </w:rPr>
        <w:t xml:space="preserve"> the number of Repayment Options (as defined in the Base Call Option Confirmation), if any, that relate to such Exchangeable Notes (and for purposes of determining whether any Options under this Confirmation or under the Base Call Option Confirmation will be among the Repayment Options hereunder or under, and as defined in, the Base Call Option Confirmation, the Exchangeable Notes specified in such Repayment Notice shall be allocated first to the Base Call Option Confirmation until all Options thereunder are exercised or terminated)]</w:t>
      </w:r>
      <w:r>
        <w:rPr>
          <w:rFonts w:ascii="Times New Roman" w:cs="Times New Roman" w:eastAsia="Times New Roman" w:hAnsi="Times New Roman"/>
          <w:sz w:val="25"/>
          <w:szCs w:val="25"/>
          <w:color w:val="auto"/>
          <w:vertAlign w:val="superscript"/>
        </w:rPr>
        <w:t>28</w:t>
      </w:r>
      <w:r>
        <w:rPr>
          <w:rFonts w:ascii="Times New Roman" w:cs="Times New Roman" w:eastAsia="Times New Roman" w:hAnsi="Times New Roman"/>
          <w:sz w:val="17"/>
          <w:szCs w:val="17"/>
          <w:color w:val="auto"/>
        </w:rPr>
        <w:t xml:space="preserve"> and (B) the Number of Options as of the date Dealer designates such Early Termination Date and, as of such date, the Number of Options shall be reduced by the number of Repayment Options. Any payment hereunder with respect to such termination (the “</w:t>
      </w:r>
      <w:r>
        <w:rPr>
          <w:rFonts w:ascii="Times New Roman" w:cs="Times New Roman" w:eastAsia="Times New Roman" w:hAnsi="Times New Roman"/>
          <w:sz w:val="17"/>
          <w:szCs w:val="17"/>
          <w:b w:val="1"/>
          <w:bCs w:val="1"/>
          <w:color w:val="auto"/>
        </w:rPr>
        <w:t>Repayment Unwind Payment</w:t>
      </w:r>
      <w:r>
        <w:rPr>
          <w:rFonts w:ascii="Times New Roman" w:cs="Times New Roman" w:eastAsia="Times New Roman" w:hAnsi="Times New Roman"/>
          <w:sz w:val="17"/>
          <w:szCs w:val="17"/>
          <w:color w:val="auto"/>
        </w:rPr>
        <w:t>”) shall be calculated pursuant to Section 6 of the Agreement as if (1) an Early Termination Date had been designated in respect of a Transaction having terms identical to the Transaction and a Number of Options equal to the number of Repayment Options, (2) Counterparty were the sole Affected Party with respect to such Additional Termination Event,</w:t>
      </w:r>
    </w:p>
    <w:p>
      <w:pPr>
        <w:spacing w:after="0" w:line="210" w:lineRule="exact"/>
        <w:rPr>
          <w:rFonts w:ascii="Times New Roman" w:cs="Times New Roman" w:eastAsia="Times New Roman" w:hAnsi="Times New Roman"/>
          <w:sz w:val="17"/>
          <w:szCs w:val="17"/>
          <w:color w:val="auto"/>
        </w:rPr>
      </w:pPr>
    </w:p>
    <w:p>
      <w:pPr>
        <w:ind w:left="1424"/>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(3) the terminated portion of the Transaction were the sole Affected Transaction, (4) the relevant Repayment Event and any exchanges, adjustments, agreements, payments, deliveries or acquisitions by or on behalf of Counterparty leading thereto had not occurred, (5) no adjustments to the Exchange Rate have occurred pursuant to any Excluded Provision and (6) the corresponding Exchangeable Notes remain outstanding as if the circumstances related to such Repayment Event had not occurred;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in the event of a Repayment Event pursuant to Section 4.02 of the Indenture or Section 4.03 of the Indenture, the Repayment Unwind Payment shall not be greater than (x) the number of Repayment Options multiplied by (y) the product of (A) the Applicable Percentage and (B) the excess of (I) the amount paid by the Counterparty per Exchangeable Note pursuant to the relevant sections of the Indenture over (II) the Synthetic Instrument Adjusted Issue Price determined by the Calculation Agent in a commercially reasonable manner based on the date of payment of the amount due with respect to the relevant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91440</wp:posOffset>
            </wp:positionV>
            <wp:extent cx="77152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70" w:lineRule="exact"/>
        <w:rPr>
          <w:sz w:val="20"/>
          <w:szCs w:val="20"/>
          <w:color w:val="auto"/>
        </w:rPr>
      </w:pPr>
    </w:p>
    <w:p>
      <w:pPr>
        <w:ind w:left="424" w:hanging="424"/>
        <w:spacing w:after="0"/>
        <w:tabs>
          <w:tab w:leader="none" w:pos="424" w:val="left"/>
        </w:tabs>
        <w:numPr>
          <w:ilvl w:val="0"/>
          <w:numId w:val="24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Include for additional capped call.</w:t>
      </w:r>
    </w:p>
    <w:p>
      <w:pPr>
        <w:spacing w:after="0" w:line="1" w:lineRule="exact"/>
        <w:rPr>
          <w:rFonts w:ascii="Times New Roman" w:cs="Times New Roman" w:eastAsia="Times New Roman" w:hAnsi="Times New Roman"/>
          <w:sz w:val="27"/>
          <w:szCs w:val="27"/>
          <w:color w:val="auto"/>
          <w:vertAlign w:val="superscript"/>
        </w:rPr>
      </w:pPr>
    </w:p>
    <w:p>
      <w:pPr>
        <w:ind w:left="424" w:hanging="424"/>
        <w:spacing w:after="0" w:line="186" w:lineRule="auto"/>
        <w:tabs>
          <w:tab w:leader="none" w:pos="424" w:val="left"/>
        </w:tabs>
        <w:numPr>
          <w:ilvl w:val="0"/>
          <w:numId w:val="24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Include for additional capped call</w:t>
      </w:r>
    </w:p>
    <w:p>
      <w:pPr>
        <w:spacing w:after="0" w:line="13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64"/>
          </w:cols>
          <w:pgMar w:left="436" w:top="270" w:right="499" w:bottom="1440" w:gutter="0" w:footer="0" w:header="0"/>
        </w:sectPr>
      </w:pPr>
    </w:p>
    <w:bookmarkStart w:id="147" w:name="page148"/>
    <w:bookmarkEnd w:id="147"/>
    <w:p>
      <w:pPr>
        <w:ind w:left="100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Repayment Options (the “</w:t>
      </w:r>
      <w:r>
        <w:rPr>
          <w:rFonts w:ascii="Times New Roman" w:cs="Times New Roman" w:eastAsia="Times New Roman" w:hAnsi="Times New Roman"/>
          <w:sz w:val="18"/>
          <w:szCs w:val="18"/>
          <w:b w:val="1"/>
          <w:bCs w:val="1"/>
          <w:color w:val="auto"/>
        </w:rPr>
        <w:t>Repayment Date</w:t>
      </w:r>
      <w:r>
        <w:rPr>
          <w:rFonts w:ascii="Times New Roman" w:cs="Times New Roman" w:eastAsia="Times New Roman" w:hAnsi="Times New Roman"/>
          <w:sz w:val="18"/>
          <w:szCs w:val="18"/>
          <w:color w:val="auto"/>
        </w:rPr>
        <w:t>”). If the relevant Repayment Date is not listed in the Synthetic Instrument AIP Table, the amount in the preceding sentence shall be determined by the Calculation Agent by reference to the Synthetic Instrument AIP Table, using a linear interpolation between the lower and higher Synthetic Instrument Adjusted Issue Prices for the Repayment Dates immediately preceding and immediately following the relevant Repayment Date. “</w:t>
      </w:r>
      <w:r>
        <w:rPr>
          <w:rFonts w:ascii="Times New Roman" w:cs="Times New Roman" w:eastAsia="Times New Roman" w:hAnsi="Times New Roman"/>
          <w:sz w:val="18"/>
          <w:szCs w:val="18"/>
          <w:b w:val="1"/>
          <w:bCs w:val="1"/>
          <w:color w:val="auto"/>
        </w:rPr>
        <w:t>Repayment Event</w:t>
      </w:r>
      <w:r>
        <w:rPr>
          <w:rFonts w:ascii="Times New Roman" w:cs="Times New Roman" w:eastAsia="Times New Roman" w:hAnsi="Times New Roman"/>
          <w:sz w:val="18"/>
          <w:szCs w:val="18"/>
          <w:color w:val="auto"/>
        </w:rPr>
        <w:t>” means that (i) any Exchangeable Notes are repurchased (whether pursuant to Section 4.02 of the Indenture or Section 4.03 of the Indenture or otherwise) by Counterparty or any of its subsidiaries (including in connection with, or as a result of, a “Fundamental Change” (as defined in the Indenture), a redemption, a tender offer, exchange offer or similar transaction or for any other reason), (ii) any Exchangeable Notes are delivered to Counterparty in exchange for delivery of any property or assets of Counterparty or any of its subsidiaries (howsoever described), (iii) any principal of any of the Exchangeable Notes is repaid in full prior to the final maturity date of the Exchangeable Notes (other than upon acceleration of the Exchangeable Notes pursuant to Section 7.02 of the Indenture), or (iv) any Exchangeable Notes are exchanged by or for the benefit of the “Holders” (as such term is defined in the Indenture) thereof for any other securities of Counterparty or any of its affiliates (or any other property, or any combination thereof) pursuant to any exchange offer or similar transaction. For the avoidance of doubt, any exchange of Exchangeable Notes (whether into cash, Shares, a combination of cash and Shares or any “Reference Property” (as defined in the Indenture)) pursuant to the terms of the Indenture shall not constitute a Repayment Event. Counterparty acknowledges and agrees that if an Additional Termination Event has occurred under this Section 9(i)(iv), then any related Exchangeable Notes subject to a Repayment Event will be deemed to be cancelled and disregarded and no longer outstanding for all purposes hereunder.</w:t>
      </w:r>
    </w:p>
    <w:p>
      <w:pPr>
        <w:spacing w:after="0" w:line="101" w:lineRule="exact"/>
        <w:rPr>
          <w:sz w:val="20"/>
          <w:szCs w:val="20"/>
          <w:color w:val="auto"/>
        </w:rPr>
      </w:pPr>
    </w:p>
    <w:p>
      <w:pPr>
        <w:ind w:left="540" w:hanging="532"/>
        <w:spacing w:after="0"/>
        <w:tabs>
          <w:tab w:leader="none" w:pos="54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Amendments to Equity Definitions; Agreement</w:t>
      </w:r>
      <w:r>
        <w:rPr>
          <w:rFonts w:ascii="Times New Roman" w:cs="Times New Roman" w:eastAsia="Times New Roman" w:hAnsi="Times New Roman"/>
          <w:sz w:val="18"/>
          <w:szCs w:val="18"/>
          <w:color w:val="auto"/>
        </w:rPr>
        <w:t>.</w:t>
      </w:r>
    </w:p>
    <w:p>
      <w:pPr>
        <w:spacing w:after="0" w:line="132" w:lineRule="exact"/>
        <w:rPr>
          <w:rFonts w:ascii="Times New Roman" w:cs="Times New Roman" w:eastAsia="Times New Roman" w:hAnsi="Times New Roman"/>
          <w:sz w:val="18"/>
          <w:szCs w:val="18"/>
          <w:color w:val="auto"/>
        </w:rPr>
      </w:pPr>
    </w:p>
    <w:p>
      <w:pPr>
        <w:ind w:left="1000" w:right="180" w:hanging="439"/>
        <w:spacing w:after="0" w:line="282" w:lineRule="auto"/>
        <w:tabs>
          <w:tab w:leader="none" w:pos="1000"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11.2(e)(vii) of the Equity Definitions is hereby replaced in its entirety with the words “any other corporate event involving the Issuer that has a material effect on the theoretical value of the Shares or the Options.”</w:t>
      </w:r>
    </w:p>
    <w:p>
      <w:pPr>
        <w:spacing w:after="0" w:line="67" w:lineRule="exact"/>
        <w:rPr>
          <w:rFonts w:ascii="Times New Roman" w:cs="Times New Roman" w:eastAsia="Times New Roman" w:hAnsi="Times New Roman"/>
          <w:sz w:val="18"/>
          <w:szCs w:val="18"/>
          <w:color w:val="auto"/>
        </w:rPr>
      </w:pPr>
    </w:p>
    <w:p>
      <w:pPr>
        <w:ind w:left="1000" w:right="120" w:hanging="439"/>
        <w:spacing w:after="0" w:line="261" w:lineRule="auto"/>
        <w:tabs>
          <w:tab w:leader="none" w:pos="1000"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12.6(a)(ii) of the Equity Definitions is hereby amended by (1) inserting “(1)” immediately following the word “means” in the first line thereof and (2) inserting immediately prior to the semi-colon at the end of subsection (B) thereof the following words: “or (2) the occurrence of any of the events specified in Section 5(a)(vii)(1) through (9) of the ISDA Master Agreement with respect to that Issuer”.</w:t>
      </w:r>
    </w:p>
    <w:p>
      <w:pPr>
        <w:spacing w:after="0" w:line="85" w:lineRule="exact"/>
        <w:rPr>
          <w:rFonts w:ascii="Times New Roman" w:cs="Times New Roman" w:eastAsia="Times New Roman" w:hAnsi="Times New Roman"/>
          <w:sz w:val="18"/>
          <w:szCs w:val="18"/>
          <w:color w:val="auto"/>
        </w:rPr>
      </w:pPr>
    </w:p>
    <w:p>
      <w:pPr>
        <w:ind w:left="1000" w:right="40" w:hanging="439"/>
        <w:spacing w:after="0" w:line="261" w:lineRule="auto"/>
        <w:tabs>
          <w:tab w:leader="none" w:pos="1000"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12.9(b)(i) of the Equity Definitions is hereby amended by replacing “either party may elect” with “Dealer may elect” or, if Counterparty represents to Dealer in writing at the time of such election that (i) it is not aware of any material nonpublic information with respect to Counterparty or the Shares and (ii) it is not making such election as part of a plan or scheme to evade compliance with the U.S. federal securities laws, Counterparty may elect”.</w:t>
      </w:r>
    </w:p>
    <w:p>
      <w:pPr>
        <w:spacing w:after="0" w:line="85" w:lineRule="exact"/>
        <w:rPr>
          <w:rFonts w:ascii="Times New Roman" w:cs="Times New Roman" w:eastAsia="Times New Roman" w:hAnsi="Times New Roman"/>
          <w:sz w:val="18"/>
          <w:szCs w:val="18"/>
          <w:color w:val="auto"/>
        </w:rPr>
      </w:pPr>
    </w:p>
    <w:p>
      <w:pPr>
        <w:ind w:left="1000" w:right="180" w:hanging="439"/>
        <w:spacing w:after="0" w:line="261" w:lineRule="auto"/>
        <w:tabs>
          <w:tab w:leader="none" w:pos="1000"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12.9(b)(vi) of the Equity Definitions is hereby amended by replacing subsection (C) with: “if each of Counterparty and Issuer represents to Dealer in writing at the time of such election that (i) it is not aware of any material nonpublic information with respect to Issuer or the Shares and (ii) it is not making such election as part of a plan or scheme to evade compliance with the U.S. federal securities laws, elect to terminate the Transaction as of that second Scheduled Trading Day”.</w:t>
      </w:r>
    </w:p>
    <w:p>
      <w:pPr>
        <w:spacing w:after="0" w:line="85" w:lineRule="exact"/>
        <w:rPr>
          <w:rFonts w:ascii="Times New Roman" w:cs="Times New Roman" w:eastAsia="Times New Roman" w:hAnsi="Times New Roman"/>
          <w:sz w:val="18"/>
          <w:szCs w:val="18"/>
          <w:color w:val="auto"/>
        </w:rPr>
      </w:pPr>
    </w:p>
    <w:p>
      <w:pPr>
        <w:jc w:val="both"/>
        <w:ind w:left="1000" w:right="80" w:hanging="439"/>
        <w:spacing w:after="0" w:line="266" w:lineRule="auto"/>
        <w:tabs>
          <w:tab w:leader="none" w:pos="1000"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12(a) of the Agreement is hereby amended by (1) deleting the phrase “or email” in the third line thereof and (2) deleting the phrase “or that communication is delivered (or attempted) or received, as applicable, after the close of business on a Local Business Day” in the final clause thereof.</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580"/>
          </w:cols>
          <w:pgMar w:left="860" w:top="266" w:right="459" w:bottom="1440" w:gutter="0" w:footer="0" w:header="0"/>
        </w:sectPr>
      </w:pPr>
    </w:p>
    <w:bookmarkStart w:id="148" w:name="page149"/>
    <w:bookmarkEnd w:id="148"/>
    <w:p>
      <w:pPr>
        <w:ind w:left="532" w:right="140" w:hanging="532"/>
        <w:spacing w:after="0" w:line="284" w:lineRule="auto"/>
        <w:tabs>
          <w:tab w:leader="none" w:pos="532"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Setoff</w:t>
      </w:r>
      <w:r>
        <w:rPr>
          <w:rFonts w:ascii="Times New Roman" w:cs="Times New Roman" w:eastAsia="Times New Roman" w:hAnsi="Times New Roman"/>
          <w:sz w:val="18"/>
          <w:szCs w:val="18"/>
          <w:color w:val="auto"/>
        </w:rPr>
        <w:t>. Each party waives any and all rights it may have to set off obligations arising under the Agreement and the Transaction against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obligations between the parties, whether arising under any other agreement, applicable law or otherwise.</w:t>
      </w:r>
    </w:p>
    <w:p>
      <w:pPr>
        <w:spacing w:after="0" w:line="63" w:lineRule="exact"/>
        <w:rPr>
          <w:rFonts w:ascii="Times New Roman" w:cs="Times New Roman" w:eastAsia="Times New Roman" w:hAnsi="Times New Roman"/>
          <w:sz w:val="18"/>
          <w:szCs w:val="18"/>
          <w:color w:val="auto"/>
        </w:rPr>
      </w:pPr>
    </w:p>
    <w:p>
      <w:pPr>
        <w:ind w:left="532" w:hanging="532"/>
        <w:spacing w:after="0" w:line="254" w:lineRule="auto"/>
        <w:tabs>
          <w:tab w:leader="none" w:pos="532"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Alternative Calculations and Payment on Early Termination and on Certain Extraordinary Events</w:t>
      </w:r>
      <w:r>
        <w:rPr>
          <w:rFonts w:ascii="Times New Roman" w:cs="Times New Roman" w:eastAsia="Times New Roman" w:hAnsi="Times New Roman"/>
          <w:sz w:val="18"/>
          <w:szCs w:val="18"/>
          <w:color w:val="auto"/>
        </w:rPr>
        <w:t>. If (a) an Early Termination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(whether as a result of an Event of Default or a Termination Event) occurs or is designated with respect to the Transaction or (b) the Transaction is cancelled or terminated upon the occurrence of an Extraordinary Event (except as a result of (i) a Nationalization, Insolvency or Merger Event in which the consideration to be paid to holders of Shares consists solely of cash, (ii) an Announcement Event, Merger Event or Tender Offer that is within Counterparty’s control, or (iii) an Event of Default in which Counterparty is the Defaulting Party or a Termination Event in which Counterparty is the Affected Party other than an Event of Default of the type described in</w:t>
      </w:r>
    </w:p>
    <w:p>
      <w:pPr>
        <w:spacing w:after="0" w:line="1" w:lineRule="exact"/>
        <w:rPr>
          <w:rFonts w:ascii="Times New Roman" w:cs="Times New Roman" w:eastAsia="Times New Roman" w:hAnsi="Times New Roman"/>
          <w:sz w:val="18"/>
          <w:szCs w:val="18"/>
          <w:color w:val="auto"/>
        </w:rPr>
      </w:pPr>
    </w:p>
    <w:p>
      <w:pPr>
        <w:ind w:left="532" w:right="4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5(a)(iii), (v), (vi), (vii) or (viii) of the Agreement or a Termination Event of the type described in Section 5(b) of the Agreement, in each case that resulted from an event or events outside Counterparty’s control), and if Dealer would owe any amount to Counterparty pursuant to Section 6(d)(ii) of the Agreement or any Cancellation Amount pursuant to Article 12 of the Equity Definitions (any such amount, a “</w:t>
      </w:r>
      <w:r>
        <w:rPr>
          <w:rFonts w:ascii="Times New Roman" w:cs="Times New Roman" w:eastAsia="Times New Roman" w:hAnsi="Times New Roman"/>
          <w:sz w:val="18"/>
          <w:szCs w:val="18"/>
          <w:b w:val="1"/>
          <w:bCs w:val="1"/>
          <w:color w:val="auto"/>
        </w:rPr>
        <w:t>Payment Obligation</w:t>
      </w:r>
      <w:r>
        <w:rPr>
          <w:rFonts w:ascii="Times New Roman" w:cs="Times New Roman" w:eastAsia="Times New Roman" w:hAnsi="Times New Roman"/>
          <w:sz w:val="18"/>
          <w:szCs w:val="18"/>
          <w:color w:val="auto"/>
        </w:rPr>
        <w:t>”), then Dealer shall satisfy the Payment Obligation by the Share Termination Alternative (as defined below), unless (a) Counterparty gives irrevocable telephonic notice to Dealer, confirmed in writing within one Scheduled Trading Day, no later than 12:00 p.m. (New York City time) on the date of the Announcement Event, Merger Date, Tender Offer Date, Announcement Date (in the case of a Nationalization, Insolvency or Delisting), Early Termination Date or date of cancellation, as applicable, of its election that the Share Termination Alternative shall not apply, (b) Counterparty and Parent each remakes the representation set forth in Section 8(f) as of the date of such election and (c) Dealer agrees, in its commercially reasonable discretion, to such election, in which case the provisions of Section 12.7 or Section 12.9 of the Equity Definitions, or the provisions of Section 6(d)(ii) of the Agreement, as the case may be, shall apply.</w:t>
      </w:r>
    </w:p>
    <w:p>
      <w:pPr>
        <w:sectPr>
          <w:pgSz w:w="11900" w:h="16838" w:orient="portrait"/>
          <w:cols w:equalWidth="0" w:num="1">
            <w:col w:w="10572"/>
          </w:cols>
          <w:pgMar w:left="868" w:top="268" w:right="459" w:bottom="1440" w:gutter="0" w:footer="0" w:header="0"/>
        </w:sectPr>
      </w:pPr>
    </w:p>
    <w:p>
      <w:pPr>
        <w:spacing w:after="0" w:line="219" w:lineRule="exact"/>
        <w:rPr>
          <w:sz w:val="20"/>
          <w:szCs w:val="20"/>
          <w:color w:val="auto"/>
        </w:rPr>
      </w:pPr>
    </w:p>
    <w:p>
      <w:pPr>
        <w:ind w:left="572"/>
        <w:spacing w:after="0"/>
        <w:rPr>
          <w:sz w:val="20"/>
          <w:szCs w:val="20"/>
          <w:color w:val="auto"/>
        </w:rPr>
      </w:pPr>
      <w:r>
        <w:rPr>
          <w:rFonts w:ascii="Times New Roman" w:cs="Times New Roman" w:eastAsia="Times New Roman" w:hAnsi="Times New Roman"/>
          <w:sz w:val="17"/>
          <w:szCs w:val="17"/>
          <w:color w:val="auto"/>
        </w:rPr>
        <w:t>Share Termination Alternative:</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If applicable, Dealer shall deliver to Counterparty the Share Termination Delivery Property on, or within a commercially reasonable period of time after, the date when the relevant Payment Obligation would otherwise be due pursuant to Section 12.7 or 12.9 of the Equity Definitions or Section 6(d)(ii) and 6(e) of the Agreement, as applicable, in satisfaction of such Payment Obligation in the manner reasonably requested by Counterparty free of payment.</w:t>
      </w:r>
    </w:p>
    <w:p>
      <w:pPr>
        <w:spacing w:after="0" w:line="79" w:lineRule="exact"/>
        <w:rPr>
          <w:sz w:val="20"/>
          <w:szCs w:val="20"/>
          <w:color w:val="auto"/>
        </w:rPr>
      </w:pPr>
    </w:p>
    <w:p>
      <w:pPr>
        <w:sectPr>
          <w:pgSz w:w="11900" w:h="16838" w:orient="portrait"/>
          <w:cols w:equalWidth="0" w:num="2">
            <w:col w:w="3152" w:space="720"/>
            <w:col w:w="6700"/>
          </w:cols>
          <w:pgMar w:left="868" w:top="268" w:right="459" w:bottom="1440" w:gutter="0" w:footer="0" w:header="0"/>
          <w:type w:val="continuous"/>
        </w:sectPr>
      </w:pPr>
    </w:p>
    <w:p>
      <w:pPr>
        <w:jc w:val="center"/>
        <w:ind w:left="572"/>
        <w:spacing w:after="0"/>
        <w:rPr>
          <w:sz w:val="20"/>
          <w:szCs w:val="20"/>
          <w:color w:val="auto"/>
        </w:rPr>
      </w:pPr>
      <w:r>
        <w:rPr>
          <w:rFonts w:ascii="Times New Roman" w:cs="Times New Roman" w:eastAsia="Times New Roman" w:hAnsi="Times New Roman"/>
          <w:sz w:val="17"/>
          <w:szCs w:val="17"/>
          <w:color w:val="auto"/>
        </w:rPr>
        <w:t>Share Termination Delivery Property:</w:t>
      </w:r>
    </w:p>
    <w:p>
      <w:pPr>
        <w:spacing w:after="0" w:line="20" w:lineRule="exact"/>
        <w:rPr>
          <w:sz w:val="20"/>
          <w:szCs w:val="20"/>
          <w:color w:val="auto"/>
        </w:rPr>
      </w:pPr>
      <w:r>
        <w:rPr>
          <w:sz w:val="20"/>
          <w:szCs w:val="20"/>
          <w:color w:val="auto"/>
        </w:rPr>
        <w:br w:type="column"/>
      </w:r>
    </w:p>
    <w:p>
      <w:pPr>
        <w:ind w:right="240"/>
        <w:spacing w:after="0" w:line="277" w:lineRule="auto"/>
        <w:rPr>
          <w:sz w:val="20"/>
          <w:szCs w:val="20"/>
          <w:color w:val="auto"/>
        </w:rPr>
      </w:pPr>
      <w:r>
        <w:rPr>
          <w:rFonts w:ascii="Times New Roman" w:cs="Times New Roman" w:eastAsia="Times New Roman" w:hAnsi="Times New Roman"/>
          <w:sz w:val="17"/>
          <w:szCs w:val="17"/>
          <w:color w:val="auto"/>
        </w:rPr>
        <w:t>A number of Share Termination Delivery Units, as calculated by the Calculation Agent, equal to the Payment Obligation divided by the Share Termination Unit Price. The Calculation Agent shall adjust the Share Termination Delivery Property by replacing any fractional portion of a security therein with an amount of cash equal to the value of such fractional security based on the values used to calculate the Share Termination Unit Price.</w:t>
      </w:r>
    </w:p>
    <w:p>
      <w:pPr>
        <w:spacing w:after="0" w:line="60" w:lineRule="exact"/>
        <w:rPr>
          <w:sz w:val="20"/>
          <w:szCs w:val="20"/>
          <w:color w:val="auto"/>
        </w:rPr>
      </w:pPr>
    </w:p>
    <w:p>
      <w:pPr>
        <w:sectPr>
          <w:pgSz w:w="11900" w:h="16838" w:orient="portrait"/>
          <w:cols w:equalWidth="0" w:num="2">
            <w:col w:w="3292" w:space="580"/>
            <w:col w:w="6700"/>
          </w:cols>
          <w:pgMar w:left="868" w:top="268" w:right="459" w:bottom="1440" w:gutter="0" w:footer="0" w:header="0"/>
          <w:type w:val="continuous"/>
        </w:sectPr>
      </w:pPr>
    </w:p>
    <w:p>
      <w:pPr>
        <w:ind w:left="572"/>
        <w:spacing w:after="0"/>
        <w:rPr>
          <w:sz w:val="20"/>
          <w:szCs w:val="20"/>
          <w:color w:val="auto"/>
        </w:rPr>
      </w:pPr>
      <w:r>
        <w:rPr>
          <w:rFonts w:ascii="Times New Roman" w:cs="Times New Roman" w:eastAsia="Times New Roman" w:hAnsi="Times New Roman"/>
          <w:sz w:val="17"/>
          <w:szCs w:val="17"/>
          <w:color w:val="auto"/>
        </w:rPr>
        <w:t>Share Termination Unit Price:</w:t>
      </w:r>
    </w:p>
    <w:p>
      <w:pPr>
        <w:spacing w:after="0" w:line="20" w:lineRule="exact"/>
        <w:rPr>
          <w:sz w:val="20"/>
          <w:szCs w:val="20"/>
          <w:color w:val="auto"/>
        </w:rPr>
      </w:pPr>
      <w:r>
        <w:rPr>
          <w:sz w:val="20"/>
          <w:szCs w:val="20"/>
          <w:color w:val="auto"/>
        </w:rPr>
        <w:br w:type="column"/>
      </w:r>
    </w:p>
    <w:p>
      <w:pPr>
        <w:ind w:right="60"/>
        <w:spacing w:after="0" w:line="256" w:lineRule="auto"/>
        <w:rPr>
          <w:sz w:val="20"/>
          <w:szCs w:val="20"/>
          <w:color w:val="auto"/>
        </w:rPr>
      </w:pPr>
      <w:r>
        <w:rPr>
          <w:rFonts w:ascii="Times New Roman" w:cs="Times New Roman" w:eastAsia="Times New Roman" w:hAnsi="Times New Roman"/>
          <w:sz w:val="18"/>
          <w:szCs w:val="18"/>
          <w:color w:val="auto"/>
        </w:rPr>
        <w:t>The value of property contained in one Share Termination Delivery Unit, as determined by the Calculation Agent in its discretion by commercially reasonable means and notified by the Calculation Agent to Dealer at the time of notification of the Payment Obligation. For the avoidance of doubt, the parties agree that in determining the Share Termination Delivery Unit Price the Calculation Agent may consider the purchase price paid in connection with the purchase of Share Termination Delivery Property.</w:t>
      </w:r>
    </w:p>
    <w:p>
      <w:pPr>
        <w:spacing w:after="0" w:line="120" w:lineRule="exact"/>
        <w:rPr>
          <w:sz w:val="20"/>
          <w:szCs w:val="20"/>
          <w:color w:val="auto"/>
        </w:rPr>
      </w:pPr>
    </w:p>
    <w:p>
      <w:pPr>
        <w:sectPr>
          <w:pgSz w:w="11900" w:h="16838" w:orient="portrait"/>
          <w:cols w:equalWidth="0" w:num="2">
            <w:col w:w="3152" w:space="720"/>
            <w:col w:w="6700"/>
          </w:cols>
          <w:pgMar w:left="868" w:top="268" w:right="459" w:bottom="1440" w:gutter="0" w:footer="0" w:header="0"/>
          <w:type w:val="continuous"/>
        </w:sectPr>
      </w:pPr>
    </w:p>
    <w:p>
      <w:pPr>
        <w:jc w:val="center"/>
        <w:ind w:right="408"/>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572"/>
          </w:cols>
          <w:pgMar w:left="868" w:top="268" w:right="459" w:bottom="1440" w:gutter="0" w:footer="0" w:header="0"/>
          <w:type w:val="continuous"/>
        </w:sectPr>
      </w:pPr>
    </w:p>
    <w:bookmarkStart w:id="149" w:name="page150"/>
    <w:bookmarkEnd w:id="149"/>
    <w:p>
      <w:pPr>
        <w:ind w:left="580"/>
        <w:spacing w:after="0"/>
        <w:rPr>
          <w:sz w:val="20"/>
          <w:szCs w:val="20"/>
          <w:color w:val="auto"/>
        </w:rPr>
      </w:pPr>
      <w:r>
        <w:rPr>
          <w:rFonts w:ascii="Times New Roman" w:cs="Times New Roman" w:eastAsia="Times New Roman" w:hAnsi="Times New Roman"/>
          <w:sz w:val="17"/>
          <w:szCs w:val="17"/>
          <w:color w:val="auto"/>
        </w:rPr>
        <w:t>Share Termination Delivery Unit:</w:t>
      </w:r>
    </w:p>
    <w:p>
      <w:pPr>
        <w:spacing w:after="0" w:line="20" w:lineRule="exact"/>
        <w:rPr>
          <w:sz w:val="20"/>
          <w:szCs w:val="20"/>
          <w:color w:val="auto"/>
        </w:rPr>
      </w:pPr>
      <w:r>
        <w:rPr>
          <w:sz w:val="20"/>
          <w:szCs w:val="20"/>
          <w:color w:val="auto"/>
        </w:rPr>
        <w:br w:type="column"/>
      </w:r>
    </w:p>
    <w:p>
      <w:pPr>
        <w:ind w:right="80"/>
        <w:spacing w:after="0" w:line="255" w:lineRule="auto"/>
        <w:rPr>
          <w:sz w:val="20"/>
          <w:szCs w:val="20"/>
          <w:color w:val="auto"/>
        </w:rPr>
      </w:pPr>
      <w:r>
        <w:rPr>
          <w:rFonts w:ascii="Times New Roman" w:cs="Times New Roman" w:eastAsia="Times New Roman" w:hAnsi="Times New Roman"/>
          <w:sz w:val="18"/>
          <w:szCs w:val="18"/>
          <w:color w:val="auto"/>
        </w:rPr>
        <w:t>One Share or, if the Shares have changed into cash or any other property or the right to receive cash or any other property as the result of a Nationalization, Insolvency or Merger Event (any such cash or other property, the “</w:t>
      </w:r>
      <w:r>
        <w:rPr>
          <w:rFonts w:ascii="Times New Roman" w:cs="Times New Roman" w:eastAsia="Times New Roman" w:hAnsi="Times New Roman"/>
          <w:sz w:val="18"/>
          <w:szCs w:val="18"/>
          <w:b w:val="1"/>
          <w:bCs w:val="1"/>
          <w:color w:val="auto"/>
        </w:rPr>
        <w:t>Exchange Property</w:t>
      </w:r>
      <w:r>
        <w:rPr>
          <w:rFonts w:ascii="Times New Roman" w:cs="Times New Roman" w:eastAsia="Times New Roman" w:hAnsi="Times New Roman"/>
          <w:sz w:val="18"/>
          <w:szCs w:val="18"/>
          <w:color w:val="auto"/>
        </w:rPr>
        <w:t>”), a unit consisting of the type and amount of such Exchange Property received by a holder of one Share (without consideration of any requirement to pay cash or other consideration in lieu of fractional amounts of any securities) in such Nationalization, Insolvency or Merger Event, as determined by the Calculation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-2813685</wp:posOffset>
            </wp:positionH>
            <wp:positionV relativeFrom="paragraph">
              <wp:posOffset>-1128395</wp:posOffset>
            </wp:positionV>
            <wp:extent cx="71748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81" w:lineRule="exact"/>
        <w:rPr>
          <w:sz w:val="20"/>
          <w:szCs w:val="20"/>
          <w:color w:val="auto"/>
        </w:rPr>
      </w:pPr>
    </w:p>
    <w:p>
      <w:pPr>
        <w:sectPr>
          <w:pgSz w:w="11900" w:h="16838" w:orient="portrait"/>
          <w:cols w:equalWidth="0" w:num="2">
            <w:col w:w="3160" w:space="720"/>
            <w:col w:w="6640"/>
          </w:cols>
          <w:pgMar w:left="860" w:top="378" w:right="519" w:bottom="1440" w:gutter="0" w:footer="0" w:header="0"/>
        </w:sectPr>
      </w:pPr>
    </w:p>
    <w:p>
      <w:pPr>
        <w:ind w:left="580"/>
        <w:spacing w:after="0"/>
        <w:rPr>
          <w:sz w:val="20"/>
          <w:szCs w:val="20"/>
          <w:color w:val="auto"/>
        </w:rPr>
      </w:pPr>
      <w:r>
        <w:rPr>
          <w:rFonts w:ascii="Times New Roman" w:cs="Times New Roman" w:eastAsia="Times New Roman" w:hAnsi="Times New Roman"/>
          <w:sz w:val="17"/>
          <w:szCs w:val="17"/>
          <w:color w:val="auto"/>
        </w:rPr>
        <w:t>Failure to Deliver: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Applicable</w:t>
      </w:r>
    </w:p>
    <w:p>
      <w:pPr>
        <w:spacing w:after="0" w:line="117" w:lineRule="exact"/>
        <w:rPr>
          <w:sz w:val="20"/>
          <w:szCs w:val="20"/>
          <w:color w:val="auto"/>
        </w:rPr>
      </w:pPr>
    </w:p>
    <w:p>
      <w:pPr>
        <w:sectPr>
          <w:pgSz w:w="11900" w:h="16838" w:orient="portrait"/>
          <w:cols w:equalWidth="0" w:num="2">
            <w:col w:w="3160" w:space="720"/>
            <w:col w:w="6640"/>
          </w:cols>
          <w:pgMar w:left="860" w:top="378" w:right="519" w:bottom="1440" w:gutter="0" w:footer="0" w:header="0"/>
          <w:type w:val="continuous"/>
        </w:sectPr>
      </w:pPr>
    </w:p>
    <w:p>
      <w:pPr>
        <w:ind w:left="580"/>
        <w:spacing w:after="0"/>
        <w:rPr>
          <w:sz w:val="20"/>
          <w:szCs w:val="20"/>
          <w:color w:val="auto"/>
        </w:rPr>
      </w:pPr>
      <w:r>
        <w:rPr>
          <w:rFonts w:ascii="Times New Roman" w:cs="Times New Roman" w:eastAsia="Times New Roman" w:hAnsi="Times New Roman"/>
          <w:sz w:val="17"/>
          <w:szCs w:val="17"/>
          <w:color w:val="auto"/>
        </w:rPr>
        <w:t>Other applicable provisions:</w:t>
      </w:r>
    </w:p>
    <w:p>
      <w:pPr>
        <w:spacing w:after="0" w:line="20" w:lineRule="exact"/>
        <w:rPr>
          <w:sz w:val="20"/>
          <w:szCs w:val="20"/>
          <w:color w:val="auto"/>
        </w:rPr>
      </w:pPr>
      <w:r>
        <w:rPr>
          <w:sz w:val="20"/>
          <w:szCs w:val="20"/>
          <w:color w:val="auto"/>
        </w:rPr>
        <w:br w:type="column"/>
      </w:r>
    </w:p>
    <w:p>
      <w:pPr>
        <w:ind w:right="140"/>
        <w:spacing w:after="0" w:line="255" w:lineRule="auto"/>
        <w:rPr>
          <w:sz w:val="20"/>
          <w:szCs w:val="20"/>
          <w:color w:val="auto"/>
        </w:rPr>
      </w:pPr>
      <w:r>
        <w:rPr>
          <w:rFonts w:ascii="Times New Roman" w:cs="Times New Roman" w:eastAsia="Times New Roman" w:hAnsi="Times New Roman"/>
          <w:sz w:val="18"/>
          <w:szCs w:val="18"/>
          <w:color w:val="auto"/>
        </w:rPr>
        <w:t>If Share Termination Alternative is applicable, the provisions of Sections 9.8, 9.9 and 9.11 (as modified above) of the Equity Definitions and the provisions set forth opposite the caption “Representation and Agreement” in Section 2 will be applicable, except that all references in such provisions to “Physically-settled” shall be read as references to “Share Termination Settled” and all references to “Shares” shall be read as references to “Share Termination Delivery Units”. “Share Termination Settled” in relation to the Transaction means that Share Termination Alternative is applicable to the Transaction.</w:t>
      </w:r>
    </w:p>
    <w:p>
      <w:pPr>
        <w:spacing w:after="0" w:line="92" w:lineRule="exact"/>
        <w:rPr>
          <w:sz w:val="20"/>
          <w:szCs w:val="20"/>
          <w:color w:val="auto"/>
        </w:rPr>
      </w:pPr>
    </w:p>
    <w:p>
      <w:pPr>
        <w:sectPr>
          <w:pgSz w:w="11900" w:h="16838" w:orient="portrait"/>
          <w:cols w:equalWidth="0" w:num="2">
            <w:col w:w="3160" w:space="720"/>
            <w:col w:w="6640"/>
          </w:cols>
          <w:pgMar w:left="860" w:top="378" w:right="519" w:bottom="1440" w:gutter="0" w:footer="0" w:header="0"/>
          <w:type w:val="continuous"/>
        </w:sectPr>
      </w:pPr>
    </w:p>
    <w:p>
      <w:pPr>
        <w:ind w:left="540" w:right="40" w:hanging="532"/>
        <w:spacing w:after="0" w:line="258" w:lineRule="auto"/>
        <w:tabs>
          <w:tab w:leader="none" w:pos="54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Waiver of Jury Trial</w:t>
      </w:r>
      <w:r>
        <w:rPr>
          <w:rFonts w:ascii="Times New Roman" w:cs="Times New Roman" w:eastAsia="Times New Roman" w:hAnsi="Times New Roman"/>
          <w:sz w:val="18"/>
          <w:szCs w:val="18"/>
          <w:color w:val="auto"/>
        </w:rPr>
        <w:t>. Each party waives, to the fullest extent permitted by applicable law, any right it may have to a trial by jury in respect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any suit, action or proceeding relating to the Transaction. Each party (i) certifies that no representative, agent or attorney of either party has represented, expressly or otherwise, that such other party would not, in the event of such a suit, action or proceeding, seek to enforce the foregoing waiver and (ii) acknowledges that it and the other party have been induced to enter into the Transaction, as applicable, by, among other things, the mutual waivers and certifications provided herein.</w:t>
      </w:r>
    </w:p>
    <w:p>
      <w:pPr>
        <w:spacing w:after="0" w:line="88" w:lineRule="exact"/>
        <w:rPr>
          <w:rFonts w:ascii="Times New Roman" w:cs="Times New Roman" w:eastAsia="Times New Roman" w:hAnsi="Times New Roman"/>
          <w:sz w:val="18"/>
          <w:szCs w:val="18"/>
          <w:color w:val="auto"/>
        </w:rPr>
      </w:pPr>
    </w:p>
    <w:p>
      <w:pPr>
        <w:ind w:left="540" w:right="20" w:hanging="532"/>
        <w:spacing w:after="0" w:line="256" w:lineRule="auto"/>
        <w:tabs>
          <w:tab w:leader="none" w:pos="54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Registration.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Counterparty and Parent hereby agrees that if, in the good faith reasonable judgment of Dealer, based on advice of counsel,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Shares (other than any such Shares that were, at the time of acquisition by Dealer, “restricted securities” (as defined in Rule 144 under the Securities Act)) (“</w:t>
      </w:r>
      <w:r>
        <w:rPr>
          <w:rFonts w:ascii="Times New Roman" w:cs="Times New Roman" w:eastAsia="Times New Roman" w:hAnsi="Times New Roman"/>
          <w:sz w:val="18"/>
          <w:szCs w:val="18"/>
          <w:b w:val="1"/>
          <w:bCs w:val="1"/>
          <w:color w:val="auto"/>
        </w:rPr>
        <w:t>Hedge Shares</w:t>
      </w:r>
      <w:r>
        <w:rPr>
          <w:rFonts w:ascii="Times New Roman" w:cs="Times New Roman" w:eastAsia="Times New Roman" w:hAnsi="Times New Roman"/>
          <w:sz w:val="18"/>
          <w:szCs w:val="18"/>
          <w:color w:val="auto"/>
        </w:rPr>
        <w:t>”) acquired by Dealer for the purpose of hedging its obligations pursuant to the Transaction cannot be sold in the public market by Dealer without registration under the Securities Act, Counterparty and Parent shall, at their election, either</w:t>
      </w:r>
    </w:p>
    <w:p>
      <w:pPr>
        <w:spacing w:after="0" w:line="1" w:lineRule="exact"/>
        <w:rPr>
          <w:rFonts w:ascii="Times New Roman" w:cs="Times New Roman" w:eastAsia="Times New Roman" w:hAnsi="Times New Roman"/>
          <w:sz w:val="18"/>
          <w:szCs w:val="18"/>
          <w:color w:val="auto"/>
        </w:rPr>
      </w:pPr>
    </w:p>
    <w:p>
      <w:pPr>
        <w:ind w:left="540" w:right="80" w:firstLine="8"/>
        <w:spacing w:after="0" w:line="250" w:lineRule="auto"/>
        <w:tabs>
          <w:tab w:leader="none" w:pos="755"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order to allow Dealer to sell the Hedge Shares in a registered offering, make available to Dealer an effective registration statement under the Securities Act and enter into an agreement, in form and substance reasonably satisfactory to Dealer, substantially in the form of an underwriting agreement for a registered secondary offering by an issuer of comparable size in the same or in a similar industry;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Dealer, in its sole reasonable discretion, is not satisfied with access to due diligence materials, the results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due diligence investigation, or the procedures and documentation for the registered offering referred to above, then clause (ii) or clause</w:t>
      </w:r>
    </w:p>
    <w:p>
      <w:pPr>
        <w:spacing w:after="0" w:line="1" w:lineRule="exact"/>
        <w:rPr>
          <w:rFonts w:ascii="Times New Roman" w:cs="Times New Roman" w:eastAsia="Times New Roman" w:hAnsi="Times New Roman"/>
          <w:sz w:val="18"/>
          <w:szCs w:val="18"/>
          <w:color w:val="auto"/>
        </w:rPr>
      </w:pPr>
    </w:p>
    <w:p>
      <w:pPr>
        <w:ind w:left="540" w:firstLine="8"/>
        <w:spacing w:after="0" w:line="252" w:lineRule="auto"/>
        <w:tabs>
          <w:tab w:leader="none" w:pos="855" w:val="left"/>
        </w:tabs>
        <w:numPr>
          <w:ilvl w:val="1"/>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paragraph shall apply at the election of Counterparty and Parent, (ii) in order to allow Dealer to sell the Hedge Shares in a private placement, enter into a private placement agreement substantially similar to private placement purchase agreements customary for private placements of equity securities by an issuer of comparable size in the same or in a similar industry, in form and substance reasonably satisfactory to Dealer (in which case, the Calculation Agent shall make any adjustments to the terms of the Transaction that are necessary, in its commercially reasonable judgment, to compensate Dealer for any discount from the public market price of the Shares incurred on the sale of Hedge Shares in a private placement), or (iii) purchase the Hedge Shares from Dealer at the then-current market price on such Exchange Business Days, and in the amounts and at such time(s), requested by Dealer.</w:t>
      </w:r>
    </w:p>
    <w:p>
      <w:pPr>
        <w:spacing w:after="0" w:line="121"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520"/>
          </w:cols>
          <w:pgMar w:left="860" w:top="378" w:right="519" w:bottom="1440" w:gutter="0" w:footer="0" w:header="0"/>
          <w:type w:val="continuous"/>
        </w:sectPr>
      </w:pPr>
    </w:p>
    <w:bookmarkStart w:id="150" w:name="page151"/>
    <w:bookmarkEnd w:id="150"/>
    <w:p>
      <w:pPr>
        <w:ind w:left="540" w:right="240" w:hanging="532"/>
        <w:spacing w:after="0" w:line="261" w:lineRule="auto"/>
        <w:tabs>
          <w:tab w:leader="none" w:pos="54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Tax Disclosure</w:t>
      </w:r>
      <w:r>
        <w:rPr>
          <w:rFonts w:ascii="Times New Roman" w:cs="Times New Roman" w:eastAsia="Times New Roman" w:hAnsi="Times New Roman"/>
          <w:sz w:val="18"/>
          <w:szCs w:val="18"/>
          <w:color w:val="auto"/>
        </w:rPr>
        <w:t>. Effective from the date of commencement of discussions concerning the Transaction, Counterparty and each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representatives, or other agents may disclose to any and all persons, without limitation of any kind, the tax treatment and tax structure of the Transaction and all materials of any kind (including opinions or other tax analyses) that are provided to Counterparty relating to such tax treatment and tax structure.</w:t>
      </w:r>
    </w:p>
    <w:p>
      <w:pPr>
        <w:spacing w:after="0" w:line="85" w:lineRule="exact"/>
        <w:rPr>
          <w:rFonts w:ascii="Times New Roman" w:cs="Times New Roman" w:eastAsia="Times New Roman" w:hAnsi="Times New Roman"/>
          <w:sz w:val="18"/>
          <w:szCs w:val="18"/>
          <w:color w:val="auto"/>
        </w:rPr>
      </w:pPr>
    </w:p>
    <w:p>
      <w:pPr>
        <w:ind w:left="540" w:right="20" w:hanging="532"/>
        <w:spacing w:after="0" w:line="253" w:lineRule="auto"/>
        <w:tabs>
          <w:tab w:leader="none" w:pos="54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Right to Extend</w:t>
      </w:r>
      <w:r>
        <w:rPr>
          <w:rFonts w:ascii="Times New Roman" w:cs="Times New Roman" w:eastAsia="Times New Roman" w:hAnsi="Times New Roman"/>
          <w:sz w:val="18"/>
          <w:szCs w:val="18"/>
          <w:color w:val="auto"/>
        </w:rPr>
        <w:t>. Dealer may postpone or add, in whole or in part, any Valid Day or Valid Days during the Settlement Averaging Period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any other date of valuation, payment or delivery by Dealer, with respect to some or all of the Options hereunder, if Dealer reasonably determines, in its commercially reasonable judgment (in the case of clause (i) below) or based on the advice of counsel (in the case of clause (ii) below), that such action is reasonably necessary or appropriate (i) to preserve Dealer’s commercially reasonable hedging or hedge unwind activity hereunder in light of existing liquidity conditions (but only if there is a material decrease in liquidity relative to Dealer’s expectations on the Trade Date) or (ii) to enable Dealer to effect transactions with respect to Shares in connection with its commercially reasonable hedging, hedge unwind or settlement activity hereunder in a manner that would, if Dealer were Parent or an affiliated purchaser of Parent, be in compliance with applicable legal, regulatory or self-regulatory requirements, or with related policies and procedures applicable to Dealer;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policies and procedures have been adopted by Dealer in good faith and are generally applicable in similar situations and applied in a non-discriminatory manner;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no such Valid Day or any other date of valuation, payment or delivery may be postponed or added more than 60 Valid Days after the original Valid Day or any other date of valuation, payment or delivery, as the case may be.</w:t>
      </w:r>
    </w:p>
    <w:p>
      <w:pPr>
        <w:spacing w:after="0" w:line="95" w:lineRule="exact"/>
        <w:rPr>
          <w:rFonts w:ascii="Times New Roman" w:cs="Times New Roman" w:eastAsia="Times New Roman" w:hAnsi="Times New Roman"/>
          <w:sz w:val="18"/>
          <w:szCs w:val="18"/>
          <w:color w:val="auto"/>
        </w:rPr>
      </w:pPr>
    </w:p>
    <w:p>
      <w:pPr>
        <w:ind w:left="540" w:right="80" w:hanging="532"/>
        <w:spacing w:after="0" w:line="257" w:lineRule="auto"/>
        <w:tabs>
          <w:tab w:leader="none" w:pos="54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Status of Claims in Bankruptcy</w:t>
      </w:r>
      <w:r>
        <w:rPr>
          <w:rFonts w:ascii="Times New Roman" w:cs="Times New Roman" w:eastAsia="Times New Roman" w:hAnsi="Times New Roman"/>
          <w:sz w:val="18"/>
          <w:szCs w:val="18"/>
          <w:color w:val="auto"/>
        </w:rPr>
        <w:t>. Dealer acknowledges and agrees that this Confirmation is not intended to convey to Dealer rights against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Counterparty with respect to the Transaction that are senior to the claims of common stockholders of Counterparty in any United States bankruptcy proceedings of Counterparty or Parent;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nothing herein shall limit or shall be deemed to limit Dealer’s right to pursue remedies in the event of a breach by Counterparty or Parent of their respective obligations and agreements with respect to the Transaction;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nothing herein shall limit or shall be deemed to limit Dealer’s rights in respect of any transactions other than the Transaction.</w:t>
      </w:r>
    </w:p>
    <w:p>
      <w:pPr>
        <w:spacing w:after="0" w:line="87" w:lineRule="exact"/>
        <w:rPr>
          <w:rFonts w:ascii="Times New Roman" w:cs="Times New Roman" w:eastAsia="Times New Roman" w:hAnsi="Times New Roman"/>
          <w:sz w:val="18"/>
          <w:szCs w:val="18"/>
          <w:color w:val="auto"/>
        </w:rPr>
      </w:pPr>
    </w:p>
    <w:p>
      <w:pPr>
        <w:ind w:left="540" w:hanging="532"/>
        <w:spacing w:after="0" w:line="257" w:lineRule="auto"/>
        <w:tabs>
          <w:tab w:leader="none" w:pos="54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Securities Contract; Swap Agreement</w:t>
      </w:r>
      <w:r>
        <w:rPr>
          <w:rFonts w:ascii="Times New Roman" w:cs="Times New Roman" w:eastAsia="Times New Roman" w:hAnsi="Times New Roman"/>
          <w:sz w:val="18"/>
          <w:szCs w:val="18"/>
          <w:color w:val="auto"/>
        </w:rPr>
        <w:t>. The parties hereto intend for (i) the Transaction to be a “securities contract” and a “swap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defined in the Bankruptcy Code, and the parties hereto to be entitled to the protections afforded by, among other Sections, Sections 362(b)(6), 362(b)(17), 546(e), 546(g), 555 and 560 of the Bankruptcy Code, (ii) a party’s right to liquidate the Transaction and to exercise any other remedies upon the occurrence of any Event of Default under the Agreement with respect to the other party to constitute a “contractual right” as described in the Bankruptcy Code, and (iii) each payment and delivery of cash, securities or other property hereunder to constitute a “margin payment” or “settlement payment” and a “transfer” as defined in the Bankruptcy Code.</w:t>
      </w:r>
    </w:p>
    <w:p>
      <w:pPr>
        <w:spacing w:after="0" w:line="87"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Notice of Certain Other Events</w:t>
      </w:r>
      <w:r>
        <w:rPr>
          <w:rFonts w:ascii="Times New Roman" w:cs="Times New Roman" w:eastAsia="Times New Roman" w:hAnsi="Times New Roman"/>
          <w:sz w:val="18"/>
          <w:szCs w:val="18"/>
          <w:color w:val="auto"/>
        </w:rPr>
        <w:t>. Counterparty covenants and agrees that:</w:t>
      </w:r>
    </w:p>
    <w:p>
      <w:pPr>
        <w:spacing w:after="0" w:line="132" w:lineRule="exact"/>
        <w:rPr>
          <w:rFonts w:ascii="Times New Roman" w:cs="Times New Roman" w:eastAsia="Times New Roman" w:hAnsi="Times New Roman"/>
          <w:sz w:val="18"/>
          <w:szCs w:val="18"/>
          <w:color w:val="auto"/>
        </w:rPr>
      </w:pPr>
    </w:p>
    <w:p>
      <w:pPr>
        <w:ind w:left="1000" w:right="220" w:hanging="439"/>
        <w:spacing w:after="0" w:line="258" w:lineRule="auto"/>
        <w:tabs>
          <w:tab w:leader="none" w:pos="1000"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as reasonably practicable following the public announcement of the results of any election by the holders of Shares with respect to the consideration due upon consummation of any Merger Event, Counterparty shall give Dealer, or shall cause Parent to give Dealer, written notice of the weighted average of the types and amounts of consideration received by holders of Shares upon consummation of such Merger Event (the date of such notification, the “</w:t>
      </w:r>
      <w:r>
        <w:rPr>
          <w:rFonts w:ascii="Times New Roman" w:cs="Times New Roman" w:eastAsia="Times New Roman" w:hAnsi="Times New Roman"/>
          <w:sz w:val="18"/>
          <w:szCs w:val="18"/>
          <w:b w:val="1"/>
          <w:bCs w:val="1"/>
          <w:color w:val="auto"/>
        </w:rPr>
        <w:t>Consideration Notification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the Consideration Notification Date be later than the date on which such Merger Event is consummated; and</w:t>
      </w:r>
    </w:p>
    <w:p>
      <w:pPr>
        <w:spacing w:after="0" w:line="11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600"/>
          </w:cols>
          <w:pgMar w:left="860" w:top="268" w:right="439" w:bottom="1440" w:gutter="0" w:footer="0" w:header="0"/>
        </w:sectPr>
      </w:pPr>
    </w:p>
    <w:bookmarkStart w:id="151" w:name="page152"/>
    <w:bookmarkEnd w:id="151"/>
    <w:p>
      <w:pPr>
        <w:ind w:left="1000" w:hanging="439"/>
        <w:spacing w:after="0" w:line="268" w:lineRule="auto"/>
        <w:tabs>
          <w:tab w:leader="none" w:pos="1000" w:val="left"/>
        </w:tabs>
        <w:numPr>
          <w:ilvl w:val="1"/>
          <w:numId w:val="2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Counterparty shall give Dealer commercially reasonable advance (but in no event less than one Exchange Business Day prior to the relevant Adjustment Notice Deadline) written notice of the section or sections of the Indenture and, if applicable, the formula therein, pursuant to which any adjustment will be made to the Exchangeable Notes in connection with any Potential Adjustment Event (other than a Potential Adjustment in respect of the Dilution Adjustment Provision set forth in Section 5.05(A)(ii) or Section 5.05(A)(iv) of the Indenture) or Merger Event and (B) promptly following any such adjustment (including any Potential Adjustment in respect of the Dilution Adjustment Provision set forth in Section 5.05(A)(ii) or Section 5.05(A)(iv) of the Indenture), Counterparty shall give Dealer written notice of the details of such adjustment. The “</w:t>
      </w:r>
      <w:r>
        <w:rPr>
          <w:rFonts w:ascii="Times New Roman" w:cs="Times New Roman" w:eastAsia="Times New Roman" w:hAnsi="Times New Roman"/>
          <w:sz w:val="17"/>
          <w:szCs w:val="17"/>
          <w:b w:val="1"/>
          <w:bCs w:val="1"/>
          <w:color w:val="auto"/>
        </w:rPr>
        <w:t>Adjustment Notice Deadline</w:t>
      </w:r>
      <w:r>
        <w:rPr>
          <w:rFonts w:ascii="Times New Roman" w:cs="Times New Roman" w:eastAsia="Times New Roman" w:hAnsi="Times New Roman"/>
          <w:sz w:val="17"/>
          <w:szCs w:val="17"/>
          <w:color w:val="auto"/>
        </w:rPr>
        <w:t>” means (i) for any Potential Adjustment in respect of the Dilution Adjustment Provision set forth in Section 5.05(A)(i) of the Indenture, the relevant “Ex-Dividend Date” (as such term is defined in the Indenture) or “Effective Date” (as such term is defined in the Indenture), as the case may be, (ii) for any Potential Adjustment in respect of the Dilution Adjustment Provision in the first formula set forth in Section 5.05(A)(iii) of the Indenture, the first “Trading Day” (as such term is defined in the Indenture) of the period referred to in the definition of “SP” in such formula, (iii) for any Potential Adjustment in respect of the Dilution Adjustment Provision in the second formula set forth in Section 5.05(A)(iii) of the Indenture, the first “Trading Day” (as such term is defined in the Indenture) of the “Spin-off Valuation Period” (as such term is defined in the Indenture), (iv) for any Potential Adjustment in respect of the Dilution Adjustment Provision set forth in Section 5.05(A)(v) of the Indenture, the first “Trading Day” (as such term is defined in the Indenture) of the period referred to in the definition of “SP’” in the formula in such Section, and (v) for any Merger Event, the effective date of such Merger Event (or, if earlier, the first day of any valuation or similar period in respect of such Merger Event).</w:t>
      </w:r>
    </w:p>
    <w:p>
      <w:pPr>
        <w:spacing w:after="0" w:line="80" w:lineRule="exact"/>
        <w:rPr>
          <w:rFonts w:ascii="Times New Roman" w:cs="Times New Roman" w:eastAsia="Times New Roman" w:hAnsi="Times New Roman"/>
          <w:sz w:val="17"/>
          <w:szCs w:val="17"/>
          <w:color w:val="auto"/>
        </w:rPr>
      </w:pPr>
    </w:p>
    <w:p>
      <w:pPr>
        <w:ind w:left="540" w:right="140" w:hanging="532"/>
        <w:spacing w:after="0" w:line="256" w:lineRule="auto"/>
        <w:tabs>
          <w:tab w:leader="none" w:pos="54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Wall Street Transparency and Accountability Act</w:t>
      </w:r>
      <w:r>
        <w:rPr>
          <w:rFonts w:ascii="Times New Roman" w:cs="Times New Roman" w:eastAsia="Times New Roman" w:hAnsi="Times New Roman"/>
          <w:sz w:val="18"/>
          <w:szCs w:val="18"/>
          <w:color w:val="auto"/>
        </w:rPr>
        <w:t>. In connection with Section 739 of the Wall Street Transparency and Accountability 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2010 (“</w:t>
      </w:r>
      <w:r>
        <w:rPr>
          <w:rFonts w:ascii="Times New Roman" w:cs="Times New Roman" w:eastAsia="Times New Roman" w:hAnsi="Times New Roman"/>
          <w:sz w:val="18"/>
          <w:szCs w:val="18"/>
          <w:b w:val="1"/>
          <w:bCs w:val="1"/>
          <w:color w:val="auto"/>
        </w:rPr>
        <w:t>WSTAA</w:t>
      </w:r>
      <w:r>
        <w:rPr>
          <w:rFonts w:ascii="Times New Roman" w:cs="Times New Roman" w:eastAsia="Times New Roman" w:hAnsi="Times New Roman"/>
          <w:sz w:val="18"/>
          <w:szCs w:val="18"/>
          <w:color w:val="auto"/>
        </w:rPr>
        <w:t>”), the parties hereby agree that neither the enactment of WSTAA or any regulation under the WSTAA, nor any requirement under WSTAA or an amendment made by WSTAA, shall limit or otherwise impair either party’s otherwise applicable rights to terminate, renegotiate, modify, amend or supplement this Confirmation or the Agreement, as applicable, arising from a termination event, force majeure, illegality, increased costs, regulatory change or similar event under this Confirmation, the Equity Definitions incorporated herein, or the Agreement (including, but not limited to, rights arising from Change in Law, Hedging Disruption, Increased Cost of Hedging, an Excess Ownership Position, or Illegality (as defined in the Agreement)).</w:t>
      </w:r>
    </w:p>
    <w:p>
      <w:pPr>
        <w:spacing w:after="0" w:line="88"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Agreements and Acknowledgments Regarding Hedging</w:t>
      </w:r>
      <w:r>
        <w:rPr>
          <w:rFonts w:ascii="Times New Roman" w:cs="Times New Roman" w:eastAsia="Times New Roman" w:hAnsi="Times New Roman"/>
          <w:sz w:val="18"/>
          <w:szCs w:val="18"/>
          <w:color w:val="auto"/>
        </w:rPr>
        <w:t>. Each of Counterparty and Parent understands, acknowledges and agrees that:</w:t>
      </w:r>
    </w:p>
    <w:p>
      <w:pPr>
        <w:spacing w:after="0" w:line="29" w:lineRule="exact"/>
        <w:rPr>
          <w:rFonts w:ascii="Times New Roman" w:cs="Times New Roman" w:eastAsia="Times New Roman" w:hAnsi="Times New Roman"/>
          <w:sz w:val="18"/>
          <w:szCs w:val="18"/>
          <w:color w:val="auto"/>
        </w:rPr>
      </w:pPr>
    </w:p>
    <w:p>
      <w:pPr>
        <w:ind w:left="540" w:right="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at any time on and prior to the Expiration Date, Dealer and its affiliates may buy or sell Shares or other securities or buy or sell options or futures contracts or enter into swaps or other derivative securities in order to adjust its hedge position with respect to the Transaction;</w:t>
      </w:r>
    </w:p>
    <w:p>
      <w:pPr>
        <w:ind w:left="540" w:right="10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Dealer and its affiliates also may be active in the market for Shares other than in connection with hedging activities in relation to the Transaction; (C) Dealer shall make its own determination as to whether, when or in what manner any hedging or market activities in securities of Issuer shall be conducted and shall do so in a manner that it deems appropriate to hedge its price and market risk with respect to the Relevant Prices; and (D) any market activities of Dealer and its affiliates with respect to Shares may affect the market price and volatility of Shares, as well as the Relevant Prices, each in a manner that may be adverse to Counterparty.</w:t>
      </w:r>
    </w:p>
    <w:p>
      <w:pPr>
        <w:spacing w:after="0" w:line="11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580"/>
          </w:cols>
          <w:pgMar w:left="860" w:top="270" w:right="459" w:bottom="1440" w:gutter="0" w:footer="0" w:header="0"/>
        </w:sectPr>
      </w:pPr>
    </w:p>
    <w:bookmarkStart w:id="152" w:name="page153"/>
    <w:bookmarkEnd w:id="152"/>
    <w:p>
      <w:pPr>
        <w:ind w:left="964" w:hanging="532"/>
        <w:spacing w:after="0"/>
        <w:tabs>
          <w:tab w:leader="none" w:pos="964"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Early Unwind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event the sale of the [“Firm Securities”]</w:t>
      </w:r>
      <w:r>
        <w:rPr>
          <w:rFonts w:ascii="Times New Roman" w:cs="Times New Roman" w:eastAsia="Times New Roman" w:hAnsi="Times New Roman"/>
          <w:sz w:val="26"/>
          <w:szCs w:val="26"/>
          <w:color w:val="auto"/>
          <w:vertAlign w:val="superscript"/>
        </w:rPr>
        <w:t>29</w:t>
      </w:r>
      <w:r>
        <w:rPr>
          <w:rFonts w:ascii="Times New Roman" w:cs="Times New Roman" w:eastAsia="Times New Roman" w:hAnsi="Times New Roman"/>
          <w:sz w:val="18"/>
          <w:szCs w:val="18"/>
          <w:color w:val="auto"/>
        </w:rPr>
        <w:t>[“Option Securities”]</w:t>
      </w:r>
      <w:r>
        <w:rPr>
          <w:rFonts w:ascii="Times New Roman" w:cs="Times New Roman" w:eastAsia="Times New Roman" w:hAnsi="Times New Roman"/>
          <w:sz w:val="26"/>
          <w:szCs w:val="26"/>
          <w:color w:val="auto"/>
          <w:vertAlign w:val="superscript"/>
        </w:rPr>
        <w:t>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defined in the Purchase Agreement (the</w:t>
      </w:r>
    </w:p>
    <w:p>
      <w:pPr>
        <w:ind w:left="964"/>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 dated as of May [__], 2024, between Counterparty, the guarantors party thereto and J.P. Morgan Securities LLC, RBC Capital Markets, LLC and UBS Securities LLC, as representatives of the Initial Purchasers party thereto (the “</w:t>
      </w:r>
      <w:r>
        <w:rPr>
          <w:rFonts w:ascii="Times New Roman" w:cs="Times New Roman" w:eastAsia="Times New Roman" w:hAnsi="Times New Roman"/>
          <w:sz w:val="18"/>
          <w:szCs w:val="18"/>
          <w:b w:val="1"/>
          <w:bCs w:val="1"/>
          <w:color w:val="auto"/>
        </w:rPr>
        <w:t>Initial Purchasers</w:t>
      </w:r>
      <w:r>
        <w:rPr>
          <w:rFonts w:ascii="Times New Roman" w:cs="Times New Roman" w:eastAsia="Times New Roman" w:hAnsi="Times New Roman"/>
          <w:sz w:val="18"/>
          <w:szCs w:val="18"/>
          <w:color w:val="auto"/>
        </w:rPr>
        <w:t>”)) is not consummated with the Initial Purchasers for any reason, or Counterparty fails to deliver to Dealer opinions of counsel as required pursuant to Section 9(a), in each case by 5:00 p.m. (New York City time) on the Premium Payment Date, or such later date as agreed upon by the parties (the Premium Payment Date or such later date the “</w:t>
      </w:r>
      <w:r>
        <w:rPr>
          <w:rFonts w:ascii="Times New Roman" w:cs="Times New Roman" w:eastAsia="Times New Roman" w:hAnsi="Times New Roman"/>
          <w:sz w:val="18"/>
          <w:szCs w:val="18"/>
          <w:b w:val="1"/>
          <w:bCs w:val="1"/>
          <w:color w:val="auto"/>
        </w:rPr>
        <w:t>Early Unwind Date</w:t>
      </w:r>
      <w:r>
        <w:rPr>
          <w:rFonts w:ascii="Times New Roman" w:cs="Times New Roman" w:eastAsia="Times New Roman" w:hAnsi="Times New Roman"/>
          <w:sz w:val="18"/>
          <w:szCs w:val="18"/>
          <w:color w:val="auto"/>
        </w:rPr>
        <w:t>”), the Transaction shall automatically terminate (the “</w:t>
      </w:r>
      <w:r>
        <w:rPr>
          <w:rFonts w:ascii="Times New Roman" w:cs="Times New Roman" w:eastAsia="Times New Roman" w:hAnsi="Times New Roman"/>
          <w:sz w:val="18"/>
          <w:szCs w:val="18"/>
          <w:b w:val="1"/>
          <w:bCs w:val="1"/>
          <w:color w:val="auto"/>
        </w:rPr>
        <w:t>Early Unwind</w:t>
      </w:r>
      <w:r>
        <w:rPr>
          <w:rFonts w:ascii="Times New Roman" w:cs="Times New Roman" w:eastAsia="Times New Roman" w:hAnsi="Times New Roman"/>
          <w:sz w:val="18"/>
          <w:szCs w:val="18"/>
          <w:color w:val="auto"/>
        </w:rPr>
        <w:t>”), on the Early Unwind Date and (i) the Transaction and all of the respective rights and obligations of Dealer, Parent and Counterparty under the Transaction shall be cancelled and terminated and (ii) each party shall be released and discharged by the other party from and agrees not to make any claim against the other party with respect to any obligations or liabilities of the other party arising out of and to be performed in connection with the Transaction either prior to or after the Early Unwind Date. Each of Dealer, Parent and Counterparty represents and acknowledges to the other that upon an Early Unwind, all obligations with respect to the Transaction shall be deemed fully and finally discharged.</w:t>
      </w:r>
    </w:p>
    <w:p>
      <w:pPr>
        <w:spacing w:after="0" w:line="94" w:lineRule="exact"/>
        <w:rPr>
          <w:rFonts w:ascii="Times New Roman" w:cs="Times New Roman" w:eastAsia="Times New Roman" w:hAnsi="Times New Roman"/>
          <w:sz w:val="18"/>
          <w:szCs w:val="18"/>
          <w:color w:val="auto"/>
        </w:rPr>
      </w:pPr>
    </w:p>
    <w:p>
      <w:pPr>
        <w:ind w:left="964" w:right="40" w:hanging="532"/>
        <w:spacing w:after="0" w:line="258" w:lineRule="auto"/>
        <w:tabs>
          <w:tab w:leader="none" w:pos="964"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Payment by Counterparty</w:t>
      </w:r>
      <w:r>
        <w:rPr>
          <w:rFonts w:ascii="Times New Roman" w:cs="Times New Roman" w:eastAsia="Times New Roman" w:hAnsi="Times New Roman"/>
          <w:sz w:val="18"/>
          <w:szCs w:val="18"/>
          <w:color w:val="auto"/>
        </w:rPr>
        <w:t>. In the event that, following payment of the Premium, (i) an Early Termination Date occurs or is designated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 to the Transaction as a result of a Termination Event or an Event of Default (other than an Event of Default arising under Section 5(a)(ii) or 5(a)(iv) of the Agreement) and, as a result, Counterparty owes to Dealer an amount calculated under Section 6(e) of the Agreement, or (ii) Counterparty owes to Dealer, pursuant to Section 12.7 or Section 12.9 of the Equity Definitions, an amount calculated under Section 12.8 of the Equity Definitions, such amount shall be deemed to be zero.</w:t>
      </w:r>
    </w:p>
    <w:p>
      <w:pPr>
        <w:spacing w:after="0" w:line="88" w:lineRule="exact"/>
        <w:rPr>
          <w:rFonts w:ascii="Times New Roman" w:cs="Times New Roman" w:eastAsia="Times New Roman" w:hAnsi="Times New Roman"/>
          <w:sz w:val="18"/>
          <w:szCs w:val="18"/>
          <w:color w:val="auto"/>
        </w:rPr>
      </w:pPr>
    </w:p>
    <w:p>
      <w:pPr>
        <w:ind w:left="964" w:right="40" w:hanging="532"/>
        <w:spacing w:after="0" w:line="256" w:lineRule="auto"/>
        <w:tabs>
          <w:tab w:leader="none" w:pos="964"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Other Adjustments Pursuant to the Equity Definitions</w:t>
      </w:r>
      <w:r>
        <w:rPr>
          <w:rFonts w:ascii="Times New Roman" w:cs="Times New Roman" w:eastAsia="Times New Roman" w:hAnsi="Times New Roman"/>
          <w:sz w:val="18"/>
          <w:szCs w:val="18"/>
          <w:color w:val="auto"/>
        </w:rPr>
        <w:t>. Notwithstanding anything to the contrary in this Confirmation, solely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purpose of adjusting the Cap Price, the terms “Potential Adjustment Event,” “Merger Event,” and “Tender Offer” shall each have the meanings assigned to such term in the Equity Definitions (as amended by Section 9(j)(i) or, if applicable, by the definition of “Announcement Event”, and provided that for purposes of the foregoing (1) Section 12.1(d) of the Equity Definitions shall be amended by</w:t>
      </w:r>
    </w:p>
    <w:p>
      <w:pPr>
        <w:spacing w:after="0" w:line="1" w:lineRule="exact"/>
        <w:rPr>
          <w:rFonts w:ascii="Times New Roman" w:cs="Times New Roman" w:eastAsia="Times New Roman" w:hAnsi="Times New Roman"/>
          <w:sz w:val="18"/>
          <w:szCs w:val="18"/>
          <w:color w:val="auto"/>
        </w:rPr>
      </w:pPr>
    </w:p>
    <w:p>
      <w:pPr>
        <w:ind w:left="964" w:right="20" w:firstLine="8"/>
        <w:spacing w:after="0" w:line="265" w:lineRule="auto"/>
        <w:tabs>
          <w:tab w:leader="none" w:pos="1219" w:val="left"/>
        </w:tabs>
        <w:numPr>
          <w:ilvl w:val="1"/>
          <w:numId w:val="2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replacing “10%” with “25%” in the third line thereof and (y) replacing the words “voting shares of the Issuer” in the fourth line thereof with the word “Shares” and (2) Section 12.1(e) of the Equity Definitions is hereby amended by replacing the words “voting shares” in the first line thereof with the word “Shares”), and upon the occurrence of a Merger Date, the occurrence of a Tender Offer Date, or declaration by Counterparty or Issuer of the terms of any Potential Adjustment Event, respectively, as such terms are defined in the Equity Definitions, the Calculation Agent shall determine whether such occurrence or declaration, as applicable, has had a material economic effect on the Transaction (including, among other terms, the Strike Price and Cap Price) and, if so, shall adjust the Cap Price as the Calculation Agent determines appropriate to account for the economic effect on the Transaction of such occurrence or declaration, as applicable;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in no event shall the Cap Price be less than the Strike Price. Solely for purposes of a Potential Adjustment Event under this</w:t>
      </w:r>
    </w:p>
    <w:p>
      <w:pPr>
        <w:spacing w:after="0" w:line="1" w:lineRule="exact"/>
        <w:rPr>
          <w:rFonts w:ascii="Times New Roman" w:cs="Times New Roman" w:eastAsia="Times New Roman" w:hAnsi="Times New Roman"/>
          <w:sz w:val="17"/>
          <w:szCs w:val="17"/>
          <w:color w:val="auto"/>
        </w:rPr>
      </w:pPr>
    </w:p>
    <w:p>
      <w:pPr>
        <w:ind w:left="964" w:right="48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Section 9(x), (i) “Extraordinary Dividend” means any cash dividend on the Shares other than a regular, quarterly cash dividend in an amount equal to the Regular Dividend, (ii) the parties agree that (x) open market Share repurchases at prevailing market prices and</w:t>
      </w:r>
    </w:p>
    <w:p>
      <w:pPr>
        <w:ind w:left="964" w:right="20" w:firstLine="8"/>
        <w:spacing w:after="0" w:line="250" w:lineRule="auto"/>
        <w:tabs>
          <w:tab w:leader="none" w:pos="1219"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repurchases through a dealer pursuant to accelerated share repurchases, forward contracts or similar transactions that are entered into at prevailing market prices and in accordance with customary market terms for transactions of such type to repurchase the Shares shall not be considered Potential Adjustment Events, in each case, to the extent that, after giving effect to such transactions, the aggregate number of Shares repurchased during the term of the Transaction pursuant to all transactions described in this sub-clause would not exceed 20% of the number of Shares outstanding as of the Trade Date, as determined by the Calculation Agent (it being understood and agreed that any Shares repurchased on or around the Trade Date in connection with the Exchangeable Notes offering shall not give rise to a Potential Adjustment Event, and any such repurchases shall be excluded in determining whether transactions described in this sub-clause</w:t>
      </w:r>
    </w:p>
    <w:p>
      <w:pPr>
        <w:spacing w:after="0" w:line="2" w:lineRule="exact"/>
        <w:rPr>
          <w:rFonts w:ascii="Times New Roman" w:cs="Times New Roman" w:eastAsia="Times New Roman" w:hAnsi="Times New Roman"/>
          <w:sz w:val="18"/>
          <w:szCs w:val="18"/>
          <w:color w:val="auto"/>
        </w:rPr>
      </w:pPr>
    </w:p>
    <w:p>
      <w:pPr>
        <w:ind w:left="964" w:firstLine="8"/>
        <w:spacing w:after="0" w:line="253" w:lineRule="auto"/>
        <w:tabs>
          <w:tab w:leader="none" w:pos="1229"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to 20%) and (iii) in the case of Sections 11.2(e)(i), (ii)(A) and (iv) of the Equity Definitions, no adjustments will be made to account solely for changes in volatility, expected dividends, stock loan rate or liquidity relative to the relevant Shares but, for the avoidance of doubt, solely in the case of Sections 11.2(e)(ii)(B) through (D), (iii), (v), (vi) and (vii) of the Equity Definitions, adjustments shall be made to account solely for changes in volatility, expected dividends, stock loan rate or liquidity relative to the relevant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88900</wp:posOffset>
            </wp:positionV>
            <wp:extent cx="77152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66" w:lineRule="exact"/>
        <w:rPr>
          <w:sz w:val="20"/>
          <w:szCs w:val="20"/>
          <w:color w:val="auto"/>
        </w:rPr>
      </w:pPr>
    </w:p>
    <w:p>
      <w:pPr>
        <w:ind w:left="424" w:hanging="424"/>
        <w:spacing w:after="0"/>
        <w:tabs>
          <w:tab w:leader="none" w:pos="424" w:val="left"/>
        </w:tabs>
        <w:numPr>
          <w:ilvl w:val="0"/>
          <w:numId w:val="25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Insert for Base Call Option Confirmation.</w:t>
      </w:r>
    </w:p>
    <w:p>
      <w:pPr>
        <w:spacing w:after="0" w:line="1" w:lineRule="exact"/>
        <w:rPr>
          <w:rFonts w:ascii="Times New Roman" w:cs="Times New Roman" w:eastAsia="Times New Roman" w:hAnsi="Times New Roman"/>
          <w:sz w:val="27"/>
          <w:szCs w:val="27"/>
          <w:color w:val="auto"/>
          <w:vertAlign w:val="superscript"/>
        </w:rPr>
      </w:pPr>
    </w:p>
    <w:p>
      <w:pPr>
        <w:ind w:left="424" w:hanging="424"/>
        <w:spacing w:after="0" w:line="186" w:lineRule="auto"/>
        <w:tabs>
          <w:tab w:leader="none" w:pos="424" w:val="left"/>
        </w:tabs>
        <w:numPr>
          <w:ilvl w:val="0"/>
          <w:numId w:val="25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Insert for Additional Call Option Confirmation.</w:t>
      </w:r>
    </w:p>
    <w:p>
      <w:pPr>
        <w:spacing w:after="0" w:line="1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4"/>
          </w:cols>
          <w:pgMar w:left="436" w:top="207" w:right="459" w:bottom="1440" w:gutter="0" w:footer="0" w:header="0"/>
        </w:sectPr>
      </w:pPr>
    </w:p>
    <w:bookmarkStart w:id="153" w:name="page154"/>
    <w:bookmarkEnd w:id="153"/>
    <w:p>
      <w:pPr>
        <w:ind w:left="964" w:right="20" w:hanging="532"/>
        <w:spacing w:after="0" w:line="256" w:lineRule="auto"/>
        <w:tabs>
          <w:tab w:leader="none" w:pos="964"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Dividends</w:t>
      </w:r>
      <w:r>
        <w:rPr>
          <w:rFonts w:ascii="Times New Roman" w:cs="Times New Roman" w:eastAsia="Times New Roman" w:hAnsi="Times New Roman"/>
          <w:sz w:val="18"/>
          <w:szCs w:val="18"/>
          <w:color w:val="auto"/>
        </w:rPr>
        <w:t>. If at any time during the period from and including the Effective Date, to but excluding the Expiration Date, (i) an ex-dividend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for a regular quarterly cash dividend occurs with respect to the Shares (an “</w:t>
      </w:r>
      <w:r>
        <w:rPr>
          <w:rFonts w:ascii="Times New Roman" w:cs="Times New Roman" w:eastAsia="Times New Roman" w:hAnsi="Times New Roman"/>
          <w:sz w:val="18"/>
          <w:szCs w:val="18"/>
          <w:b w:val="1"/>
          <w:bCs w:val="1"/>
          <w:color w:val="auto"/>
        </w:rPr>
        <w:t>Ex-Dividend Date</w:t>
      </w:r>
      <w:r>
        <w:rPr>
          <w:rFonts w:ascii="Times New Roman" w:cs="Times New Roman" w:eastAsia="Times New Roman" w:hAnsi="Times New Roman"/>
          <w:sz w:val="18"/>
          <w:szCs w:val="18"/>
          <w:color w:val="auto"/>
        </w:rPr>
        <w:t>”), and that dividend is less than the Regular Dividend on a per Share basis, or (ii) no Ex-Dividend Date for a regular quarterly cash dividend occurs with respect to the Shares in any quarterly dividend period of Parent, then the Calculation Agent will adjust the Cap Price to account for the economic effect on the Transaction of such dividend or lack thereof. “</w:t>
      </w:r>
      <w:r>
        <w:rPr>
          <w:rFonts w:ascii="Times New Roman" w:cs="Times New Roman" w:eastAsia="Times New Roman" w:hAnsi="Times New Roman"/>
          <w:sz w:val="18"/>
          <w:szCs w:val="18"/>
          <w:b w:val="1"/>
          <w:bCs w:val="1"/>
          <w:color w:val="auto"/>
        </w:rPr>
        <w:t>Regular Dividend</w:t>
      </w:r>
      <w:r>
        <w:rPr>
          <w:rFonts w:ascii="Times New Roman" w:cs="Times New Roman" w:eastAsia="Times New Roman" w:hAnsi="Times New Roman"/>
          <w:sz w:val="18"/>
          <w:szCs w:val="18"/>
          <w:color w:val="auto"/>
        </w:rPr>
        <w:t>” shall mean USD 0.42 per Share per quarter. Upon any adjustment to the “Dividend Threshold” (as defined in the Indenture) for the Exchangeable Notes pursuant to the Indenture, the Calculation Agent will make a corresponding adjustment to the Regular Dividend for the Transaction.</w:t>
      </w:r>
    </w:p>
    <w:p>
      <w:pPr>
        <w:spacing w:after="0" w:line="88"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w:t>
      </w:r>
      <w:r>
        <w:rPr>
          <w:rFonts w:ascii="Times New Roman" w:cs="Times New Roman" w:eastAsia="Times New Roman" w:hAnsi="Times New Roman"/>
          <w:sz w:val="18"/>
          <w:szCs w:val="18"/>
          <w:i w:val="1"/>
          <w:iCs w:val="1"/>
          <w:color w:val="auto"/>
        </w:rPr>
        <w:t>Insert preferred form of U.S. QFC Stay Rule language for each Dealer, if applicable</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964" w:hanging="532"/>
        <w:spacing w:after="0"/>
        <w:tabs>
          <w:tab w:leader="none" w:pos="964"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Tax Matters</w:t>
      </w:r>
      <w:r>
        <w:rPr>
          <w:rFonts w:ascii="Times New Roman" w:cs="Times New Roman" w:eastAsia="Times New Roman" w:hAnsi="Times New Roman"/>
          <w:sz w:val="18"/>
          <w:szCs w:val="18"/>
          <w:i w:val="1"/>
          <w:iCs w:val="1"/>
          <w:color w:val="auto"/>
        </w:rPr>
        <w:t>.</w:t>
      </w:r>
    </w:p>
    <w:p>
      <w:pPr>
        <w:spacing w:after="0" w:line="130" w:lineRule="exact"/>
        <w:rPr>
          <w:rFonts w:ascii="Times New Roman" w:cs="Times New Roman" w:eastAsia="Times New Roman" w:hAnsi="Times New Roman"/>
          <w:sz w:val="18"/>
          <w:szCs w:val="18"/>
          <w:color w:val="auto"/>
        </w:rPr>
      </w:pPr>
    </w:p>
    <w:p>
      <w:pPr>
        <w:ind w:left="1424" w:right="380" w:hanging="439"/>
        <w:spacing w:after="0" w:line="284" w:lineRule="auto"/>
        <w:tabs>
          <w:tab w:leader="none" w:pos="1424" w:val="left"/>
        </w:tabs>
        <w:numPr>
          <w:ilvl w:val="1"/>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Payee Tax Representations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purpose of Section 3(f) of the Agreement, the parties make the following representations,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w:t>
      </w:r>
    </w:p>
    <w:p>
      <w:pPr>
        <w:spacing w:after="0" w:line="65" w:lineRule="exact"/>
        <w:rPr>
          <w:rFonts w:ascii="Times New Roman" w:cs="Times New Roman" w:eastAsia="Times New Roman" w:hAnsi="Times New Roman"/>
          <w:sz w:val="18"/>
          <w:szCs w:val="18"/>
          <w:color w:val="auto"/>
        </w:rPr>
      </w:pPr>
    </w:p>
    <w:p>
      <w:pPr>
        <w:ind w:left="1964" w:hanging="533"/>
        <w:spacing w:after="0" w:line="265" w:lineRule="auto"/>
        <w:tabs>
          <w:tab w:leader="none" w:pos="1964" w:val="left"/>
        </w:tabs>
        <w:numPr>
          <w:ilvl w:val="2"/>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is a corporation for U.S. federal income tax purposes and is created or organized in the United States or under the laws of the United States. It is “exempt” within the meaning of Treasury Regulation section 1.6049-4(c) from information reporting on U.S. Internal Revenue Service Form 1099 and backup withholding.</w:t>
      </w:r>
      <w:r>
        <w:rPr>
          <w:rFonts w:ascii="Times New Roman" w:cs="Times New Roman" w:eastAsia="Times New Roman" w:hAnsi="Times New Roman"/>
          <w:sz w:val="26"/>
          <w:szCs w:val="26"/>
          <w:color w:val="auto"/>
          <w:vertAlign w:val="superscript"/>
        </w:rPr>
        <w:t>31</w:t>
      </w:r>
    </w:p>
    <w:p>
      <w:pPr>
        <w:spacing w:after="0" w:line="2" w:lineRule="exact"/>
        <w:rPr>
          <w:rFonts w:ascii="Times New Roman" w:cs="Times New Roman" w:eastAsia="Times New Roman" w:hAnsi="Times New Roman"/>
          <w:sz w:val="18"/>
          <w:szCs w:val="18"/>
          <w:color w:val="auto"/>
        </w:rPr>
      </w:pPr>
    </w:p>
    <w:p>
      <w:pPr>
        <w:ind w:left="1964" w:right="560" w:hanging="533"/>
        <w:spacing w:after="0" w:line="259" w:lineRule="auto"/>
        <w:tabs>
          <w:tab w:leader="none" w:pos="1964" w:val="left"/>
        </w:tabs>
        <w:numPr>
          <w:ilvl w:val="2"/>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 is a national banking association organized and existing under the laws of the United States of America. It is “exempt” within the meaning of Treasury Regulation section 1.6049-4(c) from information reporting on U.S. Internal Revenue Service Form 1099 and backup withholding.]</w:t>
      </w:r>
      <w:r>
        <w:rPr>
          <w:rFonts w:ascii="Times New Roman" w:cs="Times New Roman" w:eastAsia="Times New Roman" w:hAnsi="Times New Roman"/>
          <w:sz w:val="26"/>
          <w:szCs w:val="26"/>
          <w:color w:val="auto"/>
          <w:vertAlign w:val="superscript"/>
        </w:rPr>
        <w:t>32</w:t>
      </w:r>
    </w:p>
    <w:p>
      <w:pPr>
        <w:ind w:left="1424" w:hanging="439"/>
        <w:spacing w:after="0"/>
        <w:tabs>
          <w:tab w:leader="none" w:pos="1424" w:val="left"/>
        </w:tabs>
        <w:numPr>
          <w:ilvl w:val="1"/>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Tax Forms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purpose of Section 4(a)(i) of the Agreement:</w:t>
      </w:r>
    </w:p>
    <w:p>
      <w:pPr>
        <w:spacing w:after="0" w:line="110" w:lineRule="exact"/>
        <w:rPr>
          <w:rFonts w:ascii="Times New Roman" w:cs="Times New Roman" w:eastAsia="Times New Roman" w:hAnsi="Times New Roman"/>
          <w:sz w:val="18"/>
          <w:szCs w:val="18"/>
          <w:color w:val="auto"/>
        </w:rPr>
      </w:pPr>
    </w:p>
    <w:p>
      <w:pPr>
        <w:ind w:left="1964" w:right="40" w:hanging="533"/>
        <w:spacing w:after="0" w:line="289" w:lineRule="auto"/>
        <w:tabs>
          <w:tab w:leader="none" w:pos="1964" w:val="left"/>
        </w:tabs>
        <w:numPr>
          <w:ilvl w:val="2"/>
          <w:numId w:val="2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Counterparty shall provide Dealer with a valid and duly executed U.S. Internal Revenue Service Form W-9, or any successor thereto, (i) on or before the date of execution of this Confirmation, (ii) promptly upon reasonable demand by Dealer and (iii) promptly upon learning that any such tax form previously provided by Counterparty has become obsolete or incorrect.</w:t>
      </w:r>
    </w:p>
    <w:p>
      <w:pPr>
        <w:spacing w:after="0" w:line="63" w:lineRule="exact"/>
        <w:rPr>
          <w:rFonts w:ascii="Times New Roman" w:cs="Times New Roman" w:eastAsia="Times New Roman" w:hAnsi="Times New Roman"/>
          <w:sz w:val="17"/>
          <w:szCs w:val="17"/>
          <w:color w:val="auto"/>
        </w:rPr>
      </w:pPr>
    </w:p>
    <w:p>
      <w:pPr>
        <w:ind w:left="1964" w:right="100" w:hanging="533"/>
        <w:spacing w:after="0" w:line="262" w:lineRule="auto"/>
        <w:tabs>
          <w:tab w:leader="none" w:pos="1964" w:val="left"/>
        </w:tabs>
        <w:numPr>
          <w:ilvl w:val="2"/>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 shall provide Counterparty with a valid and duly executed U.S. Internal Revenue Service Form W-9, or any successor thereto, (i) on or before the date of execution of this Confirmation, (ii) promptly upon reasonable demand by Dealer and (iii) promptly upon learning that any such tax form previously provided by Counterparty has become obsolete or incorrect.]</w:t>
      </w:r>
      <w:r>
        <w:rPr>
          <w:rFonts w:ascii="Times New Roman" w:cs="Times New Roman" w:eastAsia="Times New Roman" w:hAnsi="Times New Roman"/>
          <w:sz w:val="26"/>
          <w:szCs w:val="26"/>
          <w:color w:val="auto"/>
          <w:vertAlign w:val="superscript"/>
        </w:rPr>
        <w:t>33</w:t>
      </w:r>
    </w:p>
    <w:p>
      <w:pPr>
        <w:spacing w:after="0" w:line="1" w:lineRule="exact"/>
        <w:rPr>
          <w:rFonts w:ascii="Times New Roman" w:cs="Times New Roman" w:eastAsia="Times New Roman" w:hAnsi="Times New Roman"/>
          <w:sz w:val="18"/>
          <w:szCs w:val="18"/>
          <w:color w:val="auto"/>
        </w:rPr>
      </w:pPr>
    </w:p>
    <w:p>
      <w:pPr>
        <w:ind w:left="1424" w:right="100" w:hanging="439"/>
        <w:spacing w:after="0" w:line="269" w:lineRule="auto"/>
        <w:tabs>
          <w:tab w:leader="none" w:pos="1424" w:val="left"/>
        </w:tabs>
        <w:numPr>
          <w:ilvl w:val="1"/>
          <w:numId w:val="2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u w:val="single" w:color="auto"/>
          <w:color w:val="auto"/>
        </w:rPr>
        <w:t>Foreign Account Tax Compliance Act</w:t>
      </w:r>
      <w:r>
        <w:rPr>
          <w:rFonts w:ascii="Times New Roman" w:cs="Times New Roman" w:eastAsia="Times New Roman" w:hAnsi="Times New Roman"/>
          <w:sz w:val="17"/>
          <w:szCs w:val="17"/>
          <w:color w:val="auto"/>
        </w:rPr>
        <w:t>. “Indemnifiable Tax”, as defined in Section 14 of the Agreement, shall not include any U.S.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federal withholding tax imposed or collected pursuant to Sections 1471 through 1474 of the Code,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(a “</w:t>
      </w:r>
      <w:r>
        <w:rPr>
          <w:rFonts w:ascii="Times New Roman" w:cs="Times New Roman" w:eastAsia="Times New Roman" w:hAnsi="Times New Roman"/>
          <w:sz w:val="17"/>
          <w:szCs w:val="17"/>
          <w:b w:val="1"/>
          <w:bCs w:val="1"/>
          <w:color w:val="auto"/>
        </w:rPr>
        <w:t>FATCA Withholding Tax</w:t>
      </w:r>
      <w:r>
        <w:rPr>
          <w:rFonts w:ascii="Times New Roman" w:cs="Times New Roman" w:eastAsia="Times New Roman" w:hAnsi="Times New Roman"/>
          <w:sz w:val="17"/>
          <w:szCs w:val="17"/>
          <w:color w:val="auto"/>
        </w:rPr>
        <w:t>”). For the avoidance of doubt, a FATCA Withholding Tax is a Tax the deduction or withholding of which is required by applicable law for the purposes of Section 2(d) of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77152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54" w:lineRule="exact"/>
        <w:rPr>
          <w:sz w:val="20"/>
          <w:szCs w:val="20"/>
          <w:color w:val="auto"/>
        </w:rPr>
      </w:pPr>
    </w:p>
    <w:p>
      <w:pPr>
        <w:ind w:left="424" w:hanging="424"/>
        <w:spacing w:after="0"/>
        <w:tabs>
          <w:tab w:leader="none" w:pos="424" w:val="left"/>
        </w:tabs>
        <w:numPr>
          <w:ilvl w:val="0"/>
          <w:numId w:val="25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Subject to DPW tax review.</w:t>
      </w:r>
    </w:p>
    <w:p>
      <w:pPr>
        <w:spacing w:after="0" w:line="1" w:lineRule="exact"/>
        <w:rPr>
          <w:rFonts w:ascii="Times New Roman" w:cs="Times New Roman" w:eastAsia="Times New Roman" w:hAnsi="Times New Roman"/>
          <w:sz w:val="27"/>
          <w:szCs w:val="27"/>
          <w:color w:val="auto"/>
          <w:vertAlign w:val="superscript"/>
        </w:rPr>
      </w:pPr>
    </w:p>
    <w:p>
      <w:pPr>
        <w:ind w:left="424" w:hanging="424"/>
        <w:spacing w:after="0" w:line="186" w:lineRule="auto"/>
        <w:tabs>
          <w:tab w:leader="none" w:pos="424" w:val="left"/>
        </w:tabs>
        <w:numPr>
          <w:ilvl w:val="0"/>
          <w:numId w:val="25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b w:val="1"/>
          <w:bCs w:val="1"/>
          <w:color w:val="auto"/>
        </w:rPr>
        <w:t>NTD</w:t>
      </w:r>
      <w:r>
        <w:rPr>
          <w:rFonts w:ascii="Times New Roman" w:cs="Times New Roman" w:eastAsia="Times New Roman" w:hAnsi="Times New Roman"/>
          <w:sz w:val="16"/>
          <w:szCs w:val="16"/>
          <w:color w:val="auto"/>
        </w:rPr>
        <w:t>: Dealer to confirm/update.</w:t>
      </w:r>
    </w:p>
    <w:p>
      <w:pPr>
        <w:spacing w:after="0" w:line="2" w:lineRule="exact"/>
        <w:rPr>
          <w:rFonts w:ascii="Times New Roman" w:cs="Times New Roman" w:eastAsia="Times New Roman" w:hAnsi="Times New Roman"/>
          <w:sz w:val="24"/>
          <w:szCs w:val="24"/>
          <w:color w:val="auto"/>
          <w:vertAlign w:val="superscript"/>
        </w:rPr>
      </w:pPr>
    </w:p>
    <w:p>
      <w:pPr>
        <w:ind w:left="424" w:hanging="424"/>
        <w:spacing w:after="0" w:line="186" w:lineRule="auto"/>
        <w:tabs>
          <w:tab w:leader="none" w:pos="424" w:val="left"/>
        </w:tabs>
        <w:numPr>
          <w:ilvl w:val="0"/>
          <w:numId w:val="25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b w:val="1"/>
          <w:bCs w:val="1"/>
          <w:color w:val="auto"/>
        </w:rPr>
        <w:t xml:space="preserve">NTD: </w:t>
      </w:r>
      <w:r>
        <w:rPr>
          <w:rFonts w:ascii="Times New Roman" w:cs="Times New Roman" w:eastAsia="Times New Roman" w:hAnsi="Times New Roman"/>
          <w:sz w:val="16"/>
          <w:szCs w:val="16"/>
          <w:color w:val="auto"/>
        </w:rPr>
        <w:t>Dealer to confirm/update.</w:t>
      </w:r>
    </w:p>
    <w:p>
      <w:pPr>
        <w:spacing w:after="0" w:line="1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4"/>
          </w:cols>
          <w:pgMar w:left="436" w:top="268" w:right="459" w:bottom="1440" w:gutter="0" w:footer="0" w:header="0"/>
        </w:sectPr>
      </w:pPr>
    </w:p>
    <w:bookmarkStart w:id="154" w:name="page155"/>
    <w:bookmarkEnd w:id="154"/>
    <w:p>
      <w:pPr>
        <w:ind w:left="1000" w:hanging="439"/>
        <w:spacing w:after="0" w:line="256" w:lineRule="auto"/>
        <w:tabs>
          <w:tab w:leader="none" w:pos="1000"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871(m) Protocol</w:t>
      </w:r>
      <w:r>
        <w:rPr>
          <w:rFonts w:ascii="Times New Roman" w:cs="Times New Roman" w:eastAsia="Times New Roman" w:hAnsi="Times New Roman"/>
          <w:sz w:val="18"/>
          <w:szCs w:val="18"/>
          <w:color w:val="auto"/>
        </w:rPr>
        <w:t>. Dealer and Counterparty hereby agree that this Agreement shall be treated as a Covered Master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that term is defined in the 2015 Section 871(m) Protocol published by the International Swaps and Derivatives Association, Inc. on November 2, 2015, as may be amended or modified from time to time (the “</w:t>
      </w:r>
      <w:r>
        <w:rPr>
          <w:rFonts w:ascii="Times New Roman" w:cs="Times New Roman" w:eastAsia="Times New Roman" w:hAnsi="Times New Roman"/>
          <w:sz w:val="18"/>
          <w:szCs w:val="18"/>
          <w:b w:val="1"/>
          <w:bCs w:val="1"/>
          <w:color w:val="auto"/>
        </w:rPr>
        <w:t>2015 Section 871(m) Protocol</w:t>
      </w:r>
      <w:r>
        <w:rPr>
          <w:rFonts w:ascii="Times New Roman" w:cs="Times New Roman" w:eastAsia="Times New Roman" w:hAnsi="Times New Roman"/>
          <w:sz w:val="18"/>
          <w:szCs w:val="18"/>
          <w:color w:val="auto"/>
        </w:rPr>
        <w:t>”)) and this Agreement shall be deemed to have been amended in accordance with the modifications specified in the Attachment to the 2015 Section 871(m) Protocol. If there is any inconsistency between this provision and a provision in any other agreement executed between the parties, this provision shall prevail unless such other agreement expressly overrides the provisions of the 871(m) Protocol.</w:t>
      </w:r>
    </w:p>
    <w:p>
      <w:pPr>
        <w:spacing w:after="0" w:line="88"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Insert additional Dealer boilerplate, if applicable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560"/>
          </w:cols>
          <w:pgMar w:left="860" w:top="268" w:right="479" w:bottom="1440" w:gutter="0" w:footer="0" w:header="0"/>
        </w:sectPr>
      </w:pPr>
    </w:p>
    <w:bookmarkStart w:id="155" w:name="page156"/>
    <w:bookmarkEnd w:id="155"/>
    <w:p>
      <w:pPr>
        <w:ind w:left="444"/>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Please confirm that the foregoing correctly sets forth the terms of our agreement by executing this Confirmation and returning it to [Dealer].</w:t>
      </w:r>
      <w:r>
        <w:rPr>
          <w:rFonts w:ascii="Times New Roman" w:cs="Times New Roman" w:eastAsia="Times New Roman" w:hAnsi="Times New Roman"/>
          <w:sz w:val="25"/>
          <w:szCs w:val="25"/>
          <w:color w:val="auto"/>
          <w:vertAlign w:val="superscript"/>
        </w:rPr>
        <w:t>34</w:t>
      </w:r>
    </w:p>
    <w:p>
      <w:pPr>
        <w:spacing w:after="0" w:line="172"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Dealer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17145</wp:posOffset>
            </wp:positionV>
            <wp:extent cx="256286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7152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84" w:lineRule="exact"/>
        <w:rPr>
          <w:sz w:val="20"/>
          <w:szCs w:val="20"/>
          <w:color w:val="auto"/>
        </w:rPr>
      </w:pPr>
    </w:p>
    <w:p>
      <w:pPr>
        <w:ind w:left="424" w:hanging="424"/>
        <w:spacing w:after="0"/>
        <w:tabs>
          <w:tab w:leader="none" w:pos="424" w:val="left"/>
        </w:tabs>
        <w:numPr>
          <w:ilvl w:val="0"/>
          <w:numId w:val="26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Include Dealer preferred signature page information, as applicable.</w:t>
      </w:r>
    </w:p>
    <w:p>
      <w:pPr>
        <w:spacing w:after="0" w:line="128" w:lineRule="exact"/>
        <w:rPr>
          <w:sz w:val="20"/>
          <w:szCs w:val="20"/>
          <w:color w:val="auto"/>
        </w:rPr>
      </w:pPr>
    </w:p>
    <w:p>
      <w:pPr>
        <w:ind w:left="310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[Base][Additional] Capped Call Cofnirmation</w:t>
      </w:r>
      <w:r>
        <w:rPr>
          <w:rFonts w:ascii="Times New Roman" w:cs="Times New Roman" w:eastAsia="Times New Roman" w:hAnsi="Times New Roman"/>
          <w:sz w:val="18"/>
          <w:szCs w:val="18"/>
          <w:color w:val="auto"/>
        </w:rPr>
        <w:t>]</w:t>
      </w:r>
    </w:p>
    <w:p>
      <w:pPr>
        <w:sectPr>
          <w:pgSz w:w="11900" w:h="16838" w:orient="portrait"/>
          <w:cols w:equalWidth="0" w:num="1">
            <w:col w:w="10664"/>
          </w:cols>
          <w:pgMar w:left="436" w:top="270" w:right="79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Accepted and confirmed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Trade Date: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SPECTRUM BRANDS, INC.</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purposes of the representations made by Parent in Section 8 herein and the representations, covenants and other undertakings made by Parent in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Sections 9(b), 9(c), 9(d), 9(n), 9(u) and 9(v) herein, confirmed and acknowledged as of the date first above written: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SPECTRUM BRANDS HOLDINGS, INC.</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137"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[Base][Additional] Capped Call Cofnirmation</w:t>
      </w:r>
      <w:r>
        <w:rPr>
          <w:rFonts w:ascii="Times New Roman" w:cs="Times New Roman" w:eastAsia="Times New Roman" w:hAnsi="Times New Roman"/>
          <w:sz w:val="18"/>
          <w:szCs w:val="18"/>
          <w:color w:val="auto"/>
        </w:rPr>
        <w:t>]</w:t>
      </w:r>
    </w:p>
    <w:sectPr>
      <w:pgSz w:w="11900" w:h="16838" w:orient="portrait"/>
      <w:cols w:equalWidth="0" w:num="1">
        <w:col w:w="10640"/>
      </w:cols>
      <w:pgMar w:left="440" w:top="270" w:right="8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E0858A"/>
    <w:multiLevelType w:val="hybridMultilevel"/>
    <w:lvl w:ilvl="0">
      <w:lvlJc w:val="left"/>
      <w:lvlText w:val="☐"/>
      <w:numFmt w:val="bullet"/>
      <w:start w:val="1"/>
    </w:lvl>
  </w:abstractNum>
  <w:abstractNum w:abstractNumId="1">
    <w:nsid w:val="57A61A29"/>
    <w:multiLevelType w:val="hybridMultilevel"/>
    <w:lvl w:ilvl="0">
      <w:lvlJc w:val="left"/>
      <w:lvlText w:val="(%1)"/>
      <w:numFmt w:val="decimal"/>
      <w:start w:val="10"/>
    </w:lvl>
  </w:abstractNum>
  <w:abstractNum w:abstractNumId="2">
    <w:nsid w:val="5399C654"/>
    <w:multiLevelType w:val="hybridMultilevel"/>
    <w:lvl w:ilvl="0">
      <w:lvlJc w:val="left"/>
      <w:lvlText w:val="(%1)"/>
      <w:numFmt w:val="upperLetter"/>
      <w:start w:val="1"/>
    </w:lvl>
    <w:lvl w:ilvl="1">
      <w:lvlJc w:val="left"/>
      <w:lvlText w:val="-"/>
      <w:numFmt w:val="bullet"/>
      <w:start w:val="1"/>
    </w:lvl>
  </w:abstractNum>
  <w:abstractNum w:abstractNumId="3">
    <w:nsid w:val="20EE1348"/>
    <w:multiLevelType w:val="hybridMultilevel"/>
    <w:lvl w:ilvl="0">
      <w:lvlJc w:val="left"/>
      <w:lvlText w:val="(%1)"/>
      <w:numFmt w:val="upperLetter"/>
      <w:start w:val="3"/>
    </w:lvl>
  </w:abstractNum>
  <w:abstractNum w:abstractNumId="4">
    <w:nsid w:val="4427069A"/>
    <w:multiLevelType w:val="hybridMultilevel"/>
    <w:lvl w:ilvl="0">
      <w:lvlJc w:val="left"/>
      <w:lvlText w:val="(%1)"/>
      <w:numFmt w:val="decimal"/>
      <w:start w:val="1"/>
    </w:lvl>
  </w:abstractNum>
  <w:abstractNum w:abstractNumId="5">
    <w:nsid w:val="B37E80A"/>
    <w:multiLevelType w:val="hybridMultilevel"/>
    <w:lvl w:ilvl="0">
      <w:lvlJc w:val="left"/>
      <w:lvlText w:val="(%1)"/>
      <w:numFmt w:val="upperLetter"/>
      <w:start w:val="4"/>
    </w:lvl>
  </w:abstractNum>
  <w:abstractNum w:abstractNumId="6">
    <w:nsid w:val="2157F6BC"/>
    <w:multiLevelType w:val="hybridMultilevel"/>
    <w:lvl w:ilvl="0">
      <w:lvlJc w:val="left"/>
      <w:lvlText w:val="(%1)"/>
      <w:numFmt w:val="upperLetter"/>
      <w:start w:val="1"/>
    </w:lvl>
    <w:lvl w:ilvl="1">
      <w:lvlJc w:val="left"/>
      <w:lvlText w:val="-"/>
      <w:numFmt w:val="bullet"/>
      <w:start w:val="1"/>
    </w:lvl>
  </w:abstractNum>
  <w:abstractNum w:abstractNumId="7">
    <w:nsid w:val="704E1DD5"/>
    <w:multiLevelType w:val="hybridMultilevel"/>
    <w:lvl w:ilvl="0">
      <w:lvlJc w:val="left"/>
      <w:lvlText w:val="(%1)"/>
      <w:numFmt w:val="decimal"/>
      <w:start w:val="5"/>
    </w:lvl>
  </w:abstractNum>
  <w:abstractNum w:abstractNumId="8">
    <w:nsid w:val="57D2F10E"/>
    <w:multiLevelType w:val="hybridMultilevel"/>
    <w:lvl w:ilvl="0">
      <w:lvlJc w:val="left"/>
      <w:lvlText w:val="(%1)"/>
      <w:numFmt w:val="upperLetter"/>
      <w:start w:val="1"/>
    </w:lvl>
    <w:lvl w:ilvl="1">
      <w:lvlJc w:val="left"/>
      <w:lvlText w:val="-"/>
      <w:numFmt w:val="bullet"/>
      <w:start w:val="1"/>
    </w:lvl>
  </w:abstractNum>
  <w:abstractNum w:abstractNumId="9">
    <w:nsid w:val="BFFAE18"/>
    <w:multiLevelType w:val="hybridMultilevel"/>
    <w:lvl w:ilvl="0">
      <w:lvlJc w:val="left"/>
      <w:lvlText w:val="(%1)"/>
      <w:numFmt w:val="upperLetter"/>
      <w:start w:val="3"/>
    </w:lvl>
  </w:abstractNum>
  <w:abstractNum w:abstractNumId="10">
    <w:nsid w:val="E3E47A8"/>
    <w:multiLevelType w:val="hybridMultilevel"/>
    <w:lvl w:ilvl="0">
      <w:lvlJc w:val="left"/>
      <w:lvlText w:val="(%1)"/>
      <w:numFmt w:val="upperLetter"/>
      <w:start w:val="1"/>
    </w:lvl>
    <w:lvl w:ilvl="1">
      <w:lvlJc w:val="left"/>
      <w:lvlText w:val="-"/>
      <w:numFmt w:val="bullet"/>
      <w:start w:val="1"/>
    </w:lvl>
  </w:abstractNum>
  <w:abstractNum w:abstractNumId="11">
    <w:nsid w:val="2E48F044"/>
    <w:multiLevelType w:val="hybridMultilevel"/>
    <w:lvl w:ilvl="0">
      <w:lvlJc w:val="left"/>
      <w:lvlText w:val="(%1)"/>
      <w:numFmt w:val="upperLetter"/>
      <w:start w:val="5"/>
    </w:lvl>
  </w:abstractNum>
  <w:abstractNum w:abstractNumId="12">
    <w:nsid w:val="49D0FEAC"/>
    <w:multiLevelType w:val="hybridMultilevel"/>
    <w:lvl w:ilvl="0">
      <w:lvlJc w:val="left"/>
      <w:lvlText w:val="(%1)"/>
      <w:numFmt w:val="upperLetter"/>
      <w:start w:val="1"/>
    </w:lvl>
  </w:abstractNum>
  <w:abstractNum w:abstractNumId="13">
    <w:nsid w:val="4BEE5A5B"/>
    <w:multiLevelType w:val="hybridMultilevel"/>
    <w:lvl w:ilvl="0">
      <w:lvlJc w:val="left"/>
      <w:lvlText w:val="(%1)"/>
      <w:numFmt w:val="lowerRoman"/>
      <w:start w:val="1"/>
    </w:lvl>
  </w:abstractNum>
  <w:abstractNum w:abstractNumId="14">
    <w:nsid w:val="5551B9F3"/>
    <w:multiLevelType w:val="hybridMultilevel"/>
    <w:lvl w:ilvl="0">
      <w:lvlJc w:val="left"/>
      <w:lvlText w:val="(%1)"/>
      <w:numFmt w:val="upperLetter"/>
      <w:start w:val="1"/>
    </w:lvl>
    <w:lvl w:ilvl="1">
      <w:lvlJc w:val="left"/>
      <w:lvlText w:val="-"/>
      <w:numFmt w:val="bullet"/>
      <w:start w:val="1"/>
    </w:lvl>
  </w:abstractNum>
  <w:abstractNum w:abstractNumId="15">
    <w:nsid w:val="24F6AB8E"/>
    <w:multiLevelType w:val="hybridMultilevel"/>
    <w:lvl w:ilvl="0">
      <w:lvlJc w:val="left"/>
      <w:lvlText w:val="(%1)"/>
      <w:numFmt w:val="upperLetter"/>
      <w:start w:val="1"/>
    </w:lvl>
  </w:abstractNum>
  <w:abstractNum w:abstractNumId="16">
    <w:nsid w:val="634C574C"/>
    <w:multiLevelType w:val="hybridMultilevel"/>
    <w:lvl w:ilvl="0">
      <w:lvlJc w:val="left"/>
      <w:lvlText w:val="(%1)"/>
      <w:numFmt w:val="upperLetter"/>
      <w:start w:val="1"/>
    </w:lvl>
    <w:lvl w:ilvl="1">
      <w:lvlJc w:val="left"/>
      <w:lvlText w:val="-"/>
      <w:numFmt w:val="bullet"/>
      <w:start w:val="1"/>
    </w:lvl>
  </w:abstractNum>
  <w:abstractNum w:abstractNumId="17">
    <w:nsid w:val="24E99DD7"/>
    <w:multiLevelType w:val="hybridMultilevel"/>
    <w:lvl w:ilvl="0">
      <w:lvlJc w:val="left"/>
      <w:lvlText w:val="(%1)"/>
      <w:numFmt w:val="upperLetter"/>
      <w:start w:val="2"/>
    </w:lvl>
  </w:abstractNum>
  <w:abstractNum w:abstractNumId="18">
    <w:nsid w:val="2A31B62D"/>
    <w:multiLevelType w:val="hybridMultilevel"/>
    <w:lvl w:ilvl="0">
      <w:lvlJc w:val="left"/>
      <w:lvlText w:val="(%1)"/>
      <w:numFmt w:val="upperLetter"/>
      <w:start w:val="1"/>
    </w:lvl>
    <w:lvl w:ilvl="1">
      <w:lvlJc w:val="left"/>
      <w:lvlText w:val="-"/>
      <w:numFmt w:val="bullet"/>
      <w:start w:val="1"/>
    </w:lvl>
  </w:abstractNum>
  <w:abstractNum w:abstractNumId="19">
    <w:nsid w:val="1849C29B"/>
    <w:multiLevelType w:val="hybridMultilevel"/>
    <w:lvl w:ilvl="0">
      <w:lvlJc w:val="left"/>
      <w:lvlText w:val="(%1)"/>
      <w:numFmt w:val="upperLetter"/>
      <w:start w:val="3"/>
    </w:lvl>
  </w:abstractNum>
  <w:abstractNum w:abstractNumId="20">
    <w:nsid w:val="7DFF9D09"/>
    <w:multiLevelType w:val="hybridMultilevel"/>
    <w:lvl w:ilvl="0">
      <w:lvlJc w:val="left"/>
      <w:lvlText w:val="(%1)"/>
      <w:numFmt w:val="upperLetter"/>
      <w:start w:val="2"/>
    </w:lvl>
  </w:abstractNum>
  <w:abstractNum w:abstractNumId="21">
    <w:nsid w:val="754342"/>
    <w:multiLevelType w:val="hybridMultilevel"/>
    <w:lvl w:ilvl="0">
      <w:lvlJc w:val="left"/>
      <w:lvlText w:val="(%1)"/>
      <w:numFmt w:val="upperLetter"/>
      <w:start w:val="2"/>
    </w:lvl>
  </w:abstractNum>
  <w:abstractNum w:abstractNumId="22">
    <w:nsid w:val="69E7F3E5"/>
    <w:multiLevelType w:val="hybridMultilevel"/>
    <w:lvl w:ilvl="0">
      <w:lvlJc w:val="left"/>
      <w:lvlText w:val="(%1)"/>
      <w:numFmt w:val="upperLetter"/>
      <w:start w:val="1"/>
    </w:lvl>
    <w:lvl w:ilvl="1">
      <w:lvlJc w:val="left"/>
      <w:lvlText w:val="-"/>
      <w:numFmt w:val="bullet"/>
      <w:start w:val="1"/>
    </w:lvl>
  </w:abstractNum>
  <w:abstractNum w:abstractNumId="23">
    <w:nsid w:val="2A6DE806"/>
    <w:multiLevelType w:val="hybridMultilevel"/>
    <w:lvl w:ilvl="0">
      <w:lvlJc w:val="left"/>
      <w:lvlText w:val="(%1)"/>
      <w:numFmt w:val="upperLetter"/>
      <w:start w:val="2"/>
    </w:lvl>
  </w:abstractNum>
  <w:abstractNum w:abstractNumId="24">
    <w:nsid w:val="1816F8C4"/>
    <w:multiLevelType w:val="hybridMultilevel"/>
    <w:lvl w:ilvl="0">
      <w:lvlJc w:val="left"/>
      <w:lvlText w:val="(%1)"/>
      <w:numFmt w:val="lowerRoman"/>
      <w:start w:val="1"/>
    </w:lvl>
  </w:abstractNum>
  <w:abstractNum w:abstractNumId="25">
    <w:nsid w:val="37DF2233"/>
    <w:multiLevelType w:val="hybridMultilevel"/>
    <w:lvl w:ilvl="0">
      <w:lvlJc w:val="left"/>
      <w:lvlText w:val="(%1)"/>
      <w:numFmt w:val="upperLetter"/>
      <w:start w:val="4"/>
    </w:lvl>
  </w:abstractNum>
  <w:abstractNum w:abstractNumId="26">
    <w:nsid w:val="7AB49DAF"/>
    <w:multiLevelType w:val="hybridMultilevel"/>
    <w:lvl w:ilvl="0">
      <w:lvlJc w:val="left"/>
      <w:lvlText w:val="(%1)"/>
      <w:numFmt w:val="lowerRoman"/>
      <w:start w:val="1"/>
    </w:lvl>
  </w:abstractNum>
  <w:abstractNum w:abstractNumId="27">
    <w:nsid w:val="759F82CD"/>
    <w:multiLevelType w:val="hybridMultilevel"/>
    <w:lvl w:ilvl="0">
      <w:lvlJc w:val="left"/>
      <w:lvlText w:val="(%1)"/>
      <w:numFmt w:val="upperLetter"/>
      <w:start w:val="1"/>
    </w:lvl>
  </w:abstractNum>
  <w:abstractNum w:abstractNumId="28">
    <w:nsid w:val="61E74EA3"/>
    <w:multiLevelType w:val="hybridMultilevel"/>
    <w:lvl w:ilvl="0">
      <w:lvlJc w:val="left"/>
      <w:lvlText w:val="(%1)"/>
      <w:numFmt w:val="lowerRoman"/>
      <w:start w:val="1"/>
    </w:lvl>
    <w:lvl w:ilvl="1">
      <w:lvlJc w:val="left"/>
      <w:lvlText w:val="-"/>
      <w:numFmt w:val="bullet"/>
      <w:start w:val="1"/>
    </w:lvl>
  </w:abstractNum>
  <w:abstractNum w:abstractNumId="29">
    <w:nsid w:val="597B4D84"/>
    <w:multiLevelType w:val="hybridMultilevel"/>
    <w:lvl w:ilvl="0">
      <w:lvlJc w:val="left"/>
      <w:lvlText w:val="(%1)"/>
      <w:numFmt w:val="lowerRoman"/>
      <w:start w:val="3"/>
    </w:lvl>
  </w:abstractNum>
  <w:abstractNum w:abstractNumId="30">
    <w:nsid w:val="F819E7F"/>
    <w:multiLevelType w:val="hybridMultilevel"/>
    <w:lvl w:ilvl="0">
      <w:lvlJc w:val="left"/>
      <w:lvlText w:val="(%1)"/>
      <w:numFmt w:val="upperLetter"/>
      <w:start w:val="2"/>
    </w:lvl>
  </w:abstractNum>
  <w:abstractNum w:abstractNumId="31">
    <w:nsid w:val="57C7D42D"/>
    <w:multiLevelType w:val="hybridMultilevel"/>
    <w:lvl w:ilvl="0">
      <w:lvlJc w:val="left"/>
      <w:lvlText w:val="(%1)"/>
      <w:numFmt w:val="lowerRoman"/>
      <w:start w:val="1"/>
    </w:lvl>
    <w:lvl w:ilvl="1">
      <w:lvlJc w:val="left"/>
      <w:lvlText w:val="-"/>
      <w:numFmt w:val="bullet"/>
      <w:start w:val="1"/>
    </w:lvl>
  </w:abstractNum>
  <w:abstractNum w:abstractNumId="32">
    <w:nsid w:val="312167AD"/>
    <w:multiLevelType w:val="hybridMultilevel"/>
    <w:lvl w:ilvl="0">
      <w:lvlJc w:val="left"/>
      <w:lvlText w:val="%1"/>
      <w:numFmt w:val="lowerRoman"/>
      <w:start w:val="1"/>
    </w:lvl>
    <w:lvl w:ilvl="1">
      <w:lvlJc w:val="left"/>
      <w:lvlText w:val="(%2)"/>
      <w:numFmt w:val="decimal"/>
      <w:start w:val="1"/>
    </w:lvl>
  </w:abstractNum>
  <w:abstractNum w:abstractNumId="33">
    <w:nsid w:val="631B64D4"/>
    <w:multiLevelType w:val="hybridMultilevel"/>
    <w:lvl w:ilvl="0">
      <w:lvlJc w:val="left"/>
      <w:lvlText w:val="(%1)"/>
      <w:numFmt w:val="lowerRoman"/>
      <w:start w:val="2"/>
    </w:lvl>
    <w:lvl w:ilvl="1">
      <w:lvlJc w:val="left"/>
      <w:lvlText w:val="(%2)"/>
      <w:numFmt w:val="decimal"/>
      <w:start w:val="1"/>
    </w:lvl>
  </w:abstractNum>
  <w:abstractNum w:abstractNumId="34">
    <w:nsid w:val="78B5E776"/>
    <w:multiLevelType w:val="hybridMultilevel"/>
    <w:lvl w:ilvl="0">
      <w:lvlJc w:val="left"/>
      <w:lvlText w:val="(%1)"/>
      <w:numFmt w:val="upperLetter"/>
      <w:start w:val="3"/>
    </w:lvl>
  </w:abstractNum>
  <w:abstractNum w:abstractNumId="35">
    <w:nsid w:val="75486E47"/>
    <w:multiLevelType w:val="hybridMultilevel"/>
    <w:lvl w:ilvl="0">
      <w:lvlJc w:val="left"/>
      <w:lvlText w:val="(%1)"/>
      <w:numFmt w:val="lowerRoman"/>
      <w:start w:val="1"/>
    </w:lvl>
    <w:lvl w:ilvl="1">
      <w:lvlJc w:val="left"/>
      <w:lvlText w:val="(%2)"/>
      <w:numFmt w:val="decimal"/>
      <w:start w:val="1"/>
    </w:lvl>
  </w:abstractNum>
  <w:abstractNum w:abstractNumId="36">
    <w:nsid w:val="6E534CDE"/>
    <w:multiLevelType w:val="hybridMultilevel"/>
    <w:lvl w:ilvl="0">
      <w:lvlJc w:val="left"/>
      <w:lvlText w:val="(%1)"/>
      <w:numFmt w:val="lowerRoman"/>
      <w:start w:val="2"/>
    </w:lvl>
  </w:abstractNum>
  <w:abstractNum w:abstractNumId="37">
    <w:nsid w:val="1A0DDE32"/>
    <w:multiLevelType w:val="hybridMultilevel"/>
    <w:lvl w:ilvl="0">
      <w:lvlJc w:val="left"/>
      <w:lvlText w:val="%1"/>
      <w:numFmt w:val="lowerLetter"/>
      <w:start w:val="1"/>
    </w:lvl>
    <w:lvl w:ilvl="1">
      <w:lvlJc w:val="left"/>
      <w:lvlText w:val="(%2)"/>
      <w:numFmt w:val="decimal"/>
      <w:start w:val="1"/>
    </w:lvl>
    <w:lvl w:ilvl="2">
      <w:lvlJc w:val="left"/>
      <w:lvlText w:val="-"/>
      <w:numFmt w:val="bullet"/>
      <w:start w:val="1"/>
    </w:lvl>
  </w:abstractNum>
  <w:abstractNum w:abstractNumId="38">
    <w:nsid w:val="65968C1C"/>
    <w:multiLevelType w:val="hybridMultilevel"/>
    <w:lvl w:ilvl="0">
      <w:lvlJc w:val="left"/>
      <w:lvlText w:val="(%1)"/>
      <w:numFmt w:val="lowerLetter"/>
      <w:start w:val="1"/>
    </w:lvl>
    <w:lvl w:ilvl="1">
      <w:lvlJc w:val="left"/>
      <w:lvlText w:val="%2"/>
      <w:numFmt w:val="decimal"/>
      <w:start w:val="1"/>
    </w:lvl>
    <w:lvl w:ilvl="2">
      <w:lvlJc w:val="left"/>
      <w:lvlText w:val="-"/>
      <w:numFmt w:val="bullet"/>
      <w:start w:val="1"/>
    </w:lvl>
  </w:abstractNum>
  <w:abstractNum w:abstractNumId="39">
    <w:nsid w:val="46263DEC"/>
    <w:multiLevelType w:val="hybridMultilevel"/>
    <w:lvl w:ilvl="0">
      <w:lvlJc w:val="left"/>
      <w:lvlText w:val="(%1)"/>
      <w:numFmt w:val="lowerLetter"/>
      <w:start w:val="2"/>
    </w:lvl>
  </w:abstractNum>
  <w:abstractNum w:abstractNumId="40">
    <w:nsid w:val="260D8C4A"/>
    <w:multiLevelType w:val="hybridMultilevel"/>
    <w:lvl w:ilvl="0">
      <w:lvlJc w:val="left"/>
      <w:lvlText w:val="(%1)"/>
      <w:numFmt w:val="lowerLetter"/>
      <w:start w:val="25"/>
    </w:lvl>
  </w:abstractNum>
  <w:abstractNum w:abstractNumId="41">
    <w:nsid w:val="73D4D3C4"/>
    <w:multiLevelType w:val="hybridMultilevel"/>
    <w:lvl w:ilvl="0">
      <w:lvlJc w:val="left"/>
      <w:lvlText w:val="%1"/>
      <w:numFmt w:val="upperLetter"/>
      <w:start w:val="1"/>
    </w:lvl>
    <w:lvl w:ilvl="1">
      <w:lvlJc w:val="left"/>
      <w:lvlText w:val="(%2)"/>
      <w:numFmt w:val="decimal"/>
      <w:start w:val="4"/>
    </w:lvl>
  </w:abstractNum>
  <w:abstractNum w:abstractNumId="42">
    <w:nsid w:val="746F2E30"/>
    <w:multiLevelType w:val="hybridMultilevel"/>
    <w:lvl w:ilvl="0">
      <w:lvlJc w:val="left"/>
      <w:lvlText w:val="(%1)"/>
      <w:numFmt w:val="upperLetter"/>
      <w:start w:val="4"/>
    </w:lvl>
    <w:lvl w:ilvl="1">
      <w:lvlJc w:val="left"/>
      <w:lvlText w:val="%2"/>
      <w:numFmt w:val="decimal"/>
      <w:start w:val="1"/>
    </w:lvl>
  </w:abstractNum>
  <w:abstractNum w:abstractNumId="43">
    <w:nsid w:val="6FDE8AF6"/>
    <w:multiLevelType w:val="hybridMultilevel"/>
    <w:lvl w:ilvl="0">
      <w:lvlJc w:val="left"/>
      <w:lvlText w:val="(%1)"/>
      <w:numFmt w:val="lowerRoman"/>
      <w:start w:val="1"/>
    </w:lvl>
  </w:abstractNum>
  <w:abstractNum w:abstractNumId="44">
    <w:nsid w:val="3FC32E20"/>
    <w:multiLevelType w:val="hybridMultilevel"/>
    <w:lvl w:ilvl="0">
      <w:lvlJc w:val="left"/>
      <w:lvlText w:val="(%1)"/>
      <w:numFmt w:val="upperLetter"/>
      <w:start w:val="5"/>
    </w:lvl>
    <w:lvl w:ilvl="1">
      <w:lvlJc w:val="left"/>
      <w:lvlText w:val="-"/>
      <w:numFmt w:val="bullet"/>
      <w:start w:val="1"/>
    </w:lvl>
  </w:abstractNum>
  <w:abstractNum w:abstractNumId="45">
    <w:nsid w:val="49C0E823"/>
    <w:multiLevelType w:val="hybridMultilevel"/>
    <w:lvl w:ilvl="0">
      <w:lvlJc w:val="left"/>
      <w:lvlText w:val="(%1)"/>
      <w:numFmt w:val="upperLetter"/>
      <w:start w:val="1"/>
    </w:lvl>
  </w:abstractNum>
  <w:abstractNum w:abstractNumId="46">
    <w:nsid w:val="14D53685"/>
    <w:multiLevelType w:val="hybridMultilevel"/>
    <w:lvl w:ilvl="0">
      <w:lvlJc w:val="left"/>
      <w:lvlText w:val="(%1)"/>
      <w:numFmt w:val="lowerRoman"/>
      <w:start w:val="1"/>
    </w:lvl>
    <w:lvl w:ilvl="1">
      <w:lvlJc w:val="left"/>
      <w:lvlText w:val="-"/>
      <w:numFmt w:val="bullet"/>
      <w:start w:val="1"/>
    </w:lvl>
  </w:abstractNum>
  <w:abstractNum w:abstractNumId="47">
    <w:nsid w:val="230F856C"/>
    <w:multiLevelType w:val="hybridMultilevel"/>
    <w:lvl w:ilvl="0">
      <w:lvlJc w:val="left"/>
      <w:lvlText w:val="(%1)"/>
      <w:numFmt w:val="upperLetter"/>
      <w:start w:val="1"/>
    </w:lvl>
    <w:lvl w:ilvl="1">
      <w:lvlJc w:val="left"/>
      <w:lvlText w:val="-"/>
      <w:numFmt w:val="bullet"/>
      <w:start w:val="1"/>
    </w:lvl>
  </w:abstractNum>
  <w:abstractNum w:abstractNumId="48">
    <w:nsid w:val="6EAA85FB"/>
    <w:multiLevelType w:val="hybridMultilevel"/>
    <w:lvl w:ilvl="0">
      <w:lvlJc w:val="left"/>
      <w:lvlText w:val="(%1)"/>
      <w:numFmt w:val="upperLetter"/>
      <w:start w:val="2"/>
    </w:lvl>
  </w:abstractNum>
  <w:abstractNum w:abstractNumId="49">
    <w:nsid w:val="3F06ECB2"/>
    <w:multiLevelType w:val="hybridMultilevel"/>
    <w:lvl w:ilvl="0">
      <w:lvlJc w:val="left"/>
      <w:lvlText w:val="(%1)"/>
      <w:numFmt w:val="upperLetter"/>
      <w:start w:val="1"/>
    </w:lvl>
  </w:abstractNum>
  <w:abstractNum w:abstractNumId="50">
    <w:nsid w:val="3B594807"/>
    <w:multiLevelType w:val="hybridMultilevel"/>
    <w:lvl w:ilvl="0">
      <w:lvlJc w:val="left"/>
      <w:lvlText w:val="(%1)"/>
      <w:numFmt w:val="upperLetter"/>
      <w:start w:val="1"/>
    </w:lvl>
  </w:abstractNum>
  <w:abstractNum w:abstractNumId="51">
    <w:nsid w:val="6CAA2304"/>
    <w:multiLevelType w:val="hybridMultilevel"/>
    <w:lvl w:ilvl="0">
      <w:lvlJc w:val="left"/>
      <w:lvlText w:val="(%1)"/>
      <w:numFmt w:val="upperLetter"/>
      <w:start w:val="1"/>
    </w:lvl>
  </w:abstractNum>
  <w:abstractNum w:abstractNumId="52">
    <w:nsid w:val="3F7C2FF4"/>
    <w:multiLevelType w:val="hybridMultilevel"/>
    <w:lvl w:ilvl="0">
      <w:lvlJc w:val="left"/>
      <w:lvlText w:val="(%1)"/>
      <w:numFmt w:val="lowerRoman"/>
      <w:start w:val="1"/>
    </w:lvl>
    <w:lvl w:ilvl="1">
      <w:lvlJc w:val="left"/>
      <w:lvlText w:val="(%2)"/>
      <w:numFmt w:val="decimal"/>
      <w:start w:val="1"/>
    </w:lvl>
  </w:abstractNum>
  <w:abstractNum w:abstractNumId="53">
    <w:nsid w:val="25413BEC"/>
    <w:multiLevelType w:val="hybridMultilevel"/>
    <w:lvl w:ilvl="0">
      <w:lvlJc w:val="left"/>
      <w:lvlText w:val="(%1)"/>
      <w:numFmt w:val="lowerRoman"/>
      <w:start w:val="2"/>
    </w:lvl>
  </w:abstractNum>
  <w:abstractNum w:abstractNumId="54">
    <w:nsid w:val="17180B0B"/>
    <w:multiLevelType w:val="hybridMultilevel"/>
    <w:lvl w:ilvl="0">
      <w:lvlJc w:val="left"/>
      <w:lvlText w:val="(%1)"/>
      <w:numFmt w:val="upperLetter"/>
      <w:start w:val="2"/>
    </w:lvl>
    <w:lvl w:ilvl="1">
      <w:lvlJc w:val="left"/>
      <w:lvlText w:val="-"/>
      <w:numFmt w:val="bullet"/>
      <w:start w:val="1"/>
    </w:lvl>
  </w:abstractNum>
  <w:abstractNum w:abstractNumId="55">
    <w:nsid w:val="579328B9"/>
    <w:multiLevelType w:val="hybridMultilevel"/>
    <w:lvl w:ilvl="0">
      <w:lvlJc w:val="left"/>
      <w:lvlText w:val="(%1)"/>
      <w:numFmt w:val="upperLetter"/>
      <w:start w:val="3"/>
    </w:lvl>
  </w:abstractNum>
  <w:abstractNum w:abstractNumId="56">
    <w:nsid w:val="5D205E20"/>
    <w:multiLevelType w:val="hybridMultilevel"/>
    <w:lvl w:ilvl="0">
      <w:lvlJc w:val="left"/>
      <w:lvlText w:val="(%1)"/>
      <w:numFmt w:val="upperLetter"/>
      <w:start w:val="1"/>
    </w:lvl>
  </w:abstractNum>
  <w:abstractNum w:abstractNumId="57">
    <w:nsid w:val="11CCA8BA"/>
    <w:multiLevelType w:val="hybridMultilevel"/>
    <w:lvl w:ilvl="0">
      <w:lvlJc w:val="left"/>
      <w:lvlText w:val="(%1)"/>
      <w:numFmt w:val="upperLetter"/>
      <w:start w:val="1"/>
    </w:lvl>
    <w:lvl w:ilvl="1">
      <w:lvlJc w:val="left"/>
      <w:lvlText w:val="-"/>
      <w:numFmt w:val="bullet"/>
      <w:start w:val="1"/>
    </w:lvl>
  </w:abstractNum>
  <w:abstractNum w:abstractNumId="58">
    <w:nsid w:val="4D32AB86"/>
    <w:multiLevelType w:val="hybridMultilevel"/>
    <w:lvl w:ilvl="0">
      <w:lvlJc w:val="left"/>
      <w:lvlText w:val="(%1)"/>
      <w:numFmt w:val="upperLetter"/>
      <w:start w:val="5"/>
    </w:lvl>
  </w:abstractNum>
  <w:abstractNum w:abstractNumId="59">
    <w:nsid w:val="3F07ACC3"/>
    <w:multiLevelType w:val="hybridMultilevel"/>
    <w:lvl w:ilvl="0">
      <w:lvlJc w:val="left"/>
      <w:lvlText w:val="(%1)"/>
      <w:numFmt w:val="lowerRoman"/>
      <w:start w:val="1"/>
    </w:lvl>
    <w:lvl w:ilvl="1">
      <w:lvlJc w:val="left"/>
      <w:lvlText w:val="-"/>
      <w:numFmt w:val="bullet"/>
      <w:start w:val="1"/>
    </w:lvl>
  </w:abstractNum>
  <w:abstractNum w:abstractNumId="60">
    <w:nsid w:val="6B47F63E"/>
    <w:multiLevelType w:val="hybridMultilevel"/>
    <w:lvl w:ilvl="0">
      <w:lvlJc w:val="left"/>
      <w:lvlText w:val="(%1)"/>
      <w:numFmt w:val="upperLetter"/>
      <w:start w:val="6"/>
    </w:lvl>
  </w:abstractNum>
  <w:abstractNum w:abstractNumId="61">
    <w:nsid w:val="5CB44A05"/>
    <w:multiLevelType w:val="hybridMultilevel"/>
    <w:lvl w:ilvl="0">
      <w:lvlJc w:val="left"/>
      <w:lvlText w:val="(%1)"/>
      <w:numFmt w:val="lowerRoman"/>
      <w:start w:val="1"/>
    </w:lvl>
    <w:lvl w:ilvl="1">
      <w:lvlJc w:val="left"/>
      <w:lvlText w:val="(%2)"/>
      <w:numFmt w:val="decimal"/>
      <w:start w:val="1"/>
    </w:lvl>
  </w:abstractNum>
  <w:abstractNum w:abstractNumId="62">
    <w:nsid w:val="16CF80F1"/>
    <w:multiLevelType w:val="hybridMultilevel"/>
    <w:lvl w:ilvl="0">
      <w:lvlJc w:val="left"/>
      <w:lvlText w:val="(%1)"/>
      <w:numFmt w:val="lowerRoman"/>
      <w:start w:val="2"/>
    </w:lvl>
    <w:lvl w:ilvl="1">
      <w:lvlJc w:val="left"/>
      <w:lvlText w:val="(%2)"/>
      <w:numFmt w:val="decimal"/>
      <w:start w:val="1"/>
    </w:lvl>
  </w:abstractNum>
  <w:abstractNum w:abstractNumId="63">
    <w:nsid w:val="1C695DEC"/>
    <w:multiLevelType w:val="hybridMultilevel"/>
    <w:lvl w:ilvl="0">
      <w:lvlJc w:val="left"/>
      <w:lvlText w:val="(%1)"/>
      <w:numFmt w:val="lowerRoman"/>
      <w:start w:val="3"/>
    </w:lvl>
    <w:lvl w:ilvl="1">
      <w:lvlJc w:val="left"/>
      <w:lvlText w:val="-"/>
      <w:numFmt w:val="bullet"/>
      <w:start w:val="1"/>
    </w:lvl>
  </w:abstractNum>
  <w:abstractNum w:abstractNumId="64">
    <w:nsid w:val="3FCFAED9"/>
    <w:multiLevelType w:val="hybridMultilevel"/>
    <w:lvl w:ilvl="0">
      <w:lvlJc w:val="left"/>
      <w:lvlText w:val="(%1)"/>
      <w:numFmt w:val="decimal"/>
      <w:start w:val="1"/>
    </w:lvl>
  </w:abstractNum>
  <w:abstractNum w:abstractNumId="65">
    <w:nsid w:val="F856867"/>
    <w:multiLevelType w:val="hybridMultilevel"/>
    <w:lvl w:ilvl="0">
      <w:lvlJc w:val="left"/>
      <w:lvlText w:val="(%1)"/>
      <w:numFmt w:val="upperLetter"/>
      <w:start w:val="7"/>
    </w:lvl>
    <w:lvl w:ilvl="1">
      <w:lvlJc w:val="left"/>
      <w:lvlText w:val="-"/>
      <w:numFmt w:val="bullet"/>
      <w:start w:val="1"/>
    </w:lvl>
  </w:abstractNum>
  <w:abstractNum w:abstractNumId="66">
    <w:nsid w:val="11B1CC33"/>
    <w:multiLevelType w:val="hybridMultilevel"/>
    <w:lvl w:ilvl="0">
      <w:lvlJc w:val="left"/>
      <w:lvlText w:val="(%1)"/>
      <w:numFmt w:val="upperLetter"/>
      <w:start w:val="9"/>
    </w:lvl>
  </w:abstractNum>
  <w:abstractNum w:abstractNumId="67">
    <w:nsid w:val="2E22FBB7"/>
    <w:multiLevelType w:val="hybridMultilevel"/>
    <w:lvl w:ilvl="0">
      <w:lvlJc w:val="left"/>
      <w:lvlText w:val="(%1)"/>
      <w:numFmt w:val="upperLetter"/>
      <w:start w:val="1"/>
    </w:lvl>
    <w:lvl w:ilvl="1">
      <w:lvlJc w:val="left"/>
      <w:lvlText w:val="-"/>
      <w:numFmt w:val="bullet"/>
      <w:start w:val="1"/>
    </w:lvl>
  </w:abstractNum>
  <w:abstractNum w:abstractNumId="68">
    <w:nsid w:val="29934699"/>
    <w:multiLevelType w:val="hybridMultilevel"/>
    <w:lvl w:ilvl="0">
      <w:lvlJc w:val="left"/>
      <w:lvlText w:val="(%1)"/>
      <w:numFmt w:val="lowerRoman"/>
      <w:start w:val="10"/>
    </w:lvl>
  </w:abstractNum>
  <w:abstractNum w:abstractNumId="69">
    <w:nsid w:val="77485850"/>
    <w:multiLevelType w:val="hybridMultilevel"/>
    <w:lvl w:ilvl="0">
      <w:lvlJc w:val="left"/>
      <w:lvlText w:val="(%1)"/>
      <w:numFmt w:val="upperLetter"/>
      <w:start w:val="3"/>
    </w:lvl>
    <w:lvl w:ilvl="1">
      <w:lvlJc w:val="left"/>
      <w:lvlText w:val="-"/>
      <w:numFmt w:val="bullet"/>
      <w:start w:val="1"/>
    </w:lvl>
  </w:abstractNum>
  <w:abstractNum w:abstractNumId="70">
    <w:nsid w:val="744939A3"/>
    <w:multiLevelType w:val="hybridMultilevel"/>
    <w:lvl w:ilvl="0">
      <w:lvlJc w:val="left"/>
      <w:lvlText w:val="(%1)"/>
      <w:numFmt w:val="upperLetter"/>
      <w:start w:val="6"/>
    </w:lvl>
  </w:abstractNum>
  <w:abstractNum w:abstractNumId="71">
    <w:nsid w:val="4FA0D2E3"/>
    <w:multiLevelType w:val="hybridMultilevel"/>
    <w:lvl w:ilvl="0">
      <w:lvlJc w:val="left"/>
      <w:lvlText w:val="(%1)"/>
      <w:numFmt w:val="lowerRoman"/>
      <w:start w:val="1"/>
    </w:lvl>
  </w:abstractNum>
  <w:abstractNum w:abstractNumId="72">
    <w:nsid w:val="6B1D2C14"/>
    <w:multiLevelType w:val="hybridMultilevel"/>
    <w:lvl w:ilvl="0">
      <w:lvlJc w:val="left"/>
      <w:lvlText w:val="(%1)"/>
      <w:numFmt w:val="upperLetter"/>
      <w:start w:val="7"/>
    </w:lvl>
  </w:abstractNum>
  <w:abstractNum w:abstractNumId="73">
    <w:nsid w:val="68B867D3"/>
    <w:multiLevelType w:val="hybridMultilevel"/>
    <w:lvl w:ilvl="0">
      <w:lvlJc w:val="left"/>
      <w:lvlText w:val="(%1)"/>
      <w:numFmt w:val="lowerRoman"/>
      <w:start w:val="1"/>
    </w:lvl>
    <w:lvl w:ilvl="1">
      <w:lvlJc w:val="left"/>
      <w:lvlText w:val="-"/>
      <w:numFmt w:val="bullet"/>
      <w:start w:val="1"/>
    </w:lvl>
  </w:abstractNum>
  <w:abstractNum w:abstractNumId="74">
    <w:nsid w:val="3F7F5DD9"/>
    <w:multiLevelType w:val="hybridMultilevel"/>
    <w:lvl w:ilvl="0">
      <w:lvlJc w:val="left"/>
      <w:lvlText w:val="(%1)"/>
      <w:numFmt w:val="lowerRoman"/>
      <w:start w:val="2"/>
    </w:lvl>
  </w:abstractNum>
  <w:abstractNum w:abstractNumId="75">
    <w:nsid w:val="2AE05A34"/>
    <w:multiLevelType w:val="hybridMultilevel"/>
    <w:lvl w:ilvl="0">
      <w:lvlJc w:val="left"/>
      <w:lvlText w:val="(%1)"/>
      <w:numFmt w:val="upperLetter"/>
      <w:start w:val="9"/>
    </w:lvl>
  </w:abstractNum>
  <w:abstractNum w:abstractNumId="76">
    <w:nsid w:val="32794FF7"/>
    <w:multiLevelType w:val="hybridMultilevel"/>
    <w:lvl w:ilvl="0">
      <w:lvlJc w:val="left"/>
      <w:lvlText w:val="(%1)"/>
      <w:numFmt w:val="upperLetter"/>
      <w:start w:val="1"/>
    </w:lvl>
  </w:abstractNum>
  <w:abstractNum w:abstractNumId="77">
    <w:nsid w:val="5454945E"/>
    <w:multiLevelType w:val="hybridMultilevel"/>
    <w:lvl w:ilvl="0">
      <w:lvlJc w:val="left"/>
      <w:lvlText w:val="(%1)"/>
      <w:numFmt w:val="lowerRoman"/>
      <w:start w:val="1"/>
    </w:lvl>
    <w:lvl w:ilvl="1">
      <w:lvlJc w:val="left"/>
      <w:lvlText w:val="(%2)"/>
      <w:numFmt w:val="decimal"/>
      <w:start w:val="19"/>
    </w:lvl>
    <w:lvl w:ilvl="2">
      <w:lvlJc w:val="left"/>
      <w:lvlText w:val="(%3)"/>
      <w:numFmt w:val="decimal"/>
      <w:start w:val="1"/>
    </w:lvl>
    <w:lvl w:ilvl="3">
      <w:lvlJc w:val="left"/>
      <w:lvlText w:val="-"/>
      <w:numFmt w:val="bullet"/>
      <w:start w:val="1"/>
    </w:lvl>
  </w:abstractNum>
  <w:abstractNum w:abstractNumId="78">
    <w:nsid w:val="4DEFDFA0"/>
    <w:multiLevelType w:val="hybridMultilevel"/>
    <w:lvl w:ilvl="0">
      <w:lvlJc w:val="left"/>
      <w:lvlText w:val="(%1)"/>
      <w:numFmt w:val="decimal"/>
      <w:start w:val="2"/>
    </w:lvl>
  </w:abstractNum>
  <w:abstractNum w:abstractNumId="79">
    <w:nsid w:val="2123D5F2"/>
    <w:multiLevelType w:val="hybridMultilevel"/>
    <w:lvl w:ilvl="0">
      <w:lvlJc w:val="left"/>
      <w:lvlText w:val="%1"/>
      <w:numFmt w:val="lowerLetter"/>
      <w:start w:val="1"/>
    </w:lvl>
    <w:lvl w:ilvl="1">
      <w:lvlJc w:val="left"/>
      <w:lvlText w:val="(%2)"/>
      <w:numFmt w:val="decimal"/>
      <w:start w:val="3"/>
    </w:lvl>
  </w:abstractNum>
  <w:abstractNum w:abstractNumId="80">
    <w:nsid w:val="135B8110"/>
    <w:multiLevelType w:val="hybridMultilevel"/>
    <w:lvl w:ilvl="0">
      <w:lvlJc w:val="left"/>
      <w:lvlText w:val="(%1)"/>
      <w:numFmt w:val="lowerLetter"/>
      <w:start w:val="1"/>
    </w:lvl>
    <w:lvl w:ilvl="1">
      <w:lvlJc w:val="left"/>
      <w:lvlText w:val="%2"/>
      <w:numFmt w:val="decimal"/>
      <w:start w:val="1"/>
    </w:lvl>
  </w:abstractNum>
  <w:abstractNum w:abstractNumId="81">
    <w:nsid w:val="94927A8"/>
    <w:multiLevelType w:val="hybridMultilevel"/>
    <w:lvl w:ilvl="0">
      <w:lvlJc w:val="left"/>
      <w:lvlText w:val="(%1)"/>
      <w:numFmt w:val="upperLetter"/>
      <w:start w:val="9"/>
    </w:lvl>
    <w:lvl w:ilvl="1">
      <w:lvlJc w:val="left"/>
      <w:lvlText w:val="-"/>
      <w:numFmt w:val="bullet"/>
      <w:start w:val="1"/>
    </w:lvl>
  </w:abstractNum>
  <w:abstractNum w:abstractNumId="82">
    <w:nsid w:val="DCDF8F6"/>
    <w:multiLevelType w:val="hybridMultilevel"/>
    <w:lvl w:ilvl="0">
      <w:lvlJc w:val="left"/>
      <w:lvlText w:val="(%1)"/>
      <w:numFmt w:val="upperLetter"/>
      <w:start w:val="35"/>
    </w:lvl>
  </w:abstractNum>
  <w:abstractNum w:abstractNumId="83">
    <w:nsid w:val="52D7B105"/>
    <w:multiLevelType w:val="hybridMultilevel"/>
    <w:lvl w:ilvl="0">
      <w:lvlJc w:val="left"/>
      <w:lvlText w:val="%1"/>
      <w:numFmt w:val="lowerLetter"/>
      <w:start w:val="1"/>
    </w:lvl>
    <w:lvl w:ilvl="1">
      <w:lvlJc w:val="left"/>
      <w:lvlText w:val="(%2)"/>
      <w:numFmt w:val="lowerLetter"/>
      <w:start w:val="24"/>
    </w:lvl>
    <w:lvl w:ilvl="2">
      <w:lvlJc w:val="left"/>
      <w:lvlText w:val="-"/>
      <w:numFmt w:val="bullet"/>
      <w:start w:val="1"/>
    </w:lvl>
  </w:abstractNum>
  <w:abstractNum w:abstractNumId="84">
    <w:nsid w:val="2E8A6394"/>
    <w:multiLevelType w:val="hybridMultilevel"/>
    <w:lvl w:ilvl="0">
      <w:lvlJc w:val="left"/>
      <w:lvlText w:val="(%1)"/>
      <w:numFmt w:val="lowerLetter"/>
      <w:start w:val="2"/>
    </w:lvl>
    <w:lvl w:ilvl="1">
      <w:lvlJc w:val="left"/>
      <w:lvlText w:val="%2"/>
      <w:numFmt w:val="lowerLetter"/>
      <w:start w:val="1"/>
    </w:lvl>
    <w:lvl w:ilvl="2">
      <w:lvlJc w:val="left"/>
      <w:lvlText w:val="-"/>
      <w:numFmt w:val="bullet"/>
      <w:start w:val="1"/>
    </w:lvl>
  </w:abstractNum>
  <w:abstractNum w:abstractNumId="85">
    <w:nsid w:val="24E60401"/>
    <w:multiLevelType w:val="hybridMultilevel"/>
    <w:lvl w:ilvl="0">
      <w:lvlJc w:val="left"/>
      <w:lvlText w:val="(%1)"/>
      <w:numFmt w:val="decimal"/>
      <w:start w:val="4"/>
    </w:lvl>
  </w:abstractNum>
  <w:abstractNum w:abstractNumId="86">
    <w:nsid w:val="2A6AD9BE"/>
    <w:multiLevelType w:val="hybridMultilevel"/>
    <w:lvl w:ilvl="0">
      <w:lvlJc w:val="left"/>
      <w:lvlText w:val="(%1)"/>
      <w:numFmt w:val="lowerRoman"/>
      <w:start w:val="2"/>
    </w:lvl>
    <w:lvl w:ilvl="1">
      <w:lvlJc w:val="left"/>
      <w:lvlText w:val="(%2)"/>
      <w:numFmt w:val="decimal"/>
      <w:start w:val="1"/>
    </w:lvl>
  </w:abstractNum>
  <w:abstractNum w:abstractNumId="87">
    <w:nsid w:val="BAAC1B4"/>
    <w:multiLevelType w:val="hybridMultilevel"/>
    <w:lvl w:ilvl="0">
      <w:lvlJc w:val="left"/>
      <w:lvlText w:val="(%1)"/>
      <w:numFmt w:val="upperLetter"/>
      <w:start w:val="4"/>
    </w:lvl>
    <w:lvl w:ilvl="1">
      <w:lvlJc w:val="left"/>
      <w:lvlText w:val="-"/>
      <w:numFmt w:val="bullet"/>
      <w:start w:val="1"/>
    </w:lvl>
  </w:abstractNum>
  <w:abstractNum w:abstractNumId="88">
    <w:nsid w:val="36B2ACBC"/>
    <w:multiLevelType w:val="hybridMultilevel"/>
    <w:lvl w:ilvl="0">
      <w:lvlJc w:val="left"/>
      <w:lvlText w:val="(%1)"/>
      <w:numFmt w:val="upperLetter"/>
      <w:start w:val="1"/>
    </w:lvl>
  </w:abstractNum>
  <w:abstractNum w:abstractNumId="89">
    <w:nsid w:val="779D8544"/>
    <w:multiLevelType w:val="hybridMultilevel"/>
    <w:lvl w:ilvl="0">
      <w:lvlJc w:val="left"/>
      <w:lvlText w:val="(%1)"/>
      <w:numFmt w:val="lowerRoman"/>
      <w:start w:val="1"/>
    </w:lvl>
  </w:abstractNum>
  <w:abstractNum w:abstractNumId="90">
    <w:nsid w:val="4AB26E78"/>
    <w:multiLevelType w:val="hybridMultilevel"/>
    <w:lvl w:ilvl="0">
      <w:lvlJc w:val="left"/>
      <w:lvlText w:val="(%1)"/>
      <w:numFmt w:val="upperLetter"/>
      <w:start w:val="2"/>
    </w:lvl>
    <w:lvl w:ilvl="1">
      <w:lvlJc w:val="left"/>
      <w:lvlText w:val="-"/>
      <w:numFmt w:val="bullet"/>
      <w:start w:val="1"/>
    </w:lvl>
  </w:abstractNum>
  <w:abstractNum w:abstractNumId="91">
    <w:nsid w:val="21FAA2FA"/>
    <w:multiLevelType w:val="hybridMultilevel"/>
    <w:lvl w:ilvl="0">
      <w:lvlJc w:val="left"/>
      <w:lvlText w:val="(%1)"/>
      <w:numFmt w:val="upperLetter"/>
      <w:start w:val="5"/>
    </w:lvl>
  </w:abstractNum>
  <w:abstractNum w:abstractNumId="92">
    <w:nsid w:val="5451CF49"/>
    <w:multiLevelType w:val="hybridMultilevel"/>
    <w:lvl w:ilvl="0">
      <w:lvlJc w:val="left"/>
      <w:lvlText w:val="(%1)"/>
      <w:numFmt w:val="upperLetter"/>
      <w:start w:val="1"/>
    </w:lvl>
    <w:lvl w:ilvl="1">
      <w:lvlJc w:val="left"/>
      <w:lvlText w:val="-"/>
      <w:numFmt w:val="bullet"/>
      <w:start w:val="1"/>
    </w:lvl>
  </w:abstractNum>
  <w:abstractNum w:abstractNumId="93">
    <w:nsid w:val="6181EF69"/>
    <w:multiLevelType w:val="hybridMultilevel"/>
    <w:lvl w:ilvl="0">
      <w:lvlJc w:val="left"/>
      <w:lvlText w:val="(%1)"/>
      <w:numFmt w:val="lowerRoman"/>
      <w:start w:val="1"/>
    </w:lvl>
    <w:lvl w:ilvl="1">
      <w:lvlJc w:val="left"/>
      <w:lvlText w:val="(%2)"/>
      <w:numFmt w:val="decimal"/>
      <w:start w:val="1"/>
    </w:lvl>
  </w:abstractNum>
  <w:abstractNum w:abstractNumId="94">
    <w:nsid w:val="3E6400E6"/>
    <w:multiLevelType w:val="hybridMultilevel"/>
    <w:lvl w:ilvl="0">
      <w:lvlJc w:val="left"/>
      <w:lvlText w:val="(%1)"/>
      <w:numFmt w:val="lowerRoman"/>
      <w:start w:val="2"/>
    </w:lvl>
  </w:abstractNum>
  <w:abstractNum w:abstractNumId="95">
    <w:nsid w:val="14217E23"/>
    <w:multiLevelType w:val="hybridMultilevel"/>
    <w:lvl w:ilvl="0">
      <w:lvlJc w:val="left"/>
      <w:lvlText w:val="(%1)"/>
      <w:numFmt w:val="upperLetter"/>
      <w:start w:val="2"/>
    </w:lvl>
  </w:abstractNum>
  <w:abstractNum w:abstractNumId="96">
    <w:nsid w:val="710757D0"/>
    <w:multiLevelType w:val="hybridMultilevel"/>
    <w:lvl w:ilvl="0">
      <w:lvlJc w:val="left"/>
      <w:lvlText w:val="(%1)"/>
      <w:numFmt w:val="lowerRoman"/>
      <w:start w:val="1"/>
    </w:lvl>
    <w:lvl w:ilvl="1">
      <w:lvlJc w:val="left"/>
      <w:lvlText w:val="(%2)"/>
      <w:numFmt w:val="decimal"/>
      <w:start w:val="1"/>
    </w:lvl>
    <w:lvl w:ilvl="2">
      <w:lvlJc w:val="left"/>
      <w:lvlText w:val="-"/>
      <w:numFmt w:val="bullet"/>
      <w:start w:val="1"/>
    </w:lvl>
  </w:abstractNum>
  <w:abstractNum w:abstractNumId="97">
    <w:nsid w:val="5015CD1A"/>
    <w:multiLevelType w:val="hybridMultilevel"/>
    <w:lvl w:ilvl="0">
      <w:lvlJc w:val="left"/>
      <w:lvlText w:val="%1"/>
      <w:numFmt w:val="lowerRoman"/>
      <w:start w:val="1"/>
    </w:lvl>
    <w:lvl w:ilvl="1">
      <w:lvlJc w:val="left"/>
      <w:lvlText w:val="(%2)"/>
      <w:numFmt w:val="decimal"/>
      <w:start w:val="2"/>
    </w:lvl>
  </w:abstractNum>
  <w:abstractNum w:abstractNumId="98">
    <w:nsid w:val="424479DA"/>
    <w:multiLevelType w:val="hybridMultilevel"/>
    <w:lvl w:ilvl="0">
      <w:lvlJc w:val="left"/>
      <w:lvlText w:val="(%1)"/>
      <w:numFmt w:val="lowerRoman"/>
      <w:start w:val="2"/>
    </w:lvl>
    <w:lvl w:ilvl="1">
      <w:lvlJc w:val="left"/>
      <w:lvlText w:val="%2"/>
      <w:numFmt w:val="decimal"/>
      <w:start w:val="1"/>
    </w:lvl>
  </w:abstractNum>
  <w:abstractNum w:abstractNumId="99">
    <w:nsid w:val="1A9A9E69"/>
    <w:multiLevelType w:val="hybridMultilevel"/>
    <w:lvl w:ilvl="0">
      <w:lvlJc w:val="left"/>
      <w:lvlText w:val="(%1)"/>
      <w:numFmt w:val="upperLetter"/>
      <w:start w:val="3"/>
    </w:lvl>
    <w:lvl w:ilvl="1">
      <w:lvlJc w:val="left"/>
      <w:lvlText w:val="-"/>
      <w:numFmt w:val="bullet"/>
      <w:start w:val="1"/>
    </w:lvl>
  </w:abstractNum>
  <w:abstractNum w:abstractNumId="100">
    <w:nsid w:val="475E256A"/>
    <w:multiLevelType w:val="hybridMultilevel"/>
    <w:lvl w:ilvl="0">
      <w:lvlJc w:val="left"/>
      <w:lvlText w:val="(%1)"/>
      <w:numFmt w:val="upperLetter"/>
      <w:start w:val="1"/>
    </w:lvl>
  </w:abstractNum>
  <w:abstractNum w:abstractNumId="101">
    <w:nsid w:val="368DB37E"/>
    <w:multiLevelType w:val="hybridMultilevel"/>
    <w:lvl w:ilvl="0">
      <w:lvlJc w:val="left"/>
      <w:lvlText w:val="(%1)"/>
      <w:numFmt w:val="lowerRoman"/>
      <w:start w:val="1"/>
    </w:lvl>
  </w:abstractNum>
  <w:abstractNum w:abstractNumId="102">
    <w:nsid w:val="6A3B714C"/>
    <w:multiLevelType w:val="hybridMultilevel"/>
    <w:lvl w:ilvl="0">
      <w:lvlJc w:val="left"/>
      <w:lvlText w:val="(%1)"/>
      <w:numFmt w:val="lowerRoman"/>
      <w:start w:val="2"/>
    </w:lvl>
  </w:abstractNum>
  <w:abstractNum w:abstractNumId="103">
    <w:nsid w:val="327B517E"/>
    <w:multiLevelType w:val="hybridMultilevel"/>
    <w:lvl w:ilvl="0">
      <w:lvlJc w:val="left"/>
      <w:lvlText w:val="X"/>
      <w:numFmt w:val="bullet"/>
      <w:start w:val="1"/>
    </w:lvl>
  </w:abstractNum>
  <w:abstractNum w:abstractNumId="104">
    <w:nsid w:val="1F461B51"/>
    <w:multiLevelType w:val="hybridMultilevel"/>
    <w:lvl w:ilvl="0">
      <w:lvlJc w:val="left"/>
      <w:lvlText w:val="Y"/>
      <w:numFmt w:val="bullet"/>
      <w:start w:val="1"/>
    </w:lvl>
    <w:lvl w:ilvl="1">
      <w:lvlJc w:val="left"/>
      <w:lvlText w:val="-"/>
      <w:numFmt w:val="bullet"/>
      <w:start w:val="1"/>
    </w:lvl>
  </w:abstractNum>
  <w:abstractNum w:abstractNumId="105">
    <w:nsid w:val="29BACF25"/>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21"/>
    </w:lvl>
  </w:abstractNum>
  <w:abstractNum w:abstractNumId="106">
    <w:nsid w:val="5D5BABB3"/>
    <w:multiLevelType w:val="hybridMultilevel"/>
    <w:lvl w:ilvl="0">
      <w:lvlJc w:val="left"/>
      <w:lvlText w:val="(%1)"/>
      <w:numFmt w:val="lowerLetter"/>
      <w:start w:val="24"/>
    </w:lvl>
    <w:lvl w:ilvl="1">
      <w:lvlJc w:val="left"/>
      <w:lvlText w:val="-"/>
      <w:numFmt w:val="bullet"/>
      <w:start w:val="1"/>
    </w:lvl>
  </w:abstractNum>
  <w:abstractNum w:abstractNumId="107">
    <w:nsid w:val="51BF6B48"/>
    <w:multiLevelType w:val="hybridMultilevel"/>
    <w:lvl w:ilvl="0">
      <w:lvlJc w:val="left"/>
      <w:lvlText w:val="(%1)"/>
      <w:numFmt w:val="lowerLetter"/>
      <w:start w:val="26"/>
    </w:lvl>
  </w:abstractNum>
  <w:abstractNum w:abstractNumId="108">
    <w:nsid w:val="7E0F6384"/>
    <w:multiLevelType w:val="hybridMultilevel"/>
    <w:lvl w:ilvl="0">
      <w:lvlJc w:val="left"/>
      <w:lvlText w:val="%1"/>
      <w:numFmt w:val="lowerRoman"/>
      <w:start w:val="1"/>
    </w:lvl>
    <w:lvl w:ilvl="1">
      <w:lvlJc w:val="left"/>
      <w:lvlText w:val="(%2)"/>
      <w:numFmt w:val="decimal"/>
      <w:start w:val="2"/>
    </w:lvl>
  </w:abstractNum>
  <w:abstractNum w:abstractNumId="109">
    <w:nsid w:val="2B4B8B53"/>
    <w:multiLevelType w:val="hybridMultilevel"/>
    <w:lvl w:ilvl="0">
      <w:lvlJc w:val="left"/>
      <w:lvlText w:val="(%1)"/>
      <w:numFmt w:val="lowerRoman"/>
      <w:start w:val="10"/>
    </w:lvl>
    <w:lvl w:ilvl="1">
      <w:lvlJc w:val="left"/>
      <w:lvlText w:val="%2"/>
      <w:numFmt w:val="decimal"/>
      <w:start w:val="1"/>
    </w:lvl>
  </w:abstractNum>
  <w:abstractNum w:abstractNumId="110">
    <w:nsid w:val="72E3413A"/>
    <w:multiLevelType w:val="hybridMultilevel"/>
    <w:lvl w:ilvl="0">
      <w:lvlJc w:val="left"/>
      <w:lvlText w:val="(%1)"/>
      <w:numFmt w:val="lowerRoman"/>
      <w:start w:val="4"/>
    </w:lvl>
  </w:abstractNum>
  <w:abstractNum w:abstractNumId="111">
    <w:nsid w:val="116AE494"/>
    <w:multiLevelType w:val="hybridMultilevel"/>
    <w:lvl w:ilvl="0">
      <w:lvlJc w:val="left"/>
      <w:lvlText w:val="T"/>
      <w:numFmt w:val="bullet"/>
      <w:start w:val="1"/>
    </w:lvl>
  </w:abstractNum>
  <w:abstractNum w:abstractNumId="112">
    <w:nsid w:val="3494B2FB"/>
    <w:multiLevelType w:val="hybridMultilevel"/>
    <w:lvl w:ilvl="0">
      <w:lvlJc w:val="left"/>
      <w:lvlText w:val="D"/>
      <w:numFmt w:val="bullet"/>
      <w:start w:val="1"/>
    </w:lvl>
  </w:abstractNum>
  <w:abstractNum w:abstractNumId="113">
    <w:nsid w:val="B13A31"/>
    <w:multiLevelType w:val="hybridMultilevel"/>
    <w:lvl w:ilvl="0">
      <w:lvlJc w:val="left"/>
      <w:lvlText w:val="(%1)"/>
      <w:numFmt w:val="lowerRoman"/>
      <w:start w:val="5"/>
    </w:lvl>
  </w:abstractNum>
  <w:abstractNum w:abstractNumId="114">
    <w:nsid w:val="64429599"/>
    <w:multiLevelType w:val="hybridMultilevel"/>
    <w:lvl w:ilvl="0">
      <w:lvlJc w:val="left"/>
      <w:lvlText w:val="(%1)"/>
      <w:numFmt w:val="upperLetter"/>
      <w:start w:val="2"/>
    </w:lvl>
  </w:abstractNum>
  <w:abstractNum w:abstractNumId="115">
    <w:nsid w:val="631F1690"/>
    <w:multiLevelType w:val="hybridMultilevel"/>
    <w:lvl w:ilvl="0">
      <w:lvlJc w:val="left"/>
      <w:lvlText w:val="(%1)"/>
      <w:numFmt w:val="lowerRoman"/>
      <w:start w:val="1"/>
    </w:lvl>
    <w:lvl w:ilvl="1">
      <w:lvlJc w:val="left"/>
      <w:lvlText w:val="(%2)"/>
      <w:numFmt w:val="decimal"/>
      <w:start w:val="1"/>
    </w:lvl>
    <w:lvl w:ilvl="2">
      <w:lvlJc w:val="left"/>
      <w:lvlText w:val="-"/>
      <w:numFmt w:val="bullet"/>
      <w:start w:val="1"/>
    </w:lvl>
  </w:abstractNum>
  <w:abstractNum w:abstractNumId="116">
    <w:nsid w:val="25973E32"/>
    <w:multiLevelType w:val="hybridMultilevel"/>
    <w:lvl w:ilvl="0">
      <w:lvlJc w:val="left"/>
      <w:lvlText w:val="%1"/>
      <w:numFmt w:val="upperLetter"/>
      <w:start w:val="1"/>
    </w:lvl>
    <w:lvl w:ilvl="1">
      <w:lvlJc w:val="left"/>
      <w:lvlText w:val="(%2)"/>
      <w:numFmt w:val="decimal"/>
      <w:start w:val="4"/>
    </w:lvl>
  </w:abstractNum>
  <w:abstractNum w:abstractNumId="117">
    <w:nsid w:val="EAD6F57"/>
    <w:multiLevelType w:val="hybridMultilevel"/>
    <w:lvl w:ilvl="0">
      <w:lvlJc w:val="left"/>
      <w:lvlText w:val="(%1)"/>
      <w:numFmt w:val="upperLetter"/>
      <w:start w:val="3"/>
    </w:lvl>
    <w:lvl w:ilvl="1">
      <w:lvlJc w:val="left"/>
      <w:lvlText w:val="%2"/>
      <w:numFmt w:val="decimal"/>
      <w:start w:val="1"/>
    </w:lvl>
  </w:abstractNum>
  <w:abstractNum w:abstractNumId="118">
    <w:nsid w:val="6EC9D844"/>
    <w:multiLevelType w:val="hybridMultilevel"/>
    <w:lvl w:ilvl="0">
      <w:lvlJc w:val="left"/>
      <w:lvlText w:val="(%1)"/>
      <w:numFmt w:val="lowerRoman"/>
      <w:start w:val="1"/>
    </w:lvl>
  </w:abstractNum>
  <w:abstractNum w:abstractNumId="119">
    <w:nsid w:val="5C49EAEE"/>
    <w:multiLevelType w:val="hybridMultilevel"/>
    <w:lvl w:ilvl="0">
      <w:lvlJc w:val="left"/>
      <w:lvlText w:val="(%1)"/>
      <w:numFmt w:val="upperLetter"/>
      <w:start w:val="5"/>
    </w:lvl>
  </w:abstractNum>
  <w:abstractNum w:abstractNumId="120">
    <w:nsid w:val="64AF49B"/>
    <w:multiLevelType w:val="hybridMultilevel"/>
    <w:lvl w:ilvl="0">
      <w:lvlJc w:val="left"/>
      <w:lvlText w:val="(%1)"/>
      <w:numFmt w:val="lowerRoman"/>
      <w:start w:val="1"/>
    </w:lvl>
    <w:lvl w:ilvl="1">
      <w:lvlJc w:val="left"/>
      <w:lvlText w:val="-"/>
      <w:numFmt w:val="bullet"/>
      <w:start w:val="1"/>
    </w:lvl>
  </w:abstractNum>
  <w:abstractNum w:abstractNumId="121">
    <w:nsid w:val="397C46BC"/>
    <w:multiLevelType w:val="hybridMultilevel"/>
    <w:lvl w:ilvl="0">
      <w:lvlJc w:val="left"/>
      <w:lvlText w:val="(%1)"/>
      <w:numFmt w:val="lowerRoman"/>
      <w:start w:val="3"/>
    </w:lvl>
  </w:abstractNum>
  <w:abstractNum w:abstractNumId="122">
    <w:nsid w:val="7E448DE9"/>
    <w:multiLevelType w:val="hybridMultilevel"/>
    <w:lvl w:ilvl="0">
      <w:lvlJc w:val="left"/>
      <w:lvlText w:val="(%1)"/>
      <w:numFmt w:val="upperLetter"/>
      <w:start w:val="6"/>
    </w:lvl>
    <w:lvl w:ilvl="1">
      <w:lvlJc w:val="left"/>
      <w:lvlText w:val="-"/>
      <w:numFmt w:val="bullet"/>
      <w:start w:val="1"/>
    </w:lvl>
  </w:abstractNum>
  <w:abstractNum w:abstractNumId="123">
    <w:nsid w:val="5A9CC3E5"/>
    <w:multiLevelType w:val="hybridMultilevel"/>
    <w:lvl w:ilvl="0">
      <w:lvlJc w:val="left"/>
      <w:lvlText w:val="(%1)"/>
      <w:numFmt w:val="upperLetter"/>
      <w:start w:val="10"/>
    </w:lvl>
  </w:abstractNum>
  <w:abstractNum w:abstractNumId="124">
    <w:nsid w:val="1AFE3625"/>
    <w:multiLevelType w:val="hybridMultilevel"/>
    <w:lvl w:ilvl="0">
      <w:lvlJc w:val="left"/>
      <w:lvlText w:val="(%1)"/>
      <w:numFmt w:val="upperLetter"/>
      <w:start w:val="1"/>
    </w:lvl>
  </w:abstractNum>
  <w:abstractNum w:abstractNumId="125">
    <w:nsid w:val="3CA88ECF"/>
    <w:multiLevelType w:val="hybridMultilevel"/>
    <w:lvl w:ilvl="0">
      <w:lvlJc w:val="left"/>
      <w:lvlText w:val="(%1)"/>
      <w:numFmt w:val="upperLetter"/>
      <w:start w:val="1"/>
    </w:lvl>
  </w:abstractNum>
  <w:abstractNum w:abstractNumId="126">
    <w:nsid w:val="6EBE4208"/>
    <w:multiLevelType w:val="hybridMultilevel"/>
    <w:lvl w:ilvl="0">
      <w:lvlJc w:val="left"/>
      <w:lvlText w:val="(%1)"/>
      <w:numFmt w:val="lowerRoman"/>
      <w:start w:val="1"/>
    </w:lvl>
  </w:abstractNum>
  <w:abstractNum w:abstractNumId="127">
    <w:nsid w:val="C058DF5"/>
    <w:multiLevelType w:val="hybridMultilevel"/>
    <w:lvl w:ilvl="0">
      <w:lvlJc w:val="left"/>
      <w:lvlText w:val="(%1)"/>
      <w:numFmt w:val="upperLetter"/>
      <w:start w:val="2"/>
    </w:lvl>
  </w:abstractNum>
  <w:abstractNum w:abstractNumId="128">
    <w:nsid w:val="CBE5BE9"/>
    <w:multiLevelType w:val="hybridMultilevel"/>
    <w:lvl w:ilvl="0">
      <w:lvlJc w:val="left"/>
      <w:lvlText w:val="(%1)"/>
      <w:numFmt w:val="upperLetter"/>
      <w:start w:val="1"/>
    </w:lvl>
  </w:abstractNum>
  <w:abstractNum w:abstractNumId="129">
    <w:nsid w:val="3102BBE2"/>
    <w:multiLevelType w:val="hybridMultilevel"/>
    <w:lvl w:ilvl="0">
      <w:lvlJc w:val="left"/>
      <w:lvlText w:val="(%1)"/>
      <w:numFmt w:val="lowerRoman"/>
      <w:start w:val="1"/>
    </w:lvl>
  </w:abstractNum>
  <w:abstractNum w:abstractNumId="130">
    <w:nsid w:val="26A02C5E"/>
    <w:multiLevelType w:val="hybridMultilevel"/>
    <w:lvl w:ilvl="0">
      <w:lvlJc w:val="left"/>
      <w:lvlText w:val="(%1)"/>
      <w:numFmt w:val="decimal"/>
      <w:start w:val="1"/>
    </w:lvl>
  </w:abstractNum>
  <w:abstractNum w:abstractNumId="131">
    <w:nsid w:val="541C8153"/>
    <w:multiLevelType w:val="hybridMultilevel"/>
    <w:lvl w:ilvl="0">
      <w:lvlJc w:val="left"/>
      <w:lvlText w:val="(%1)"/>
      <w:numFmt w:val="upperLetter"/>
      <w:start w:val="2"/>
    </w:lvl>
  </w:abstractNum>
  <w:abstractNum w:abstractNumId="132">
    <w:nsid w:val="67906F60"/>
    <w:multiLevelType w:val="hybridMultilevel"/>
    <w:lvl w:ilvl="0">
      <w:lvlJc w:val="left"/>
      <w:lvlText w:val="(%1)"/>
      <w:numFmt w:val="upperLetter"/>
      <w:start w:val="1"/>
    </w:lvl>
  </w:abstractNum>
  <w:abstractNum w:abstractNumId="133">
    <w:nsid w:val="10DB9DAA"/>
    <w:multiLevelType w:val="hybridMultilevel"/>
    <w:lvl w:ilvl="0">
      <w:lvlJc w:val="left"/>
      <w:lvlText w:val="(%1)"/>
      <w:numFmt w:val="lowerRoman"/>
      <w:start w:val="1"/>
    </w:lvl>
    <w:lvl w:ilvl="1">
      <w:lvlJc w:val="left"/>
      <w:lvlText w:val="-"/>
      <w:numFmt w:val="bullet"/>
      <w:start w:val="1"/>
    </w:lvl>
  </w:abstractNum>
  <w:abstractNum w:abstractNumId="134">
    <w:nsid w:val="697D2D2"/>
    <w:multiLevelType w:val="hybridMultilevel"/>
    <w:lvl w:ilvl="0">
      <w:lvlJc w:val="left"/>
      <w:lvlText w:val="(%1)"/>
      <w:numFmt w:val="upperLetter"/>
      <w:start w:val="2"/>
    </w:lvl>
  </w:abstractNum>
  <w:abstractNum w:abstractNumId="135">
    <w:nsid w:val="6D68AB2"/>
    <w:multiLevelType w:val="hybridMultilevel"/>
    <w:lvl w:ilvl="0">
      <w:lvlJc w:val="left"/>
      <w:lvlText w:val="(%1)"/>
      <w:numFmt w:val="upperLetter"/>
      <w:start w:val="1"/>
    </w:lvl>
    <w:lvl w:ilvl="1">
      <w:lvlJc w:val="left"/>
      <w:lvlText w:val="(%2)"/>
      <w:numFmt w:val="lowerRoman"/>
      <w:start w:val="1"/>
    </w:lvl>
    <w:lvl w:ilvl="2">
      <w:lvlJc w:val="left"/>
      <w:lvlText w:val="-"/>
      <w:numFmt w:val="bullet"/>
      <w:start w:val="1"/>
    </w:lvl>
  </w:abstractNum>
  <w:abstractNum w:abstractNumId="136">
    <w:nsid w:val="3A966CD0"/>
    <w:multiLevelType w:val="hybridMultilevel"/>
    <w:lvl w:ilvl="0">
      <w:lvlJc w:val="left"/>
      <w:lvlText w:val="(%1)"/>
      <w:numFmt w:val="lowerRoman"/>
      <w:start w:val="6"/>
    </w:lvl>
    <w:lvl w:ilvl="1">
      <w:lvlJc w:val="left"/>
      <w:lvlText w:val="(%2)"/>
      <w:numFmt w:val="decimal"/>
      <w:start w:val="1"/>
    </w:lvl>
  </w:abstractNum>
  <w:abstractNum w:abstractNumId="137">
    <w:nsid w:val="63F37E85"/>
    <w:multiLevelType w:val="hybridMultilevel"/>
    <w:lvl w:ilvl="0">
      <w:lvlJc w:val="left"/>
      <w:lvlText w:val="(%1)"/>
      <w:numFmt w:val="lowerRoman"/>
      <w:start w:val="8"/>
    </w:lvl>
    <w:lvl w:ilvl="1">
      <w:lvlJc w:val="left"/>
      <w:lvlText w:val="(%2)"/>
      <w:numFmt w:val="decimal"/>
      <w:start w:val="1"/>
    </w:lvl>
    <w:lvl w:ilvl="2">
      <w:lvlJc w:val="left"/>
      <w:lvlText w:val="-"/>
      <w:numFmt w:val="bullet"/>
      <w:start w:val="1"/>
    </w:lvl>
  </w:abstractNum>
  <w:abstractNum w:abstractNumId="138">
    <w:nsid w:val="5895F5FA"/>
    <w:multiLevelType w:val="hybridMultilevel"/>
    <w:lvl w:ilvl="0">
      <w:lvlJc w:val="left"/>
      <w:lvlText w:val="(%1)"/>
      <w:numFmt w:val="decimal"/>
      <w:start w:val="1"/>
    </w:lvl>
  </w:abstractNum>
  <w:abstractNum w:abstractNumId="139">
    <w:nsid w:val="38A5D054"/>
    <w:multiLevelType w:val="hybridMultilevel"/>
    <w:lvl w:ilvl="0">
      <w:lvlJc w:val="left"/>
      <w:lvlText w:val="(%1)"/>
      <w:numFmt w:val="upperLetter"/>
      <w:start w:val="2"/>
    </w:lvl>
  </w:abstractNum>
  <w:abstractNum w:abstractNumId="140">
    <w:nsid w:val="F3F09D8"/>
    <w:multiLevelType w:val="hybridMultilevel"/>
    <w:lvl w:ilvl="0">
      <w:lvlJc w:val="left"/>
      <w:lvlText w:val="(%1)"/>
      <w:numFmt w:val="upperLetter"/>
      <w:start w:val="1"/>
    </w:lvl>
    <w:lvl w:ilvl="1">
      <w:lvlJc w:val="left"/>
      <w:lvlText w:val="-"/>
      <w:numFmt w:val="bullet"/>
      <w:start w:val="1"/>
    </w:lvl>
  </w:abstractNum>
  <w:abstractNum w:abstractNumId="141">
    <w:nsid w:val="4B793735"/>
    <w:multiLevelType w:val="hybridMultilevel"/>
    <w:lvl w:ilvl="0">
      <w:lvlJc w:val="left"/>
      <w:lvlText w:val="(%1)"/>
      <w:numFmt w:val="upperLetter"/>
      <w:start w:val="1"/>
    </w:lvl>
    <w:lvl w:ilvl="1">
      <w:lvlJc w:val="left"/>
      <w:lvlText w:val="-"/>
      <w:numFmt w:val="bullet"/>
      <w:start w:val="1"/>
    </w:lvl>
  </w:abstractNum>
  <w:abstractNum w:abstractNumId="142">
    <w:nsid w:val="4A10B4E8"/>
    <w:multiLevelType w:val="hybridMultilevel"/>
    <w:lvl w:ilvl="0">
      <w:lvlJc w:val="left"/>
      <w:lvlText w:val="(%1)"/>
      <w:numFmt w:val="upperLetter"/>
      <w:start w:val="1"/>
    </w:lvl>
  </w:abstractNum>
  <w:abstractNum w:abstractNumId="143">
    <w:nsid w:val="43D3BCD4"/>
    <w:multiLevelType w:val="hybridMultilevel"/>
    <w:lvl w:ilvl="0">
      <w:lvlJc w:val="left"/>
      <w:lvlText w:val="(%1)"/>
      <w:numFmt w:val="upperLetter"/>
      <w:start w:val="1"/>
    </w:lvl>
    <w:lvl w:ilvl="1">
      <w:lvlJc w:val="left"/>
      <w:lvlText w:val="-"/>
      <w:numFmt w:val="bullet"/>
      <w:start w:val="1"/>
    </w:lvl>
  </w:abstractNum>
  <w:abstractNum w:abstractNumId="144">
    <w:nsid w:val="4C2A7166"/>
    <w:multiLevelType w:val="hybridMultilevel"/>
    <w:lvl w:ilvl="0">
      <w:lvlJc w:val="left"/>
      <w:lvlText w:val="(%1)"/>
      <w:numFmt w:val="upperLetter"/>
      <w:start w:val="3"/>
    </w:lvl>
  </w:abstractNum>
  <w:abstractNum w:abstractNumId="145">
    <w:nsid w:val="2E534A82"/>
    <w:multiLevelType w:val="hybridMultilevel"/>
    <w:lvl w:ilvl="0">
      <w:lvlJc w:val="left"/>
      <w:lvlText w:val="(%1)"/>
      <w:numFmt w:val="upperLetter"/>
      <w:start w:val="1"/>
    </w:lvl>
    <w:lvl w:ilvl="1">
      <w:lvlJc w:val="left"/>
      <w:lvlText w:val="-"/>
      <w:numFmt w:val="bullet"/>
      <w:start w:val="1"/>
    </w:lvl>
  </w:abstractNum>
  <w:abstractNum w:abstractNumId="146">
    <w:nsid w:val="26F2D364"/>
    <w:multiLevelType w:val="hybridMultilevel"/>
    <w:lvl w:ilvl="0">
      <w:lvlJc w:val="left"/>
      <w:lvlText w:val="(%1)"/>
      <w:numFmt w:val="upperLetter"/>
      <w:start w:val="1"/>
    </w:lvl>
  </w:abstractNum>
  <w:abstractNum w:abstractNumId="147">
    <w:nsid w:val="71C1AF98"/>
    <w:multiLevelType w:val="hybridMultilevel"/>
    <w:lvl w:ilvl="0">
      <w:lvlJc w:val="left"/>
      <w:lvlText w:val="(%1)"/>
      <w:numFmt w:val="lowerRoman"/>
      <w:start w:val="1"/>
    </w:lvl>
    <w:lvl w:ilvl="1">
      <w:lvlJc w:val="left"/>
      <w:lvlText w:val="-"/>
      <w:numFmt w:val="bullet"/>
      <w:start w:val="1"/>
    </w:lvl>
  </w:abstractNum>
  <w:abstractNum w:abstractNumId="148">
    <w:nsid w:val="3D00B9D9"/>
    <w:multiLevelType w:val="hybridMultilevel"/>
    <w:lvl w:ilvl="0">
      <w:lvlJc w:val="left"/>
      <w:lvlText w:val="(%1)"/>
      <w:numFmt w:val="upperLetter"/>
      <w:start w:val="2"/>
    </w:lvl>
  </w:abstractNum>
  <w:abstractNum w:abstractNumId="149">
    <w:nsid w:val="15BCABA8"/>
    <w:multiLevelType w:val="hybridMultilevel"/>
    <w:lvl w:ilvl="0">
      <w:lvlJc w:val="left"/>
      <w:lvlText w:val="(%1)"/>
      <w:numFmt w:val="upperLetter"/>
      <w:start w:val="2"/>
    </w:lvl>
  </w:abstractNum>
  <w:abstractNum w:abstractNumId="150">
    <w:nsid w:val="4E0B9A87"/>
    <w:multiLevelType w:val="hybridMultilevel"/>
    <w:lvl w:ilvl="0">
      <w:lvlJc w:val="left"/>
      <w:lvlText w:val="(%1)"/>
      <w:numFmt w:val="upperLetter"/>
      <w:start w:val="1"/>
    </w:lvl>
    <w:lvl w:ilvl="1">
      <w:lvlJc w:val="left"/>
      <w:lvlText w:val="-"/>
      <w:numFmt w:val="bullet"/>
      <w:start w:val="1"/>
    </w:lvl>
  </w:abstractNum>
  <w:abstractNum w:abstractNumId="151">
    <w:nsid w:val="434BAE75"/>
    <w:multiLevelType w:val="hybridMultilevel"/>
    <w:lvl w:ilvl="0">
      <w:lvlJc w:val="left"/>
      <w:lvlText w:val="(%1)"/>
      <w:numFmt w:val="upperLetter"/>
      <w:start w:val="2"/>
    </w:lvl>
  </w:abstractNum>
  <w:abstractNum w:abstractNumId="152">
    <w:nsid w:val="4F38F265"/>
    <w:multiLevelType w:val="hybridMultilevel"/>
    <w:lvl w:ilvl="0">
      <w:lvlJc w:val="left"/>
      <w:lvlText w:val="(%1)"/>
      <w:numFmt w:val="upperLetter"/>
      <w:start w:val="1"/>
    </w:lvl>
  </w:abstractNum>
  <w:abstractNum w:abstractNumId="153">
    <w:nsid w:val="4C502870"/>
    <w:multiLevelType w:val="hybridMultilevel"/>
    <w:lvl w:ilvl="0">
      <w:lvlJc w:val="left"/>
      <w:lvlText w:val="(%1)"/>
      <w:numFmt w:val="lowerRoman"/>
      <w:start w:val="1"/>
    </w:lvl>
    <w:lvl w:ilvl="1">
      <w:lvlJc w:val="left"/>
      <w:lvlText w:val="-"/>
      <w:numFmt w:val="bullet"/>
      <w:start w:val="1"/>
    </w:lvl>
  </w:abstractNum>
  <w:abstractNum w:abstractNumId="154">
    <w:nsid w:val="1DE8725A"/>
    <w:multiLevelType w:val="hybridMultilevel"/>
    <w:lvl w:ilvl="0">
      <w:lvlJc w:val="left"/>
      <w:lvlText w:val="(%1)"/>
      <w:numFmt w:val="lowerRoman"/>
      <w:start w:val="2"/>
    </w:lvl>
  </w:abstractNum>
  <w:abstractNum w:abstractNumId="155">
    <w:nsid w:val="6A37288A"/>
    <w:multiLevelType w:val="hybridMultilevel"/>
    <w:lvl w:ilvl="0">
      <w:lvlJc w:val="left"/>
      <w:lvlText w:val="(%1)"/>
      <w:numFmt w:val="upperLetter"/>
      <w:start w:val="2"/>
    </w:lvl>
    <w:lvl w:ilvl="1">
      <w:lvlJc w:val="left"/>
      <w:lvlText w:val="-"/>
      <w:numFmt w:val="bullet"/>
      <w:start w:val="1"/>
    </w:lvl>
  </w:abstractNum>
  <w:abstractNum w:abstractNumId="156">
    <w:nsid w:val="8F8B73F"/>
    <w:multiLevelType w:val="hybridMultilevel"/>
    <w:lvl w:ilvl="0">
      <w:lvlJc w:val="left"/>
      <w:lvlText w:val="(%1)"/>
      <w:numFmt w:val="upperLetter"/>
      <w:start w:val="5"/>
    </w:lvl>
  </w:abstractNum>
  <w:abstractNum w:abstractNumId="157">
    <w:nsid w:val="CA6B462"/>
    <w:multiLevelType w:val="hybridMultilevel"/>
    <w:lvl w:ilvl="0">
      <w:lvlJc w:val="left"/>
      <w:lvlText w:val="(%1)"/>
      <w:numFmt w:val="upperLetter"/>
      <w:start w:val="1"/>
    </w:lvl>
  </w:abstractNum>
  <w:abstractNum w:abstractNumId="158">
    <w:nsid w:val="763CB680"/>
    <w:multiLevelType w:val="hybridMultilevel"/>
    <w:lvl w:ilvl="0">
      <w:lvlJc w:val="left"/>
      <w:lvlText w:val="(%1)"/>
      <w:numFmt w:val="upperLetter"/>
      <w:start w:val="1"/>
    </w:lvl>
    <w:lvl w:ilvl="1">
      <w:lvlJc w:val="left"/>
      <w:lvlText w:val="-"/>
      <w:numFmt w:val="bullet"/>
      <w:start w:val="1"/>
    </w:lvl>
  </w:abstractNum>
  <w:abstractNum w:abstractNumId="159">
    <w:nsid w:val="15B71329"/>
    <w:multiLevelType w:val="hybridMultilevel"/>
    <w:lvl w:ilvl="0">
      <w:lvlJc w:val="left"/>
      <w:lvlText w:val="(%1)"/>
      <w:numFmt w:val="lowerRoman"/>
      <w:start w:val="1"/>
    </w:lvl>
  </w:abstractNum>
  <w:abstractNum w:abstractNumId="160">
    <w:nsid w:val="3DA97044"/>
    <w:multiLevelType w:val="hybridMultilevel"/>
    <w:lvl w:ilvl="0">
      <w:lvlJc w:val="left"/>
      <w:lvlText w:val="(%1)"/>
      <w:numFmt w:val="upperLetter"/>
      <w:start w:val="2"/>
    </w:lvl>
  </w:abstractNum>
  <w:abstractNum w:abstractNumId="161">
    <w:nsid w:val="1CDCE2DE"/>
    <w:multiLevelType w:val="hybridMultilevel"/>
    <w:lvl w:ilvl="0">
      <w:lvlJc w:val="left"/>
      <w:lvlText w:val="(%1)"/>
      <w:numFmt w:val="upperLetter"/>
      <w:start w:val="1"/>
    </w:lvl>
  </w:abstractNum>
  <w:abstractNum w:abstractNumId="162">
    <w:nsid w:val="69D3947C"/>
    <w:multiLevelType w:val="hybridMultilevel"/>
    <w:lvl w:ilvl="0">
      <w:lvlJc w:val="left"/>
      <w:lvlText w:val="(%1)"/>
      <w:numFmt w:val="lowerRoman"/>
      <w:start w:val="1"/>
    </w:lvl>
    <w:lvl w:ilvl="1">
      <w:lvlJc w:val="left"/>
      <w:lvlText w:val="-"/>
      <w:numFmt w:val="bullet"/>
      <w:start w:val="1"/>
    </w:lvl>
  </w:abstractNum>
  <w:abstractNum w:abstractNumId="163">
    <w:nsid w:val="2539DFA5"/>
    <w:multiLevelType w:val="hybridMultilevel"/>
    <w:lvl w:ilvl="0">
      <w:lvlJc w:val="left"/>
      <w:lvlText w:val="(%1)"/>
      <w:numFmt w:val="upperLetter"/>
      <w:start w:val="2"/>
    </w:lvl>
  </w:abstractNum>
  <w:abstractNum w:abstractNumId="164">
    <w:nsid w:val="2DB88089"/>
    <w:multiLevelType w:val="hybridMultilevel"/>
    <w:lvl w:ilvl="0">
      <w:lvlJc w:val="left"/>
      <w:lvlText w:val="(%1)"/>
      <w:numFmt w:val="upperLetter"/>
      <w:start w:val="1"/>
    </w:lvl>
  </w:abstractNum>
  <w:abstractNum w:abstractNumId="165">
    <w:nsid w:val="706B674E"/>
    <w:multiLevelType w:val="hybridMultilevel"/>
    <w:lvl w:ilvl="0">
      <w:lvlJc w:val="left"/>
      <w:lvlText w:val="(%1)"/>
      <w:numFmt w:val="upperLetter"/>
      <w:start w:val="1"/>
    </w:lvl>
    <w:lvl w:ilvl="1">
      <w:lvlJc w:val="left"/>
      <w:lvlText w:val="-"/>
      <w:numFmt w:val="bullet"/>
      <w:start w:val="1"/>
    </w:lvl>
  </w:abstractNum>
  <w:abstractNum w:abstractNumId="166">
    <w:nsid w:val="2C106A57"/>
    <w:multiLevelType w:val="hybridMultilevel"/>
    <w:lvl w:ilvl="0">
      <w:lvlJc w:val="left"/>
      <w:lvlText w:val="(%1)"/>
      <w:numFmt w:val="upperLetter"/>
      <w:start w:val="2"/>
    </w:lvl>
  </w:abstractNum>
  <w:abstractNum w:abstractNumId="167">
    <w:nsid w:val="684EED59"/>
    <w:multiLevelType w:val="hybridMultilevel"/>
    <w:lvl w:ilvl="0">
      <w:lvlJc w:val="left"/>
      <w:lvlText w:val="(%1)"/>
      <w:numFmt w:val="upperLetter"/>
      <w:start w:val="1"/>
    </w:lvl>
  </w:abstractNum>
  <w:abstractNum w:abstractNumId="168">
    <w:nsid w:val="545EE5D3"/>
    <w:multiLevelType w:val="hybridMultilevel"/>
    <w:lvl w:ilvl="0">
      <w:lvlJc w:val="left"/>
      <w:lvlText w:val="(%1)"/>
      <w:numFmt w:val="upperLetter"/>
      <w:start w:val="1"/>
    </w:lvl>
  </w:abstractNum>
  <w:abstractNum w:abstractNumId="169">
    <w:nsid w:val="4A66051"/>
    <w:multiLevelType w:val="hybridMultilevel"/>
    <w:lvl w:ilvl="0">
      <w:lvlJc w:val="left"/>
      <w:lvlText w:val="(%1)"/>
      <w:numFmt w:val="lowerRoman"/>
      <w:start w:val="1"/>
    </w:lvl>
  </w:abstractNum>
  <w:abstractNum w:abstractNumId="170">
    <w:nsid w:val="20F4BDAD"/>
    <w:multiLevelType w:val="hybridMultilevel"/>
    <w:lvl w:ilvl="0">
      <w:lvlJc w:val="left"/>
      <w:lvlText w:val="(%1)"/>
      <w:numFmt w:val="upperLetter"/>
      <w:start w:val="3"/>
    </w:lvl>
  </w:abstractNum>
  <w:abstractNum w:abstractNumId="171">
    <w:nsid w:val="639DEFAC"/>
    <w:multiLevelType w:val="hybridMultilevel"/>
    <w:lvl w:ilvl="0">
      <w:lvlJc w:val="left"/>
      <w:lvlText w:val="(%1)"/>
      <w:numFmt w:val="lowerRoman"/>
      <w:start w:val="2"/>
    </w:lvl>
    <w:lvl w:ilvl="1">
      <w:lvlJc w:val="left"/>
      <w:lvlText w:val="-"/>
      <w:numFmt w:val="bullet"/>
      <w:start w:val="1"/>
    </w:lvl>
  </w:abstractNum>
  <w:abstractNum w:abstractNumId="172">
    <w:nsid w:val="501F9786"/>
    <w:multiLevelType w:val="hybridMultilevel"/>
    <w:lvl w:ilvl="0">
      <w:lvlJc w:val="left"/>
      <w:lvlText w:val="(%1)"/>
      <w:numFmt w:val="lowerRoman"/>
      <w:start w:val="3"/>
    </w:lvl>
  </w:abstractNum>
  <w:abstractNum w:abstractNumId="173">
    <w:nsid w:val="6B057295"/>
    <w:multiLevelType w:val="hybridMultilevel"/>
    <w:lvl w:ilvl="0">
      <w:lvlJc w:val="left"/>
      <w:lvlText w:val="(%1)"/>
      <w:numFmt w:val="upperLetter"/>
      <w:start w:val="4"/>
    </w:lvl>
  </w:abstractNum>
  <w:abstractNum w:abstractNumId="174">
    <w:nsid w:val="2771AC80"/>
    <w:multiLevelType w:val="hybridMultilevel"/>
    <w:lvl w:ilvl="0">
      <w:lvlJc w:val="left"/>
      <w:lvlText w:val="(%1)"/>
      <w:numFmt w:val="upperLetter"/>
      <w:start w:val="1"/>
    </w:lvl>
    <w:lvl w:ilvl="1">
      <w:lvlJc w:val="left"/>
      <w:lvlText w:val="-"/>
      <w:numFmt w:val="bullet"/>
      <w:start w:val="1"/>
    </w:lvl>
  </w:abstractNum>
  <w:abstractNum w:abstractNumId="175">
    <w:nsid w:val="1C4A08EC"/>
    <w:multiLevelType w:val="hybridMultilevel"/>
    <w:lvl w:ilvl="0">
      <w:lvlJc w:val="left"/>
      <w:lvlText w:val="(%1)"/>
      <w:numFmt w:val="upperLetter"/>
      <w:start w:val="8"/>
    </w:lvl>
  </w:abstractNum>
  <w:abstractNum w:abstractNumId="176">
    <w:nsid w:val="1958BD17"/>
    <w:multiLevelType w:val="hybridMultilevel"/>
    <w:lvl w:ilvl="0">
      <w:lvlJc w:val="left"/>
      <w:lvlText w:val="(%1)"/>
      <w:numFmt w:val="upperLetter"/>
      <w:start w:val="2"/>
    </w:lvl>
    <w:lvl w:ilvl="1">
      <w:lvlJc w:val="left"/>
      <w:lvlText w:val="-"/>
      <w:numFmt w:val="bullet"/>
      <w:start w:val="1"/>
    </w:lvl>
  </w:abstractNum>
  <w:abstractNum w:abstractNumId="177">
    <w:nsid w:val="4E647FE4"/>
    <w:multiLevelType w:val="hybridMultilevel"/>
    <w:lvl w:ilvl="0">
      <w:lvlJc w:val="left"/>
      <w:lvlText w:val="(%1)"/>
      <w:numFmt w:val="upperLetter"/>
      <w:start w:val="4"/>
    </w:lvl>
    <w:lvl w:ilvl="1">
      <w:lvlJc w:val="left"/>
      <w:lvlText w:val="-"/>
      <w:numFmt w:val="bullet"/>
      <w:start w:val="1"/>
    </w:lvl>
  </w:abstractNum>
  <w:abstractNum w:abstractNumId="178">
    <w:nsid w:val="E0BB885"/>
    <w:multiLevelType w:val="hybridMultilevel"/>
    <w:lvl w:ilvl="0">
      <w:lvlJc w:val="left"/>
      <w:lvlText w:val="(%1)"/>
      <w:numFmt w:val="upperLetter"/>
      <w:start w:val="1"/>
    </w:lvl>
    <w:lvl w:ilvl="1">
      <w:lvlJc w:val="left"/>
      <w:lvlText w:val="-"/>
      <w:numFmt w:val="bullet"/>
      <w:start w:val="1"/>
    </w:lvl>
  </w:abstractNum>
  <w:abstractNum w:abstractNumId="179">
    <w:nsid w:val="565976F1"/>
    <w:multiLevelType w:val="hybridMultilevel"/>
    <w:lvl w:ilvl="0">
      <w:lvlJc w:val="left"/>
      <w:lvlText w:val="(%1)"/>
      <w:numFmt w:val="upperLetter"/>
      <w:start w:val="4"/>
    </w:lvl>
  </w:abstractNum>
  <w:abstractNum w:abstractNumId="180">
    <w:nsid w:val="64212B8C"/>
    <w:multiLevelType w:val="hybridMultilevel"/>
    <w:lvl w:ilvl="0">
      <w:lvlJc w:val="left"/>
      <w:lvlText w:val="(%1)"/>
      <w:numFmt w:val="upperLetter"/>
      <w:start w:val="1"/>
    </w:lvl>
  </w:abstractNum>
  <w:abstractNum w:abstractNumId="181">
    <w:nsid w:val="5C17530C"/>
    <w:multiLevelType w:val="hybridMultilevel"/>
    <w:lvl w:ilvl="0">
      <w:lvlJc w:val="left"/>
      <w:lvlText w:val="(%1)"/>
      <w:numFmt w:val="lowerRoman"/>
      <w:start w:val="1"/>
    </w:lvl>
  </w:abstractNum>
  <w:abstractNum w:abstractNumId="182">
    <w:nsid w:val="19A52566"/>
    <w:multiLevelType w:val="hybridMultilevel"/>
    <w:lvl w:ilvl="0">
      <w:lvlJc w:val="left"/>
      <w:lvlText w:val="(%1)"/>
      <w:numFmt w:val="upperLetter"/>
      <w:start w:val="3"/>
    </w:lvl>
  </w:abstractNum>
  <w:abstractNum w:abstractNumId="183">
    <w:nsid w:val="335A1DF1"/>
    <w:multiLevelType w:val="hybridMultilevel"/>
    <w:lvl w:ilvl="0">
      <w:lvlJc w:val="left"/>
      <w:lvlText w:val="(%1)"/>
      <w:numFmt w:val="upperLetter"/>
      <w:start w:val="6"/>
    </w:lvl>
    <w:lvl w:ilvl="1">
      <w:lvlJc w:val="left"/>
      <w:lvlText w:val="-"/>
      <w:numFmt w:val="bullet"/>
      <w:start w:val="1"/>
    </w:lvl>
  </w:abstractNum>
  <w:abstractNum w:abstractNumId="184">
    <w:nsid w:val="28677B7C"/>
    <w:multiLevelType w:val="hybridMultilevel"/>
    <w:lvl w:ilvl="0">
      <w:lvlJc w:val="left"/>
      <w:lvlText w:val="(%1)"/>
      <w:numFmt w:val="upperLetter"/>
      <w:start w:val="2"/>
    </w:lvl>
  </w:abstractNum>
  <w:abstractNum w:abstractNumId="185">
    <w:nsid w:val="378D97C0"/>
    <w:multiLevelType w:val="hybridMultilevel"/>
    <w:lvl w:ilvl="0">
      <w:lvlJc w:val="left"/>
      <w:lvlText w:val="(%1)"/>
      <w:numFmt w:val="upperLetter"/>
      <w:start w:val="1"/>
    </w:lvl>
  </w:abstractNum>
  <w:abstractNum w:abstractNumId="186">
    <w:nsid w:val="1D91467C"/>
    <w:multiLevelType w:val="hybridMultilevel"/>
    <w:lvl w:ilvl="0">
      <w:lvlJc w:val="left"/>
      <w:lvlText w:val="(%1)"/>
      <w:numFmt w:val="upperLetter"/>
      <w:start w:val="1"/>
    </w:lvl>
    <w:lvl w:ilvl="1">
      <w:lvlJc w:val="left"/>
      <w:lvlText w:val="-"/>
      <w:numFmt w:val="bullet"/>
      <w:start w:val="1"/>
    </w:lvl>
  </w:abstractNum>
  <w:abstractNum w:abstractNumId="187">
    <w:nsid w:val="316032BB"/>
    <w:multiLevelType w:val="hybridMultilevel"/>
    <w:lvl w:ilvl="0">
      <w:lvlJc w:val="left"/>
      <w:lvlText w:val="*"/>
      <w:numFmt w:val="bullet"/>
      <w:start w:val="1"/>
    </w:lvl>
  </w:abstractNum>
  <w:abstractNum w:abstractNumId="188">
    <w:nsid w:val="44344C22"/>
    <w:multiLevelType w:val="hybridMultilevel"/>
    <w:lvl w:ilvl="0">
      <w:lvlJc w:val="left"/>
      <w:lvlText w:val="†"/>
      <w:numFmt w:val="bullet"/>
      <w:start w:val="1"/>
    </w:lvl>
  </w:abstractNum>
  <w:abstractNum w:abstractNumId="189">
    <w:nsid w:val="13CDFCFC"/>
    <w:multiLevelType w:val="hybridMultilevel"/>
    <w:lvl w:ilvl="0">
      <w:lvlJc w:val="left"/>
      <w:lvlText w:val="%1."/>
      <w:numFmt w:val="decimal"/>
      <w:start w:val="1"/>
    </w:lvl>
  </w:abstractNum>
  <w:abstractNum w:abstractNumId="190">
    <w:nsid w:val="471745E4"/>
    <w:multiLevelType w:val="hybridMultilevel"/>
    <w:lvl w:ilvl="0">
      <w:lvlJc w:val="left"/>
      <w:lvlText w:val="%1."/>
      <w:numFmt w:val="decimal"/>
      <w:start w:val="8"/>
    </w:lvl>
  </w:abstractNum>
  <w:abstractNum w:abstractNumId="191">
    <w:nsid w:val="1DDBC66"/>
    <w:multiLevelType w:val="hybridMultilevel"/>
    <w:lvl w:ilvl="0">
      <w:lvlJc w:val="left"/>
      <w:lvlText w:val="*"/>
      <w:numFmt w:val="bullet"/>
      <w:start w:val="1"/>
    </w:lvl>
  </w:abstractNum>
  <w:abstractNum w:abstractNumId="192">
    <w:nsid w:val="30AADFDA"/>
    <w:multiLevelType w:val="hybridMultilevel"/>
    <w:lvl w:ilvl="0">
      <w:lvlJc w:val="left"/>
      <w:lvlText w:val="☐"/>
      <w:numFmt w:val="bullet"/>
      <w:start w:val="1"/>
    </w:lvl>
  </w:abstractNum>
  <w:abstractNum w:abstractNumId="193">
    <w:nsid w:val="30EADA61"/>
    <w:multiLevelType w:val="hybridMultilevel"/>
    <w:lvl w:ilvl="0">
      <w:lvlJc w:val="left"/>
      <w:lvlText w:val="*"/>
      <w:numFmt w:val="bullet"/>
      <w:start w:val="1"/>
    </w:lvl>
  </w:abstractNum>
  <w:abstractNum w:abstractNumId="194">
    <w:nsid w:val="27179C0B"/>
    <w:multiLevelType w:val="hybridMultilevel"/>
    <w:lvl w:ilvl="0">
      <w:lvlJc w:val="left"/>
      <w:lvlText w:val="☐"/>
      <w:numFmt w:val="bullet"/>
      <w:start w:val="1"/>
    </w:lvl>
  </w:abstractNum>
  <w:abstractNum w:abstractNumId="195">
    <w:nsid w:val="5E636063"/>
    <w:multiLevelType w:val="hybridMultilevel"/>
    <w:lvl w:ilvl="0">
      <w:lvlJc w:val="left"/>
      <w:lvlText w:val="*"/>
      <w:numFmt w:val="bullet"/>
      <w:start w:val="1"/>
    </w:lvl>
  </w:abstractNum>
  <w:abstractNum w:abstractNumId="196">
    <w:nsid w:val="215641AF"/>
    <w:multiLevelType w:val="hybridMultilevel"/>
    <w:lvl w:ilvl="0">
      <w:lvlJc w:val="left"/>
      <w:lvlText w:val="☐"/>
      <w:numFmt w:val="bullet"/>
      <w:start w:val="1"/>
    </w:lvl>
  </w:abstractNum>
  <w:abstractNum w:abstractNumId="197">
    <w:nsid w:val="53280662"/>
    <w:multiLevelType w:val="hybridMultilevel"/>
    <w:lvl w:ilvl="0">
      <w:lvlJc w:val="left"/>
      <w:lvlText w:val="*"/>
      <w:numFmt w:val="bullet"/>
      <w:start w:val="1"/>
    </w:lvl>
  </w:abstractNum>
  <w:abstractNum w:abstractNumId="198">
    <w:nsid w:val="46B24DBC"/>
    <w:multiLevelType w:val="hybridMultilevel"/>
    <w:lvl w:ilvl="0">
      <w:lvlJc w:val="left"/>
      <w:lvlText w:val="%1."/>
      <w:numFmt w:val="decimal"/>
      <w:start w:val="1"/>
    </w:lvl>
  </w:abstractNum>
  <w:abstractNum w:abstractNumId="199">
    <w:nsid w:val="75B52783"/>
    <w:multiLevelType w:val="hybridMultilevel"/>
    <w:lvl w:ilvl="0">
      <w:lvlJc w:val="left"/>
      <w:lvlText w:val="(%1)"/>
      <w:numFmt w:val="decimal"/>
      <w:start w:val="1"/>
    </w:lvl>
    <w:lvl w:ilvl="1">
      <w:lvlJc w:val="left"/>
      <w:lvlText w:val="(%2)"/>
      <w:numFmt w:val="upperLetter"/>
      <w:start w:val="1"/>
    </w:lvl>
  </w:abstractNum>
  <w:abstractNum w:abstractNumId="200">
    <w:nsid w:val="57CE66B4"/>
    <w:multiLevelType w:val="hybridMultilevel"/>
    <w:lvl w:ilvl="0">
      <w:lvlJc w:val="left"/>
      <w:lvlText w:val="*"/>
      <w:numFmt w:val="bullet"/>
      <w:start w:val="1"/>
    </w:lvl>
  </w:abstractNum>
  <w:abstractNum w:abstractNumId="201">
    <w:nsid w:val="67A70B69"/>
    <w:multiLevelType w:val="hybridMultilevel"/>
    <w:lvl w:ilvl="0">
      <w:lvlJc w:val="left"/>
      <w:lvlText w:val="1"/>
      <w:numFmt w:val="bullet"/>
      <w:start w:val="1"/>
    </w:lvl>
  </w:abstractNum>
  <w:abstractNum w:abstractNumId="202">
    <w:nsid w:val="5953172F"/>
    <w:multiLevelType w:val="hybridMultilevel"/>
    <w:lvl w:ilvl="0">
      <w:lvlJc w:val="left"/>
      <w:lvlText w:val="2"/>
      <w:numFmt w:val="bullet"/>
      <w:start w:val="1"/>
    </w:lvl>
  </w:abstractNum>
  <w:abstractNum w:abstractNumId="203">
    <w:nsid w:val="27EDFE3A"/>
    <w:multiLevelType w:val="hybridMultilevel"/>
    <w:lvl w:ilvl="0">
      <w:lvlJc w:val="left"/>
      <w:lvlText w:val="3"/>
      <w:numFmt w:val="bullet"/>
      <w:start w:val="1"/>
    </w:lvl>
  </w:abstractNum>
  <w:abstractNum w:abstractNumId="204">
    <w:nsid w:val="52AC7DFF"/>
    <w:multiLevelType w:val="hybridMultilevel"/>
    <w:lvl w:ilvl="0">
      <w:lvlJc w:val="left"/>
      <w:lvlText w:val="4"/>
      <w:numFmt w:val="bullet"/>
      <w:start w:val="1"/>
    </w:lvl>
  </w:abstractNum>
  <w:abstractNum w:abstractNumId="205">
    <w:nsid w:val="C4C3AF"/>
    <w:multiLevelType w:val="hybridMultilevel"/>
    <w:lvl w:ilvl="0">
      <w:lvlJc w:val="left"/>
      <w:lvlText w:val="5"/>
      <w:numFmt w:val="bullet"/>
      <w:start w:val="1"/>
    </w:lvl>
  </w:abstractNum>
  <w:abstractNum w:abstractNumId="206">
    <w:nsid w:val="44380727"/>
    <w:multiLevelType w:val="hybridMultilevel"/>
    <w:lvl w:ilvl="0">
      <w:lvlJc w:val="left"/>
      <w:lvlText w:val="6"/>
      <w:numFmt w:val="bullet"/>
      <w:start w:val="1"/>
    </w:lvl>
  </w:abstractNum>
  <w:abstractNum w:abstractNumId="207">
    <w:nsid w:val="6C053B16"/>
    <w:multiLevelType w:val="hybridMultilevel"/>
    <w:lvl w:ilvl="0">
      <w:lvlJc w:val="left"/>
      <w:lvlText w:val="7"/>
      <w:numFmt w:val="bullet"/>
      <w:start w:val="1"/>
    </w:lvl>
  </w:abstractNum>
  <w:abstractNum w:abstractNumId="208">
    <w:nsid w:val="4F294393"/>
    <w:multiLevelType w:val="hybridMultilevel"/>
    <w:lvl w:ilvl="0">
      <w:lvlJc w:val="left"/>
      <w:lvlText w:val="8"/>
      <w:numFmt w:val="bullet"/>
      <w:start w:val="1"/>
    </w:lvl>
  </w:abstractNum>
  <w:abstractNum w:abstractNumId="209">
    <w:nsid w:val="5243BFAC"/>
    <w:multiLevelType w:val="hybridMultilevel"/>
    <w:lvl w:ilvl="0">
      <w:lvlJc w:val="left"/>
      <w:lvlText w:val="9"/>
      <w:numFmt w:val="bullet"/>
      <w:start w:val="1"/>
    </w:lvl>
  </w:abstractNum>
  <w:abstractNum w:abstractNumId="210">
    <w:nsid w:val="425EB207"/>
    <w:multiLevelType w:val="hybridMultilevel"/>
    <w:lvl w:ilvl="0">
      <w:lvlJc w:val="left"/>
      <w:lvlText w:val="%1"/>
      <w:numFmt w:val="decimal"/>
      <w:start w:val="10"/>
    </w:lvl>
  </w:abstractNum>
  <w:abstractNum w:abstractNumId="211">
    <w:nsid w:val="334A6F1F"/>
    <w:multiLevelType w:val="hybridMultilevel"/>
    <w:lvl w:ilvl="0">
      <w:lvlJc w:val="left"/>
      <w:lvlText w:val="%1."/>
      <w:numFmt w:val="decimal"/>
      <w:start w:val="1"/>
    </w:lvl>
  </w:abstractNum>
  <w:abstractNum w:abstractNumId="212">
    <w:nsid w:val="2E5B12B8"/>
    <w:multiLevelType w:val="hybridMultilevel"/>
    <w:lvl w:ilvl="0">
      <w:lvlJc w:val="left"/>
      <w:lvlText w:val="%1"/>
      <w:numFmt w:val="decimal"/>
      <w:start w:val="11"/>
    </w:lvl>
  </w:abstractNum>
  <w:abstractNum w:abstractNumId="213">
    <w:nsid w:val="5C03D76D"/>
    <w:multiLevelType w:val="hybridMultilevel"/>
    <w:lvl w:ilvl="0">
      <w:lvlJc w:val="left"/>
      <w:lvlText w:val="%1"/>
      <w:numFmt w:val="decimal"/>
      <w:start w:val="14"/>
    </w:lvl>
  </w:abstractNum>
  <w:abstractNum w:abstractNumId="214">
    <w:nsid w:val="66A48D11"/>
    <w:multiLevelType w:val="hybridMultilevel"/>
    <w:lvl w:ilvl="0">
      <w:lvlJc w:val="left"/>
      <w:lvlText w:val="%1"/>
      <w:numFmt w:val="decimal"/>
      <w:start w:val="16"/>
    </w:lvl>
  </w:abstractNum>
  <w:abstractNum w:abstractNumId="215">
    <w:nsid w:val="56C28E34"/>
    <w:multiLevelType w:val="hybridMultilevel"/>
    <w:lvl w:ilvl="0">
      <w:lvlJc w:val="left"/>
      <w:lvlText w:val="%1"/>
      <w:numFmt w:val="decimal"/>
      <w:start w:val="18"/>
    </w:lvl>
  </w:abstractNum>
  <w:abstractNum w:abstractNumId="216">
    <w:nsid w:val="13916F2D"/>
    <w:multiLevelType w:val="hybridMultilevel"/>
    <w:lvl w:ilvl="0">
      <w:lvlJc w:val="left"/>
      <w:lvlText w:val="(%1)"/>
      <w:numFmt w:val="lowerRoman"/>
      <w:start w:val="1"/>
    </w:lvl>
  </w:abstractNum>
  <w:abstractNum w:abstractNumId="217">
    <w:nsid w:val="435D38D"/>
    <w:multiLevelType w:val="hybridMultilevel"/>
    <w:lvl w:ilvl="0">
      <w:lvlJc w:val="left"/>
      <w:lvlText w:val="(%1)"/>
      <w:numFmt w:val="lowerRoman"/>
      <w:start w:val="5"/>
    </w:lvl>
  </w:abstractNum>
  <w:abstractNum w:abstractNumId="218">
    <w:nsid w:val="822C0EF"/>
    <w:multiLevelType w:val="hybridMultilevel"/>
    <w:lvl w:ilvl="0">
      <w:lvlJc w:val="left"/>
      <w:lvlText w:val="%1"/>
      <w:numFmt w:val="decimal"/>
      <w:start w:val="1"/>
    </w:lvl>
    <w:lvl w:ilvl="1">
      <w:lvlJc w:val="left"/>
      <w:lvlText w:val="(%2)"/>
      <w:numFmt w:val="lowerLetter"/>
      <w:start w:val="2"/>
    </w:lvl>
  </w:abstractNum>
  <w:abstractNum w:abstractNumId="219">
    <w:nsid w:val="57C5BB4F"/>
    <w:multiLevelType w:val="hybridMultilevel"/>
    <w:lvl w:ilvl="0">
      <w:lvlJc w:val="left"/>
      <w:lvlText w:val="%1."/>
      <w:numFmt w:val="decimal"/>
      <w:start w:val="6"/>
    </w:lvl>
    <w:lvl w:ilvl="1">
      <w:lvlJc w:val="left"/>
      <w:lvlText w:val="(%2)"/>
      <w:numFmt w:val="lowerLetter"/>
      <w:start w:val="1"/>
    </w:lvl>
  </w:abstractNum>
  <w:abstractNum w:abstractNumId="220">
    <w:nsid w:val="1803D089"/>
    <w:multiLevelType w:val="hybridMultilevel"/>
    <w:lvl w:ilvl="0">
      <w:lvlJc w:val="left"/>
      <w:lvlText w:val="%1"/>
      <w:numFmt w:val="decimal"/>
      <w:start w:val="19"/>
    </w:lvl>
  </w:abstractNum>
  <w:abstractNum w:abstractNumId="221">
    <w:nsid w:val="4F3A06D4"/>
    <w:multiLevelType w:val="hybridMultilevel"/>
    <w:lvl w:ilvl="0">
      <w:lvlJc w:val="left"/>
      <w:lvlText w:val="%1."/>
      <w:numFmt w:val="decimal"/>
      <w:start w:val="7"/>
    </w:lvl>
    <w:lvl w:ilvl="1">
      <w:lvlJc w:val="left"/>
      <w:lvlText w:val="(%2)"/>
      <w:numFmt w:val="lowerLetter"/>
      <w:start w:val="1"/>
    </w:lvl>
  </w:abstractNum>
  <w:abstractNum w:abstractNumId="222">
    <w:nsid w:val="59A377B6"/>
    <w:multiLevelType w:val="hybridMultilevel"/>
    <w:lvl w:ilvl="0">
      <w:lvlJc w:val="left"/>
      <w:lvlText w:val="(%1)"/>
      <w:numFmt w:val="lowerLetter"/>
      <w:start w:val="2"/>
    </w:lvl>
  </w:abstractNum>
  <w:abstractNum w:abstractNumId="223">
    <w:nsid w:val="48AEB063"/>
    <w:multiLevelType w:val="hybridMultilevel"/>
    <w:lvl w:ilvl="0">
      <w:lvlJc w:val="left"/>
      <w:lvlText w:val="%1."/>
      <w:numFmt w:val="decimal"/>
      <w:start w:val="8"/>
    </w:lvl>
    <w:lvl w:ilvl="1">
      <w:lvlJc w:val="left"/>
      <w:lvlText w:val="(%2)"/>
      <w:numFmt w:val="lowerLetter"/>
      <w:start w:val="1"/>
    </w:lvl>
  </w:abstractNum>
  <w:abstractNum w:abstractNumId="224">
    <w:nsid w:val="24E135"/>
    <w:multiLevelType w:val="hybridMultilevel"/>
    <w:lvl w:ilvl="0">
      <w:lvlJc w:val="left"/>
      <w:lvlText w:val="%1"/>
      <w:numFmt w:val="decimal"/>
      <w:start w:val="20"/>
    </w:lvl>
  </w:abstractNum>
  <w:abstractNum w:abstractNumId="225">
    <w:nsid w:val="BB13C1"/>
    <w:multiLevelType w:val="hybridMultilevel"/>
    <w:lvl w:ilvl="0">
      <w:lvlJc w:val="left"/>
      <w:lvlText w:val="(%1)"/>
      <w:numFmt w:val="lowerLetter"/>
      <w:start w:val="3"/>
    </w:lvl>
  </w:abstractNum>
  <w:abstractNum w:abstractNumId="226">
    <w:nsid w:val="271210C7"/>
    <w:multiLevelType w:val="hybridMultilevel"/>
    <w:lvl w:ilvl="0">
      <w:lvlJc w:val="left"/>
      <w:lvlText w:val="%1"/>
      <w:numFmt w:val="decimal"/>
      <w:start w:val="1"/>
    </w:lvl>
    <w:lvl w:ilvl="1">
      <w:lvlJc w:val="left"/>
      <w:lvlText w:val="(%2)"/>
      <w:numFmt w:val="lowerLetter"/>
      <w:start w:val="12"/>
    </w:lvl>
  </w:abstractNum>
  <w:abstractNum w:abstractNumId="227">
    <w:nsid w:val="217B22E4"/>
    <w:multiLevelType w:val="hybridMultilevel"/>
    <w:lvl w:ilvl="0">
      <w:lvlJc w:val="left"/>
      <w:lvlText w:val="%1."/>
      <w:numFmt w:val="decimal"/>
      <w:start w:val="9"/>
    </w:lvl>
    <w:lvl w:ilvl="1">
      <w:lvlJc w:val="left"/>
      <w:lvlText w:val="(%2)"/>
      <w:numFmt w:val="lowerLetter"/>
      <w:start w:val="1"/>
    </w:lvl>
  </w:abstractNum>
  <w:abstractNum w:abstractNumId="228">
    <w:nsid w:val="53E31A24"/>
    <w:multiLevelType w:val="hybridMultilevel"/>
    <w:lvl w:ilvl="0">
      <w:lvlJc w:val="left"/>
      <w:lvlText w:val="%1"/>
      <w:numFmt w:val="decimal"/>
      <w:start w:val="21"/>
    </w:lvl>
  </w:abstractNum>
  <w:abstractNum w:abstractNumId="229">
    <w:nsid w:val="6DC45E83"/>
    <w:multiLevelType w:val="hybridMultilevel"/>
    <w:lvl w:ilvl="0">
      <w:lvlJc w:val="left"/>
      <w:lvlText w:val="(%1)"/>
      <w:numFmt w:val="lowerLetter"/>
      <w:start w:val="3"/>
    </w:lvl>
  </w:abstractNum>
  <w:abstractNum w:abstractNumId="230">
    <w:nsid w:val="17304A67"/>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231">
    <w:nsid w:val="2BB180D8"/>
    <w:multiLevelType w:val="hybridMultilevel"/>
    <w:lvl w:ilvl="0">
      <w:lvlJc w:val="left"/>
      <w:lvlText w:val="(%1)"/>
      <w:numFmt w:val="lowerRoman"/>
      <w:start w:val="2"/>
    </w:lvl>
  </w:abstractNum>
  <w:abstractNum w:abstractNumId="232">
    <w:nsid w:val="556B69ED"/>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2"/>
    </w:lvl>
  </w:abstractNum>
  <w:abstractNum w:abstractNumId="233">
    <w:nsid w:val="70836196"/>
    <w:multiLevelType w:val="hybridMultilevel"/>
    <w:lvl w:ilvl="0">
      <w:lvlJc w:val="left"/>
      <w:lvlText w:val="%1"/>
      <w:numFmt w:val="lowerLetter"/>
      <w:start w:val="1"/>
    </w:lvl>
    <w:lvl w:ilvl="1">
      <w:lvlJc w:val="left"/>
      <w:lvlText w:val="(%2)"/>
      <w:numFmt w:val="lowerLetter"/>
      <w:start w:val="61"/>
    </w:lvl>
    <w:lvl w:ilvl="2">
      <w:lvlJc w:val="left"/>
      <w:lvlText w:val="%3"/>
      <w:numFmt w:val="decimal"/>
      <w:start w:val="1"/>
    </w:lvl>
  </w:abstractNum>
  <w:abstractNum w:abstractNumId="234">
    <w:nsid w:val="539F7F12"/>
    <w:multiLevelType w:val="hybridMultilevel"/>
    <w:lvl w:ilvl="0">
      <w:lvlJc w:val="left"/>
      <w:lvlText w:val="(%1)"/>
      <w:numFmt w:val="lowerLetter"/>
      <w:start w:val="6"/>
    </w:lvl>
    <w:lvl w:ilvl="1">
      <w:lvlJc w:val="left"/>
      <w:lvlText w:val="(%2)"/>
      <w:numFmt w:val="lowerLetter"/>
      <w:start w:val="9"/>
    </w:lvl>
    <w:lvl w:ilvl="2">
      <w:lvlJc w:val="left"/>
      <w:lvlText w:val="%3"/>
      <w:numFmt w:val="decimal"/>
      <w:start w:val="1"/>
    </w:lvl>
  </w:abstractNum>
  <w:abstractNum w:abstractNumId="235">
    <w:nsid w:val="2817E7EC"/>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lvl w:ilvl="3">
      <w:lvlJc w:val="left"/>
      <w:lvlText w:val="%4"/>
      <w:numFmt w:val="lowerLetter"/>
      <w:start w:val="1"/>
    </w:lvl>
  </w:abstractNum>
  <w:abstractNum w:abstractNumId="236">
    <w:nsid w:val="71482545"/>
    <w:multiLevelType w:val="hybridMultilevel"/>
    <w:lvl w:ilvl="0">
      <w:lvlJc w:val="left"/>
      <w:lvlText w:val="(%1)"/>
      <w:numFmt w:val="lowerLetter"/>
      <w:start w:val="7"/>
    </w:lvl>
    <w:lvl w:ilvl="1">
      <w:lvlJc w:val="left"/>
      <w:lvlText w:val="(%2)"/>
      <w:numFmt w:val="lowerRoman"/>
      <w:start w:val="1"/>
    </w:lvl>
    <w:lvl w:ilvl="2">
      <w:lvlJc w:val="left"/>
      <w:lvlText w:val="(%3)"/>
      <w:numFmt w:val="upperLetter"/>
      <w:start w:val="1"/>
    </w:lvl>
    <w:lvl w:ilvl="3">
      <w:lvlJc w:val="left"/>
      <w:lvlText w:val="(%4)"/>
      <w:numFmt w:val="lowerLetter"/>
      <w:start w:val="25"/>
    </w:lvl>
  </w:abstractNum>
  <w:abstractNum w:abstractNumId="237">
    <w:nsid w:val="17D7863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4)"/>
      <w:numFmt w:val="lowerLetter"/>
      <w:start w:val="24"/>
    </w:lvl>
  </w:abstractNum>
  <w:abstractNum w:abstractNumId="238">
    <w:nsid w:val="141D2302"/>
    <w:multiLevelType w:val="hybridMultilevel"/>
    <w:lvl w:ilvl="0">
      <w:lvlJc w:val="left"/>
      <w:lvlText w:val="%1"/>
      <w:numFmt w:val="decimal"/>
      <w:start w:val="24"/>
    </w:lvl>
  </w:abstractNum>
  <w:abstractNum w:abstractNumId="239">
    <w:nsid w:val="407168D8"/>
    <w:multiLevelType w:val="hybridMultilevel"/>
    <w:lvl w:ilvl="0">
      <w:lvlJc w:val="left"/>
      <w:lvlText w:val="%1"/>
      <w:numFmt w:val="lowerRoman"/>
      <w:start w:val="1"/>
    </w:lvl>
    <w:lvl w:ilvl="1">
      <w:lvlJc w:val="left"/>
      <w:lvlText w:val="(%2)"/>
      <w:numFmt w:val="upperLetter"/>
      <w:start w:val="4"/>
    </w:lvl>
  </w:abstractNum>
  <w:abstractNum w:abstractNumId="240">
    <w:nsid w:val="6A1B45E5"/>
    <w:multiLevelType w:val="hybridMultilevel"/>
    <w:lvl w:ilvl="0">
      <w:lvlJc w:val="left"/>
      <w:lvlText w:val="(%1)"/>
      <w:numFmt w:val="lowerRoman"/>
      <w:start w:val="2"/>
    </w:lvl>
    <w:lvl w:ilvl="1">
      <w:lvlJc w:val="left"/>
      <w:lvlText w:val="%2"/>
      <w:numFmt w:val="upperLetter"/>
      <w:start w:val="1"/>
    </w:lvl>
  </w:abstractNum>
  <w:abstractNum w:abstractNumId="241">
    <w:nsid w:val="567BD50A"/>
    <w:multiLevelType w:val="hybridMultilevel"/>
    <w:lvl w:ilvl="0">
      <w:lvlJc w:val="left"/>
      <w:lvlText w:val="%1"/>
      <w:numFmt w:val="decimal"/>
      <w:start w:val="26"/>
    </w:lvl>
  </w:abstractNum>
  <w:abstractNum w:abstractNumId="242">
    <w:nsid w:val="73BBD7F8"/>
    <w:multiLevelType w:val="hybridMultilevel"/>
    <w:lvl w:ilvl="0">
      <w:lvlJc w:val="left"/>
      <w:lvlText w:val="(%1)"/>
      <w:numFmt w:val="lowerRoman"/>
      <w:start w:val="3"/>
    </w:lvl>
  </w:abstractNum>
  <w:abstractNum w:abstractNumId="243">
    <w:nsid w:val="1876589D"/>
    <w:multiLevelType w:val="hybridMultilevel"/>
    <w:lvl w:ilvl="0">
      <w:lvlJc w:val="left"/>
      <w:lvlText w:val="%1"/>
      <w:numFmt w:val="decimal"/>
      <w:start w:val="27"/>
    </w:lvl>
  </w:abstractNum>
  <w:abstractNum w:abstractNumId="244">
    <w:nsid w:val="327FAC77"/>
    <w:multiLevelType w:val="hybridMultilevel"/>
    <w:lvl w:ilvl="0">
      <w:lvlJc w:val="left"/>
      <w:lvlText w:val="(%1)"/>
      <w:numFmt w:val="lowerLetter"/>
      <w:start w:val="10"/>
    </w:lvl>
    <w:lvl w:ilvl="1">
      <w:lvlJc w:val="left"/>
      <w:lvlText w:val="(%2)"/>
      <w:numFmt w:val="lowerRoman"/>
      <w:start w:val="1"/>
    </w:lvl>
  </w:abstractNum>
  <w:abstractNum w:abstractNumId="245">
    <w:nsid w:val="5A606509"/>
    <w:multiLevelType w:val="hybridMultilevel"/>
    <w:lvl w:ilvl="0">
      <w:lvlJc w:val="left"/>
      <w:lvlText w:val="(%1)"/>
      <w:numFmt w:val="lowerLetter"/>
      <w:start w:val="11"/>
    </w:lvl>
  </w:abstractNum>
  <w:abstractNum w:abstractNumId="246">
    <w:nsid w:val="6F38E6D1"/>
    <w:multiLevelType w:val="hybridMultilevel"/>
    <w:lvl w:ilvl="0">
      <w:lvlJc w:val="left"/>
      <w:lvlText w:val="(%1)"/>
      <w:numFmt w:val="lowerLetter"/>
      <w:start w:val="13"/>
    </w:lvl>
    <w:lvl w:ilvl="1">
      <w:lvlJc w:val="left"/>
      <w:lvlText w:val="(%2)"/>
      <w:numFmt w:val="lowerLetter"/>
      <w:start w:val="9"/>
    </w:lvl>
  </w:abstractNum>
  <w:abstractNum w:abstractNumId="247">
    <w:nsid w:val="46111BA5"/>
    <w:multiLevelType w:val="hybridMultilevel"/>
    <w:lvl w:ilvl="0">
      <w:lvlJc w:val="left"/>
      <w:lvlText w:val="%1"/>
      <w:numFmt w:val="lowerLetter"/>
      <w:start w:val="1"/>
    </w:lvl>
    <w:lvl w:ilvl="1">
      <w:lvlJc w:val="left"/>
      <w:lvlText w:val="(%2)"/>
      <w:numFmt w:val="lowerLetter"/>
      <w:start w:val="61"/>
    </w:lvl>
  </w:abstractNum>
  <w:abstractNum w:abstractNumId="248">
    <w:nsid w:val="5E963896"/>
    <w:multiLevelType w:val="hybridMultilevel"/>
    <w:lvl w:ilvl="0">
      <w:lvlJc w:val="left"/>
      <w:lvlText w:val="(%1)"/>
      <w:numFmt w:val="lowerLetter"/>
      <w:start w:val="15"/>
    </w:lvl>
    <w:lvl w:ilvl="1">
      <w:lvlJc w:val="left"/>
      <w:lvlText w:val="(%2)"/>
      <w:numFmt w:val="lowerRoman"/>
      <w:start w:val="1"/>
    </w:lvl>
  </w:abstractNum>
  <w:abstractNum w:abstractNumId="249">
    <w:nsid w:val="775BA7C1"/>
    <w:multiLevelType w:val="hybridMultilevel"/>
    <w:lvl w:ilvl="0">
      <w:lvlJc w:val="left"/>
      <w:lvlText w:val="%1"/>
      <w:numFmt w:val="lowerLetter"/>
      <w:start w:val="1"/>
    </w:lvl>
    <w:lvl w:ilvl="1">
      <w:lvlJc w:val="left"/>
      <w:lvlText w:val="(%2)"/>
      <w:numFmt w:val="lowerLetter"/>
      <w:start w:val="35"/>
    </w:lvl>
  </w:abstractNum>
  <w:abstractNum w:abstractNumId="250">
    <w:nsid w:val="1DD6D6F4"/>
    <w:multiLevelType w:val="hybridMultilevel"/>
    <w:lvl w:ilvl="0">
      <w:lvlJc w:val="left"/>
      <w:lvlText w:val="(%1)"/>
      <w:numFmt w:val="lowerLetter"/>
      <w:start w:val="20"/>
    </w:lvl>
    <w:lvl w:ilvl="1">
      <w:lvlJc w:val="left"/>
      <w:lvlText w:val="%2"/>
      <w:numFmt w:val="lowerLetter"/>
      <w:start w:val="1"/>
    </w:lvl>
  </w:abstractNum>
  <w:abstractNum w:abstractNumId="251">
    <w:nsid w:val="769A091F"/>
    <w:multiLevelType w:val="hybridMultilevel"/>
    <w:lvl w:ilvl="0">
      <w:lvlJc w:val="left"/>
      <w:lvlText w:val="(%1)"/>
      <w:numFmt w:val="lowerLetter"/>
      <w:start w:val="22"/>
    </w:lvl>
    <w:lvl w:ilvl="1">
      <w:lvlJc w:val="left"/>
      <w:lvlText w:val="(%2)"/>
      <w:numFmt w:val="lowerLetter"/>
      <w:start w:val="24"/>
    </w:lvl>
  </w:abstractNum>
  <w:abstractNum w:abstractNumId="252">
    <w:nsid w:val="4695AE95"/>
    <w:multiLevelType w:val="hybridMultilevel"/>
    <w:lvl w:ilvl="0">
      <w:lvlJc w:val="left"/>
      <w:lvlText w:val="%1"/>
      <w:numFmt w:val="lowerLetter"/>
      <w:start w:val="1"/>
    </w:lvl>
    <w:lvl w:ilvl="1">
      <w:lvlJc w:val="left"/>
      <w:lvlText w:val="(%2)"/>
      <w:numFmt w:val="lowerLetter"/>
      <w:start w:val="35"/>
    </w:lvl>
  </w:abstractNum>
  <w:abstractNum w:abstractNumId="253">
    <w:nsid w:val="777A4EAA"/>
    <w:multiLevelType w:val="hybridMultilevel"/>
    <w:lvl w:ilvl="0">
      <w:lvlJc w:val="left"/>
      <w:lvlText w:val="%1"/>
      <w:numFmt w:val="decimal"/>
      <w:start w:val="29"/>
    </w:lvl>
  </w:abstractNum>
  <w:abstractNum w:abstractNumId="254">
    <w:nsid w:val="3F48B982"/>
    <w:multiLevelType w:val="hybridMultilevel"/>
    <w:lvl w:ilvl="0">
      <w:lvlJc w:val="left"/>
      <w:lvlText w:val="(%1)"/>
      <w:numFmt w:val="lowerLetter"/>
      <w:start w:val="25"/>
    </w:lvl>
  </w:abstractNum>
  <w:abstractNum w:abstractNumId="255">
    <w:nsid w:val="46BA8FCA"/>
    <w:multiLevelType w:val="hybridMultilevel"/>
    <w:lvl w:ilvl="0">
      <w:lvlJc w:val="left"/>
      <w:lvlText w:val="(%1)"/>
      <w:numFmt w:val="lowerLetter"/>
      <w:start w:val="27"/>
    </w:lvl>
    <w:lvl w:ilvl="1">
      <w:lvlJc w:val="left"/>
      <w:lvlText w:val="(%2)"/>
      <w:numFmt w:val="lowerRoman"/>
      <w:start w:val="1"/>
    </w:lvl>
    <w:lvl w:ilvl="2">
      <w:lvlJc w:val="left"/>
      <w:lvlText w:val="(%3)"/>
      <w:numFmt w:val="upperLetter"/>
      <w:start w:val="1"/>
    </w:lvl>
  </w:abstractNum>
  <w:abstractNum w:abstractNumId="256">
    <w:nsid w:val="7835626C"/>
    <w:multiLevelType w:val="hybridMultilevel"/>
    <w:lvl w:ilvl="0">
      <w:lvlJc w:val="left"/>
      <w:lvlText w:val="%1"/>
      <w:numFmt w:val="decimal"/>
      <w:start w:val="31"/>
    </w:lvl>
  </w:abstractNum>
  <w:abstractNum w:abstractNumId="257">
    <w:nsid w:val="665ACA49"/>
    <w:multiLevelType w:val="hybridMultilevel"/>
    <w:lvl w:ilvl="0">
      <w:lvlJc w:val="left"/>
      <w:lvlText w:val="%1"/>
      <w:numFmt w:val="lowerLetter"/>
      <w:start w:val="1"/>
    </w:lvl>
    <w:lvl w:ilvl="1">
      <w:lvlJc w:val="left"/>
      <w:lvlText w:val="(%2)"/>
      <w:numFmt w:val="lowerRoman"/>
      <w:start w:val="4"/>
    </w:lvl>
  </w:abstractNum>
  <w:abstractNum w:abstractNumId="258">
    <w:nsid w:val="6835B2AE"/>
    <w:multiLevelType w:val="hybridMultilevel"/>
    <w:lvl w:ilvl="0">
      <w:lvlJc w:val="left"/>
      <w:lvlText w:val="(%1)"/>
      <w:numFmt w:val="lowerLetter"/>
      <w:start w:val="28"/>
    </w:lvl>
    <w:lvl w:ilvl="1">
      <w:lvlJc w:val="left"/>
      <w:lvlText w:val="%2"/>
      <w:numFmt w:val="lowerRoman"/>
      <w:start w:val="1"/>
    </w:lvl>
  </w:abstractNum>
  <w:abstractNum w:abstractNumId="259">
    <w:nsid w:val="4C187C90"/>
    <w:multiLevelType w:val="hybridMultilevel"/>
    <w:lvl w:ilvl="0">
      <w:lvlJc w:val="left"/>
      <w:lvlText w:val="%1"/>
      <w:numFmt w:val="decimal"/>
      <w:start w:val="3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2024-05-23T17:26:48Z</dcterms:created>
  <dcterms:modified xsi:type="dcterms:W3CDTF">2024-05-23T17:26:48Z</dcterms:modified>
</cp:coreProperties>
</file>